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FOREIGN PRIVATE ISSUER PURSUANT TO RULE 13a-16 OR 15d-16</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UNDER THE SECURITIES EXCHANGE ACT OF 1934</w:t>
      </w:r>
    </w:p>
    <w:p>
      <w:pPr>
        <w:spacing w:after="0" w:line="6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For the month of February, 2023.</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001-40673</w:t>
      </w:r>
    </w:p>
    <w:p>
      <w:pPr>
        <w:spacing w:after="0" w:line="3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Cybin Inc.</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100 King Street West, Suite 5600, Toronto, Ontario, M5X 1C9</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53" w:lineRule="exact"/>
        <w:rPr>
          <w:sz w:val="20"/>
          <w:szCs w:val="20"/>
          <w:color w:val="auto"/>
        </w:rPr>
      </w:pPr>
      <w:r>
        <w:rPr>
          <w:rFonts w:ascii="Times New Roman" w:cs="Times New Roman" w:eastAsia="Times New Roman" w:hAnsi="Times New Roman"/>
          <w:sz w:val="16"/>
          <w:szCs w:val="16"/>
          <w:color w:val="auto"/>
        </w:rPr>
        <w:t xml:space="preserve">Form 20-F </w:t>
      </w:r>
      <w:r>
        <w:rPr>
          <w:rFonts w:ascii="Times New Roman" w:cs="Times New Roman" w:eastAsia="Times New Roman" w:hAnsi="Times New Roman"/>
          <w:sz w:val="22"/>
          <w:szCs w:val="22"/>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1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101(b)(1): ____</w:t>
      </w: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Regulation S-T Rule 101(b)(1) only permits the submission in paper of a Form 6-K if submitted solely to provide an attached annual report to security holders.</w:t>
      </w:r>
    </w:p>
    <w:p>
      <w:pPr>
        <w:spacing w:after="0" w:line="19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submitting the Form 6-K in paper as permitted by Regulation S-T Rule 101(b)(7): ____</w:t>
      </w:r>
    </w:p>
    <w:p>
      <w:pPr>
        <w:spacing w:after="0" w:line="202" w:lineRule="exact"/>
        <w:rPr>
          <w:sz w:val="24"/>
          <w:szCs w:val="24"/>
          <w:color w:val="auto"/>
        </w:rPr>
      </w:pPr>
    </w:p>
    <w:p>
      <w:pPr>
        <w:ind w:right="20"/>
        <w:spacing w:after="0" w:line="250" w:lineRule="auto"/>
        <w:rPr>
          <w:sz w:val="20"/>
          <w:szCs w:val="20"/>
          <w:color w:val="auto"/>
        </w:rPr>
      </w:pPr>
      <w:r>
        <w:rPr>
          <w:rFonts w:ascii="Times New Roman" w:cs="Times New Roman" w:eastAsia="Times New Roman" w:hAnsi="Times New Roman"/>
          <w:sz w:val="16"/>
          <w:szCs w:val="16"/>
          <w:b w:val="1"/>
          <w:bCs w:val="1"/>
          <w:color w:val="auto"/>
        </w:rPr>
        <w:t>Note</w:t>
      </w:r>
      <w:r>
        <w:rPr>
          <w:rFonts w:ascii="Times New Roman" w:cs="Times New Roman" w:eastAsia="Times New Roman" w:hAnsi="Times New Roman"/>
          <w:sz w:val="16"/>
          <w:szCs w:val="16"/>
          <w:color w:val="auto"/>
        </w:rPr>
        <w:t>: Regulation S-T Rule 101(b)(7) only permits the submission in paper of a Form 6-K if submitted to furnish a report or other document that the registrant foreign private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INCORPORATION BY REFERENCE</w:t>
      </w:r>
    </w:p>
    <w:p>
      <w:pPr>
        <w:spacing w:after="0" w:line="85"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6"/>
          <w:szCs w:val="16"/>
          <w:color w:val="auto"/>
        </w:rPr>
        <w:t>Exhibits 99.1 - 99.2 of this Form 6-K of Cybin Inc. (the "Company") are hereby incorporated by reference into the Registration Statement on Form F-10 (File No.</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333-259994)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55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85" w:lineRule="exact"/>
        <w:rPr>
          <w:sz w:val="20"/>
          <w:szCs w:val="20"/>
          <w:color w:val="auto"/>
        </w:rPr>
      </w:pPr>
    </w:p>
    <w:p>
      <w:pPr>
        <w:ind w:firstLine="582"/>
        <w:spacing w:after="0" w:line="271"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CYBIN INC.</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46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(Registrant)</w:t>
            </w:r>
          </w:p>
        </w:tc>
      </w:tr>
      <w:tr>
        <w:trPr>
          <w:trHeight w:val="467"/>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rPr>
              <w:t>Date:</w:t>
            </w:r>
          </w:p>
        </w:tc>
        <w:tc>
          <w:tcPr>
            <w:tcW w:w="51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February 14, 2023</w:t>
            </w:r>
          </w:p>
        </w:tc>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By:</w:t>
            </w:r>
          </w:p>
        </w:tc>
        <w:tc>
          <w:tcPr>
            <w:tcW w:w="40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6"/>
                <w:szCs w:val="16"/>
                <w:i w:val="1"/>
                <w:iCs w:val="1"/>
                <w:color w:val="auto"/>
              </w:rPr>
              <w:t>/s/ Doug Drysdale</w:t>
            </w:r>
          </w:p>
        </w:tc>
      </w:tr>
      <w:tr>
        <w:trPr>
          <w:trHeight w:val="216"/>
        </w:trPr>
        <w:tc>
          <w:tcPr>
            <w:tcW w:w="5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Name: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Doug Drysdale</w:t>
            </w:r>
          </w:p>
        </w:tc>
      </w:tr>
      <w:tr>
        <w:trPr>
          <w:trHeight w:val="230"/>
        </w:trPr>
        <w:tc>
          <w:tcPr>
            <w:tcW w:w="50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w:t>
            </w:r>
          </w:p>
        </w:tc>
        <w:tc>
          <w:tcPr>
            <w:tcW w:w="40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Chief Executive Officer</w:t>
            </w:r>
          </w:p>
        </w:tc>
      </w:tr>
    </w:tbl>
    <w:p>
      <w:pPr>
        <w:sectPr>
          <w:pgSz w:w="11900" w:h="16838" w:orient="portrait"/>
          <w:cols w:equalWidth="0" w:num="1">
            <w:col w:w="10680"/>
          </w:cols>
          <w:pgMar w:left="320" w:top="1285" w:right="8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1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EXHIBIT INDEX</w:t>
            </w:r>
          </w:p>
        </w:tc>
        <w:tc>
          <w:tcPr>
            <w:tcW w:w="1320" w:type="dxa"/>
            <w:vAlign w:val="bottom"/>
            <w:gridSpan w:val="2"/>
          </w:tcPr>
          <w:p>
            <w:pPr>
              <w:spacing w:after="0"/>
              <w:rPr>
                <w:sz w:val="16"/>
                <w:szCs w:val="16"/>
                <w:color w:val="auto"/>
              </w:rPr>
            </w:pPr>
          </w:p>
        </w:tc>
      </w:tr>
      <w:tr>
        <w:trPr>
          <w:trHeight w:val="514"/>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99.1</w:t>
            </w:r>
          </w:p>
        </w:tc>
        <w:tc>
          <w:tcPr>
            <w:tcW w:w="64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color w:val="0000FF"/>
              </w:rPr>
              <w:t>Interim Consolidated Financial Statements for the three and nine months ended December 31, 2022</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99.2</w:t>
            </w:r>
          </w:p>
        </w:tc>
        <w:tc>
          <w:tcPr>
            <w:tcW w:w="62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color w:val="0000FF"/>
              </w:rPr>
              <w:t>Management’s Discussion and Analysis for the three and nine months ended December 31, 2022</w:t>
            </w:r>
          </w:p>
        </w:tc>
        <w:tc>
          <w:tcPr>
            <w:tcW w:w="180" w:type="dxa"/>
            <w:vAlign w:val="bottom"/>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99.3</w:t>
            </w:r>
          </w:p>
        </w:tc>
        <w:tc>
          <w:tcPr>
            <w:tcW w:w="41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Certification of Interim Filings by CFO dated February 14, 2023</w:t>
            </w:r>
          </w:p>
        </w:tc>
        <w:tc>
          <w:tcPr>
            <w:tcW w:w="2260" w:type="dxa"/>
            <w:vAlign w:val="bottom"/>
            <w:gridSpan w:val="3"/>
          </w:tcPr>
          <w:p>
            <w:pPr>
              <w:spacing w:after="0"/>
              <w:rPr>
                <w:sz w:val="18"/>
                <w:szCs w:val="18"/>
                <w:color w:val="auto"/>
              </w:rPr>
            </w:pP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99.4</w:t>
            </w:r>
          </w:p>
        </w:tc>
        <w:tc>
          <w:tcPr>
            <w:tcW w:w="644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Certification of Interim Filings by CEO dated February 14, 2023</w:t>
            </w:r>
          </w:p>
        </w:tc>
      </w:tr>
      <w:tr>
        <w:trPr>
          <w:trHeight w:val="210"/>
        </w:trPr>
        <w:tc>
          <w:tcPr>
            <w:tcW w:w="11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2"/>
              </w:rPr>
              <w:t>99.5</w:t>
            </w:r>
          </w:p>
        </w:tc>
        <w:tc>
          <w:tcPr>
            <w:tcW w:w="25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rPr>
              <w:t>News Release dated February 14, 2023</w:t>
            </w:r>
          </w:p>
        </w:tc>
        <w:tc>
          <w:tcPr>
            <w:tcW w:w="1640" w:type="dxa"/>
            <w:vAlign w:val="bottom"/>
            <w:tcBorders>
              <w:top w:val="single" w:sz="8" w:color="0000FF"/>
            </w:tcBorders>
            <w:gridSpan w:val="2"/>
          </w:tcPr>
          <w:p>
            <w:pPr>
              <w:spacing w:after="0"/>
              <w:rPr>
                <w:sz w:val="18"/>
                <w:szCs w:val="18"/>
                <w:color w:val="auto"/>
              </w:rPr>
            </w:pPr>
          </w:p>
        </w:tc>
        <w:tc>
          <w:tcPr>
            <w:tcW w:w="2260" w:type="dxa"/>
            <w:vAlign w:val="bottom"/>
            <w:gridSpan w:val="3"/>
          </w:tcPr>
          <w:p>
            <w:pPr>
              <w:spacing w:after="0"/>
              <w:rPr>
                <w:sz w:val="18"/>
                <w:szCs w:val="18"/>
                <w:color w:val="auto"/>
              </w:rPr>
            </w:pPr>
          </w:p>
        </w:tc>
      </w:tr>
    </w:tbl>
    <w:p>
      <w:pPr>
        <w:sectPr>
          <w:pgSz w:w="11900" w:h="16838" w:orient="portrait"/>
          <w:cols w:equalWidth="0" w:num="1">
            <w:col w:w="10119"/>
          </w:cols>
          <w:pgMar w:left="340" w:top="127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3081655</wp:posOffset>
            </wp:positionH>
            <wp:positionV relativeFrom="page">
              <wp:posOffset>2591435</wp:posOffset>
            </wp:positionV>
            <wp:extent cx="1386205" cy="8623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386205" cy="862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Calibri" w:cs="Calibri" w:eastAsia="Calibri" w:hAnsi="Calibri"/>
          <w:sz w:val="39"/>
          <w:szCs w:val="39"/>
          <w:b w:val="1"/>
          <w:bCs w:val="1"/>
          <w:color w:val="auto"/>
        </w:rPr>
        <w:t>CYBIN INC.</w:t>
      </w:r>
    </w:p>
    <w:p>
      <w:pPr>
        <w:spacing w:after="0" w:line="175"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b w:val="1"/>
          <w:bCs w:val="1"/>
          <w:color w:val="auto"/>
        </w:rPr>
        <w:t>CONDENSED INTERIM CONSOLIDATED FINANCIAL STATEMENTS</w:t>
      </w:r>
    </w:p>
    <w:p>
      <w:pPr>
        <w:spacing w:after="0" w:line="157"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FOR THE THREE AND NINE MONTHS ENDED</w:t>
      </w:r>
    </w:p>
    <w:p>
      <w:pPr>
        <w:spacing w:after="0" w:line="144"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DECEMBER 31, 2022</w:t>
      </w:r>
    </w:p>
    <w:p>
      <w:pPr>
        <w:spacing w:after="0" w:line="216" w:lineRule="exact"/>
        <w:rPr>
          <w:sz w:val="20"/>
          <w:szCs w:val="20"/>
          <w:color w:val="auto"/>
        </w:rPr>
      </w:pPr>
    </w:p>
    <w:p>
      <w:pPr>
        <w:jc w:val="center"/>
        <w:ind w:right="19"/>
        <w:spacing w:after="0"/>
        <w:rPr>
          <w:sz w:val="20"/>
          <w:szCs w:val="20"/>
          <w:color w:val="auto"/>
        </w:rPr>
      </w:pPr>
      <w:r>
        <w:rPr>
          <w:rFonts w:ascii="Calibri" w:cs="Calibri" w:eastAsia="Calibri" w:hAnsi="Calibri"/>
          <w:sz w:val="23"/>
          <w:szCs w:val="23"/>
          <w:b w:val="1"/>
          <w:bCs w:val="1"/>
          <w:color w:val="auto"/>
        </w:rPr>
        <w:t>(UNAUDITED)</w:t>
      </w:r>
    </w:p>
    <w:p>
      <w:pPr>
        <w:sectPr>
          <w:pgSz w:w="11900" w:h="16838" w:orient="portrait"/>
          <w:cols w:equalWidth="0" w:num="1">
            <w:col w:w="9019"/>
          </w:cols>
          <w:pgMar w:left="1440" w:top="1440" w:right="1440"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9"/>
          <w:szCs w:val="19"/>
          <w:b w:val="1"/>
          <w:bCs w:val="1"/>
          <w:color w:val="auto"/>
        </w:rPr>
        <w:t>TO OUR SHAREHOLDERS</w:t>
      </w:r>
    </w:p>
    <w:p>
      <w:pPr>
        <w:spacing w:after="0" w:line="157"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 xml:space="preserve">The accompanying unaudited condensed interim consolidated fnancial statements of Cybin Inc. ("Cybin") have been prepared by and are the responsibility of Cybin's management in accordance with Internatonal Accountng Standards (“IAS”) 34, Interim Financial Reportng as issued by the Internatonal Accountng Standards Board ("IASB''). These unaudited condensed interim consolidated fnancial statements do not include all the informaton and notes required by Internatonal Financial Reportng Standards ("IFRS'') for annual fnancial statements and should be read in conjuncton with Cybin’s annual fnancial statements and notes for the year ended March 31, 2022, which are available on SEDAR at </w:t>
      </w:r>
      <w:r>
        <w:rPr>
          <w:rFonts w:ascii="Calibri" w:cs="Calibri" w:eastAsia="Calibri" w:hAnsi="Calibri"/>
          <w:sz w:val="19"/>
          <w:szCs w:val="19"/>
          <w:u w:val="single" w:color="auto"/>
          <w:color w:val="0000E1"/>
        </w:rPr>
        <w:t>www.sedar.com</w:t>
      </w:r>
      <w:r>
        <w:rPr>
          <w:rFonts w:ascii="Calibri" w:cs="Calibri" w:eastAsia="Calibri" w:hAnsi="Calibri"/>
          <w:sz w:val="19"/>
          <w:szCs w:val="19"/>
          <w:color w:val="auto"/>
        </w:rPr>
        <w:t>.</w:t>
      </w:r>
    </w:p>
    <w:p>
      <w:pPr>
        <w:sectPr>
          <w:pgSz w:w="11900" w:h="16838" w:orient="portrait"/>
          <w:cols w:equalWidth="0" w:num="1">
            <w:col w:w="11240"/>
          </w:cols>
          <w:pgMar w:left="320" w:top="1440" w:right="339" w:bottom="1440" w:gutter="0" w:footer="0" w:header="0"/>
        </w:sectPr>
      </w:pPr>
    </w:p>
    <w:bookmarkStart w:id="5" w:name="page6"/>
    <w:bookmarkEnd w:id="5"/>
    <w:p>
      <w:pPr>
        <w:ind w:left="60"/>
        <w:spacing w:after="0"/>
        <w:rPr>
          <w:sz w:val="20"/>
          <w:szCs w:val="20"/>
          <w:color w:val="auto"/>
        </w:rPr>
      </w:pPr>
      <w:r>
        <w:rPr>
          <w:rFonts w:ascii="Calibri" w:cs="Calibri" w:eastAsia="Calibri" w:hAnsi="Calibri"/>
          <w:sz w:val="19"/>
          <w:szCs w:val="19"/>
          <w:b w:val="1"/>
          <w:bCs w:val="1"/>
          <w:color w:val="auto"/>
        </w:rPr>
        <w:t>CYBIN INC.</w:t>
      </w:r>
    </w:p>
    <w:p>
      <w:pPr>
        <w:ind w:left="60" w:right="5060"/>
        <w:spacing w:after="0" w:line="238" w:lineRule="auto"/>
        <w:rPr>
          <w:sz w:val="20"/>
          <w:szCs w:val="20"/>
          <w:color w:val="auto"/>
        </w:rPr>
      </w:pPr>
      <w:r>
        <w:rPr>
          <w:rFonts w:ascii="Calibri" w:cs="Calibri" w:eastAsia="Calibri" w:hAnsi="Calibri"/>
          <w:sz w:val="19"/>
          <w:szCs w:val="19"/>
          <w:b w:val="1"/>
          <w:bCs w:val="1"/>
          <w:color w:val="auto"/>
        </w:rPr>
        <w:t>CONDENSED INTERIM CONSOLIDATED STATEMENTS OF FINANCIAL POSITION (All amounts expressed in thousands of Canadian dollars)</w:t>
      </w:r>
    </w:p>
    <w:p>
      <w:pPr>
        <w:spacing w:after="0" w:line="11" w:lineRule="exact"/>
        <w:rPr>
          <w:sz w:val="20"/>
          <w:szCs w:val="20"/>
          <w:color w:val="auto"/>
        </w:rPr>
      </w:pPr>
    </w:p>
    <w:p>
      <w:pPr>
        <w:ind w:left="60"/>
        <w:spacing w:after="0"/>
        <w:rPr>
          <w:sz w:val="20"/>
          <w:szCs w:val="20"/>
          <w:color w:val="auto"/>
        </w:rPr>
      </w:pPr>
      <w:r>
        <w:rPr>
          <w:rFonts w:ascii="Calibri" w:cs="Calibri" w:eastAsia="Calibri" w:hAnsi="Calibri"/>
          <w:sz w:val="19"/>
          <w:szCs w:val="19"/>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4629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16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As at</w:t>
            </w:r>
          </w:p>
        </w:tc>
        <w:tc>
          <w:tcPr>
            <w:tcW w:w="2440" w:type="dxa"/>
            <w:vAlign w:val="bottom"/>
            <w:tcBorders>
              <w:bottom w:val="single" w:sz="8" w:color="auto"/>
            </w:tcBorders>
          </w:tcPr>
          <w:p>
            <w:pPr>
              <w:jc w:val="center"/>
              <w:ind w:left="987"/>
              <w:spacing w:after="0"/>
              <w:rPr>
                <w:sz w:val="20"/>
                <w:szCs w:val="20"/>
                <w:color w:val="auto"/>
              </w:rPr>
            </w:pPr>
            <w:r>
              <w:rPr>
                <w:rFonts w:ascii="Calibri" w:cs="Calibri" w:eastAsia="Calibri" w:hAnsi="Calibri"/>
                <w:sz w:val="15"/>
                <w:szCs w:val="15"/>
                <w:i w:val="1"/>
                <w:iCs w:val="1"/>
                <w:color w:val="auto"/>
                <w:w w:val="95"/>
              </w:rPr>
              <w:t>Notes</w:t>
            </w:r>
          </w:p>
        </w:tc>
        <w:tc>
          <w:tcPr>
            <w:tcW w:w="2160" w:type="dxa"/>
            <w:vAlign w:val="bottom"/>
            <w:tcBorders>
              <w:bottom w:val="single" w:sz="8" w:color="auto"/>
            </w:tcBorders>
          </w:tcPr>
          <w:p>
            <w:pPr>
              <w:jc w:val="right"/>
              <w:ind w:right="427"/>
              <w:spacing w:after="0"/>
              <w:rPr>
                <w:sz w:val="20"/>
                <w:szCs w:val="20"/>
                <w:color w:val="auto"/>
              </w:rPr>
            </w:pPr>
            <w:r>
              <w:rPr>
                <w:rFonts w:ascii="Calibri" w:cs="Calibri" w:eastAsia="Calibri" w:hAnsi="Calibri"/>
                <w:sz w:val="15"/>
                <w:szCs w:val="15"/>
                <w:b w:val="1"/>
                <w:bCs w:val="1"/>
                <w:color w:val="auto"/>
              </w:rPr>
              <w:t>December 31, 2022</w:t>
            </w:r>
          </w:p>
        </w:tc>
        <w:tc>
          <w:tcPr>
            <w:tcW w:w="1500" w:type="dxa"/>
            <w:vAlign w:val="bottom"/>
            <w:tcBorders>
              <w:bottom w:val="single" w:sz="8" w:color="auto"/>
            </w:tcBorders>
          </w:tcPr>
          <w:p>
            <w:pPr>
              <w:jc w:val="right"/>
              <w:spacing w:after="0"/>
              <w:rPr>
                <w:sz w:val="20"/>
                <w:szCs w:val="20"/>
                <w:color w:val="auto"/>
              </w:rPr>
            </w:pPr>
            <w:r>
              <w:rPr>
                <w:rFonts w:ascii="Calibri" w:cs="Calibri" w:eastAsia="Calibri" w:hAnsi="Calibri"/>
                <w:sz w:val="15"/>
                <w:szCs w:val="15"/>
                <w:b w:val="1"/>
                <w:bCs w:val="1"/>
                <w:color w:val="auto"/>
              </w:rPr>
              <w:t>March 31, 2022</w:t>
            </w:r>
          </w:p>
        </w:tc>
      </w:tr>
      <w:tr>
        <w:trPr>
          <w:trHeight w:val="359"/>
        </w:trPr>
        <w:tc>
          <w:tcPr>
            <w:tcW w:w="5160" w:type="dxa"/>
            <w:vAlign w:val="bottom"/>
          </w:tcPr>
          <w:p>
            <w:pPr>
              <w:ind w:left="60"/>
              <w:spacing w:after="0"/>
              <w:rPr>
                <w:sz w:val="20"/>
                <w:szCs w:val="20"/>
                <w:color w:val="auto"/>
              </w:rPr>
            </w:pPr>
            <w:r>
              <w:rPr>
                <w:rFonts w:ascii="Calibri" w:cs="Calibri" w:eastAsia="Calibri" w:hAnsi="Calibri"/>
                <w:sz w:val="15"/>
                <w:szCs w:val="15"/>
                <w:b w:val="1"/>
                <w:bCs w:val="1"/>
                <w:color w:val="auto"/>
              </w:rPr>
              <w:t>ASSETS</w:t>
            </w:r>
          </w:p>
        </w:tc>
        <w:tc>
          <w:tcPr>
            <w:tcW w:w="2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06"/>
        </w:trPr>
        <w:tc>
          <w:tcPr>
            <w:tcW w:w="516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5160" w:type="dxa"/>
            <w:vAlign w:val="bottom"/>
          </w:tcPr>
          <w:p>
            <w:pPr>
              <w:ind w:left="500"/>
              <w:spacing w:after="0"/>
              <w:rPr>
                <w:sz w:val="20"/>
                <w:szCs w:val="20"/>
                <w:color w:val="auto"/>
              </w:rPr>
            </w:pPr>
            <w:r>
              <w:rPr>
                <w:rFonts w:ascii="Calibri" w:cs="Calibri" w:eastAsia="Calibri" w:hAnsi="Calibri"/>
                <w:sz w:val="15"/>
                <w:szCs w:val="15"/>
                <w:color w:val="auto"/>
              </w:rPr>
              <w:t>Cash</w:t>
            </w:r>
          </w:p>
        </w:tc>
        <w:tc>
          <w:tcPr>
            <w:tcW w:w="2440" w:type="dxa"/>
            <w:vAlign w:val="bottom"/>
          </w:tcPr>
          <w:p>
            <w:pPr>
              <w:spacing w:after="0"/>
              <w:rPr>
                <w:sz w:val="20"/>
                <w:szCs w:val="20"/>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22,511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53,641</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Accounts receivable</w:t>
            </w:r>
          </w:p>
        </w:tc>
        <w:tc>
          <w:tcPr>
            <w:tcW w:w="2440" w:type="dxa"/>
            <w:vAlign w:val="bottom"/>
          </w:tcPr>
          <w:p>
            <w:pPr>
              <w:spacing w:after="0"/>
              <w:rPr>
                <w:sz w:val="18"/>
                <w:szCs w:val="18"/>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2,597</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2,102</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Prepaid expenses</w:t>
            </w:r>
          </w:p>
        </w:tc>
        <w:tc>
          <w:tcPr>
            <w:tcW w:w="2440" w:type="dxa"/>
            <w:vAlign w:val="bottom"/>
          </w:tcPr>
          <w:p>
            <w:pPr>
              <w:spacing w:after="0"/>
              <w:rPr>
                <w:sz w:val="18"/>
                <w:szCs w:val="18"/>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2,891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1,271</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Other current assets</w:t>
            </w:r>
          </w:p>
        </w:tc>
        <w:tc>
          <w:tcPr>
            <w:tcW w:w="2440" w:type="dxa"/>
            <w:vAlign w:val="bottom"/>
          </w:tcPr>
          <w:p>
            <w:pPr>
              <w:spacing w:after="0"/>
              <w:rPr>
                <w:sz w:val="18"/>
                <w:szCs w:val="18"/>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1,982</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1,341</w:t>
            </w:r>
          </w:p>
        </w:tc>
      </w:tr>
      <w:tr>
        <w:trPr>
          <w:trHeight w:val="194"/>
        </w:trPr>
        <w:tc>
          <w:tcPr>
            <w:tcW w:w="5160" w:type="dxa"/>
            <w:vAlign w:val="bottom"/>
          </w:tcPr>
          <w:p>
            <w:pPr>
              <w:ind w:left="520"/>
              <w:spacing w:after="0"/>
              <w:rPr>
                <w:sz w:val="20"/>
                <w:szCs w:val="20"/>
                <w:color w:val="auto"/>
              </w:rPr>
            </w:pPr>
            <w:r>
              <w:rPr>
                <w:rFonts w:ascii="Calibri" w:cs="Calibri" w:eastAsia="Calibri" w:hAnsi="Calibri"/>
                <w:sz w:val="15"/>
                <w:szCs w:val="15"/>
                <w:color w:val="auto"/>
              </w:rPr>
              <w:t>Investments</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3</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125</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134"/>
        </w:trPr>
        <w:tc>
          <w:tcPr>
            <w:tcW w:w="5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5"/>
        </w:trPr>
        <w:tc>
          <w:tcPr>
            <w:tcW w:w="516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Current Assets</w:t>
            </w:r>
          </w:p>
        </w:tc>
        <w:tc>
          <w:tcPr>
            <w:tcW w:w="2440" w:type="dxa"/>
            <w:vAlign w:val="bottom"/>
          </w:tcPr>
          <w:p>
            <w:pPr>
              <w:spacing w:after="0"/>
              <w:rPr>
                <w:sz w:val="14"/>
                <w:szCs w:val="14"/>
                <w:color w:val="auto"/>
              </w:rPr>
            </w:pPr>
          </w:p>
        </w:tc>
        <w:tc>
          <w:tcPr>
            <w:tcW w:w="216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30,106</w:t>
            </w:r>
          </w:p>
        </w:tc>
        <w:tc>
          <w:tcPr>
            <w:tcW w:w="1500" w:type="dxa"/>
            <w:vAlign w:val="bottom"/>
          </w:tcPr>
          <w:p>
            <w:pPr>
              <w:jc w:val="right"/>
              <w:spacing w:after="0" w:line="165" w:lineRule="exact"/>
              <w:rPr>
                <w:sz w:val="20"/>
                <w:szCs w:val="20"/>
                <w:color w:val="auto"/>
              </w:rPr>
            </w:pPr>
            <w:r>
              <w:rPr>
                <w:rFonts w:ascii="Calibri" w:cs="Calibri" w:eastAsia="Calibri" w:hAnsi="Calibri"/>
                <w:sz w:val="15"/>
                <w:szCs w:val="15"/>
                <w:color w:val="auto"/>
              </w:rPr>
              <w:t>58,355</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1"/>
        </w:trPr>
        <w:tc>
          <w:tcPr>
            <w:tcW w:w="5160" w:type="dxa"/>
            <w:vAlign w:val="bottom"/>
          </w:tcPr>
          <w:p>
            <w:pPr>
              <w:ind w:left="200"/>
              <w:spacing w:after="0"/>
              <w:rPr>
                <w:sz w:val="20"/>
                <w:szCs w:val="20"/>
                <w:color w:val="auto"/>
              </w:rPr>
            </w:pPr>
            <w:r>
              <w:rPr>
                <w:rFonts w:ascii="Calibri" w:cs="Calibri" w:eastAsia="Calibri" w:hAnsi="Calibri"/>
                <w:sz w:val="15"/>
                <w:szCs w:val="15"/>
                <w:b w:val="1"/>
                <w:bCs w:val="1"/>
                <w:color w:val="auto"/>
              </w:rPr>
              <w:t>Non-current</w:t>
            </w:r>
          </w:p>
        </w:tc>
        <w:tc>
          <w:tcPr>
            <w:tcW w:w="2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0"/>
        </w:trPr>
        <w:tc>
          <w:tcPr>
            <w:tcW w:w="5160" w:type="dxa"/>
            <w:vAlign w:val="bottom"/>
          </w:tcPr>
          <w:p>
            <w:pPr>
              <w:ind w:left="500"/>
              <w:spacing w:after="0"/>
              <w:rPr>
                <w:sz w:val="20"/>
                <w:szCs w:val="20"/>
                <w:color w:val="auto"/>
              </w:rPr>
            </w:pPr>
            <w:r>
              <w:rPr>
                <w:rFonts w:ascii="Calibri" w:cs="Calibri" w:eastAsia="Calibri" w:hAnsi="Calibri"/>
                <w:sz w:val="15"/>
                <w:szCs w:val="15"/>
                <w:color w:val="auto"/>
              </w:rPr>
              <w:t>Investments</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3</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242</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Equipment</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4</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505</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491</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Intangible assets</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5</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5,271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2,083</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Goodwill</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6</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24,812</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22,892</w:t>
            </w:r>
          </w:p>
        </w:tc>
      </w:tr>
      <w:tr>
        <w:trPr>
          <w:trHeight w:val="134"/>
        </w:trPr>
        <w:tc>
          <w:tcPr>
            <w:tcW w:w="5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5"/>
        </w:trPr>
        <w:tc>
          <w:tcPr>
            <w:tcW w:w="516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Non-Current Assets</w:t>
            </w:r>
          </w:p>
        </w:tc>
        <w:tc>
          <w:tcPr>
            <w:tcW w:w="2440" w:type="dxa"/>
            <w:vAlign w:val="bottom"/>
          </w:tcPr>
          <w:p>
            <w:pPr>
              <w:spacing w:after="0"/>
              <w:rPr>
                <w:sz w:val="14"/>
                <w:szCs w:val="14"/>
                <w:color w:val="auto"/>
              </w:rPr>
            </w:pPr>
          </w:p>
        </w:tc>
        <w:tc>
          <w:tcPr>
            <w:tcW w:w="216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30,588</w:t>
            </w:r>
          </w:p>
        </w:tc>
        <w:tc>
          <w:tcPr>
            <w:tcW w:w="1500" w:type="dxa"/>
            <w:vAlign w:val="bottom"/>
          </w:tcPr>
          <w:p>
            <w:pPr>
              <w:jc w:val="right"/>
              <w:spacing w:after="0" w:line="165" w:lineRule="exact"/>
              <w:rPr>
                <w:sz w:val="20"/>
                <w:szCs w:val="20"/>
                <w:color w:val="auto"/>
              </w:rPr>
            </w:pPr>
            <w:r>
              <w:rPr>
                <w:rFonts w:ascii="Calibri" w:cs="Calibri" w:eastAsia="Calibri" w:hAnsi="Calibri"/>
                <w:sz w:val="15"/>
                <w:szCs w:val="15"/>
                <w:color w:val="auto"/>
              </w:rPr>
              <w:t>25,708</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
        </w:trPr>
        <w:tc>
          <w:tcPr>
            <w:tcW w:w="51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99"/>
        </w:trPr>
        <w:tc>
          <w:tcPr>
            <w:tcW w:w="516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ASSETS</w:t>
            </w:r>
          </w:p>
        </w:tc>
        <w:tc>
          <w:tcPr>
            <w:tcW w:w="2440" w:type="dxa"/>
            <w:vAlign w:val="bottom"/>
            <w:tcBorders>
              <w:bottom w:val="single" w:sz="8" w:color="D9D9D9"/>
            </w:tcBorders>
            <w:shd w:val="clear" w:color="auto" w:fill="D9D9D9"/>
          </w:tcPr>
          <w:p>
            <w:pPr>
              <w:spacing w:after="0"/>
              <w:rPr>
                <w:sz w:val="16"/>
                <w:szCs w:val="16"/>
                <w:color w:val="auto"/>
              </w:rPr>
            </w:pPr>
          </w:p>
        </w:tc>
        <w:tc>
          <w:tcPr>
            <w:tcW w:w="216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60,694</w:t>
            </w:r>
          </w:p>
        </w:tc>
        <w:tc>
          <w:tcPr>
            <w:tcW w:w="150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84,063</w:t>
            </w:r>
          </w:p>
        </w:tc>
      </w:tr>
      <w:tr>
        <w:trPr>
          <w:trHeight w:val="198"/>
        </w:trPr>
        <w:tc>
          <w:tcPr>
            <w:tcW w:w="516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LIABILITIES</w:t>
            </w:r>
          </w:p>
        </w:tc>
        <w:tc>
          <w:tcPr>
            <w:tcW w:w="24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06"/>
        </w:trPr>
        <w:tc>
          <w:tcPr>
            <w:tcW w:w="5160" w:type="dxa"/>
            <w:vAlign w:val="bottom"/>
          </w:tcPr>
          <w:p>
            <w:pPr>
              <w:ind w:left="200"/>
              <w:spacing w:after="0"/>
              <w:rPr>
                <w:sz w:val="20"/>
                <w:szCs w:val="20"/>
                <w:color w:val="auto"/>
              </w:rPr>
            </w:pPr>
            <w:r>
              <w:rPr>
                <w:rFonts w:ascii="Calibri" w:cs="Calibri" w:eastAsia="Calibri" w:hAnsi="Calibri"/>
                <w:sz w:val="15"/>
                <w:szCs w:val="15"/>
                <w:b w:val="1"/>
                <w:bCs w:val="1"/>
                <w:color w:val="auto"/>
              </w:rPr>
              <w:t>Current</w:t>
            </w:r>
          </w:p>
        </w:tc>
        <w:tc>
          <w:tcPr>
            <w:tcW w:w="24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30"/>
        </w:trPr>
        <w:tc>
          <w:tcPr>
            <w:tcW w:w="5160" w:type="dxa"/>
            <w:vAlign w:val="bottom"/>
          </w:tcPr>
          <w:p>
            <w:pPr>
              <w:ind w:left="500"/>
              <w:spacing w:after="0"/>
              <w:rPr>
                <w:sz w:val="20"/>
                <w:szCs w:val="20"/>
                <w:color w:val="auto"/>
              </w:rPr>
            </w:pPr>
            <w:r>
              <w:rPr>
                <w:rFonts w:ascii="Calibri" w:cs="Calibri" w:eastAsia="Calibri" w:hAnsi="Calibri"/>
                <w:sz w:val="15"/>
                <w:szCs w:val="15"/>
                <w:color w:val="auto"/>
              </w:rPr>
              <w:t>Accounts payable and accrued liabilites</w:t>
            </w:r>
          </w:p>
        </w:tc>
        <w:tc>
          <w:tcPr>
            <w:tcW w:w="2440" w:type="dxa"/>
            <w:vAlign w:val="bottom"/>
          </w:tcPr>
          <w:p>
            <w:pPr>
              <w:spacing w:after="0"/>
              <w:rPr>
                <w:sz w:val="20"/>
                <w:szCs w:val="20"/>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4,369</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5,262</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Current porton of contngent consideraton payable</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7</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2,646</w:t>
            </w:r>
          </w:p>
        </w:tc>
      </w:tr>
      <w:tr>
        <w:trPr>
          <w:trHeight w:val="134"/>
        </w:trPr>
        <w:tc>
          <w:tcPr>
            <w:tcW w:w="5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65"/>
        </w:trPr>
        <w:tc>
          <w:tcPr>
            <w:tcW w:w="516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Current Liabilites</w:t>
            </w:r>
          </w:p>
        </w:tc>
        <w:tc>
          <w:tcPr>
            <w:tcW w:w="2440" w:type="dxa"/>
            <w:vAlign w:val="bottom"/>
          </w:tcPr>
          <w:p>
            <w:pPr>
              <w:spacing w:after="0"/>
              <w:rPr>
                <w:sz w:val="14"/>
                <w:szCs w:val="14"/>
                <w:color w:val="auto"/>
              </w:rPr>
            </w:pPr>
          </w:p>
        </w:tc>
        <w:tc>
          <w:tcPr>
            <w:tcW w:w="2160" w:type="dxa"/>
            <w:vAlign w:val="bottom"/>
          </w:tcPr>
          <w:p>
            <w:pPr>
              <w:jc w:val="right"/>
              <w:ind w:right="427"/>
              <w:spacing w:after="0" w:line="165" w:lineRule="exact"/>
              <w:rPr>
                <w:sz w:val="20"/>
                <w:szCs w:val="20"/>
                <w:color w:val="auto"/>
              </w:rPr>
            </w:pPr>
            <w:r>
              <w:rPr>
                <w:rFonts w:ascii="Calibri" w:cs="Calibri" w:eastAsia="Calibri" w:hAnsi="Calibri"/>
                <w:sz w:val="15"/>
                <w:szCs w:val="15"/>
                <w:b w:val="1"/>
                <w:bCs w:val="1"/>
                <w:color w:val="auto"/>
              </w:rPr>
              <w:t>4,369</w:t>
            </w:r>
          </w:p>
        </w:tc>
        <w:tc>
          <w:tcPr>
            <w:tcW w:w="1500" w:type="dxa"/>
            <w:vAlign w:val="bottom"/>
          </w:tcPr>
          <w:p>
            <w:pPr>
              <w:jc w:val="right"/>
              <w:spacing w:after="0" w:line="165" w:lineRule="exact"/>
              <w:rPr>
                <w:sz w:val="20"/>
                <w:szCs w:val="20"/>
                <w:color w:val="auto"/>
              </w:rPr>
            </w:pPr>
            <w:r>
              <w:rPr>
                <w:rFonts w:ascii="Calibri" w:cs="Calibri" w:eastAsia="Calibri" w:hAnsi="Calibri"/>
                <w:sz w:val="15"/>
                <w:szCs w:val="15"/>
                <w:color w:val="auto"/>
              </w:rPr>
              <w:t>7,908</w:t>
            </w:r>
          </w:p>
        </w:tc>
      </w:tr>
      <w:tr>
        <w:trPr>
          <w:trHeight w:val="21"/>
        </w:trPr>
        <w:tc>
          <w:tcPr>
            <w:tcW w:w="516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62"/>
        </w:trPr>
        <w:tc>
          <w:tcPr>
            <w:tcW w:w="51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199"/>
        </w:trPr>
        <w:tc>
          <w:tcPr>
            <w:tcW w:w="516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w:t>
            </w:r>
          </w:p>
        </w:tc>
        <w:tc>
          <w:tcPr>
            <w:tcW w:w="2440" w:type="dxa"/>
            <w:vAlign w:val="bottom"/>
            <w:tcBorders>
              <w:bottom w:val="single" w:sz="8" w:color="D9D9D9"/>
            </w:tcBorders>
            <w:shd w:val="clear" w:color="auto" w:fill="D9D9D9"/>
          </w:tcPr>
          <w:p>
            <w:pPr>
              <w:spacing w:after="0"/>
              <w:rPr>
                <w:sz w:val="16"/>
                <w:szCs w:val="16"/>
                <w:color w:val="auto"/>
              </w:rPr>
            </w:pPr>
          </w:p>
        </w:tc>
        <w:tc>
          <w:tcPr>
            <w:tcW w:w="216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4,369</w:t>
            </w:r>
          </w:p>
        </w:tc>
        <w:tc>
          <w:tcPr>
            <w:tcW w:w="150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7,908</w:t>
            </w:r>
          </w:p>
        </w:tc>
      </w:tr>
      <w:tr>
        <w:trPr>
          <w:trHeight w:val="198"/>
        </w:trPr>
        <w:tc>
          <w:tcPr>
            <w:tcW w:w="516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SHAREHOLDERS' EQUITY</w:t>
            </w:r>
          </w:p>
        </w:tc>
        <w:tc>
          <w:tcPr>
            <w:tcW w:w="2440" w:type="dxa"/>
            <w:vAlign w:val="bottom"/>
            <w:tcBorders>
              <w:top w:val="single" w:sz="8" w:color="auto"/>
            </w:tcBorders>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Share capital</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8</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153,017</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141,451</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Contributed surplus</w:t>
            </w:r>
          </w:p>
        </w:tc>
        <w:tc>
          <w:tcPr>
            <w:tcW w:w="2440" w:type="dxa"/>
            <w:vAlign w:val="bottom"/>
          </w:tcPr>
          <w:p>
            <w:pPr>
              <w:spacing w:after="0"/>
              <w:rPr>
                <w:sz w:val="18"/>
                <w:szCs w:val="18"/>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2,102</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525</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Optons reserve</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8</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26,802</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23,783</w:t>
            </w:r>
          </w:p>
        </w:tc>
      </w:tr>
      <w:tr>
        <w:trPr>
          <w:trHeight w:val="218"/>
        </w:trPr>
        <w:tc>
          <w:tcPr>
            <w:tcW w:w="5160" w:type="dxa"/>
            <w:vAlign w:val="bottom"/>
          </w:tcPr>
          <w:p>
            <w:pPr>
              <w:ind w:left="500"/>
              <w:spacing w:after="0"/>
              <w:rPr>
                <w:sz w:val="20"/>
                <w:szCs w:val="20"/>
                <w:color w:val="auto"/>
              </w:rPr>
            </w:pPr>
            <w:r>
              <w:rPr>
                <w:rFonts w:ascii="Calibri" w:cs="Calibri" w:eastAsia="Calibri" w:hAnsi="Calibri"/>
                <w:sz w:val="15"/>
                <w:szCs w:val="15"/>
                <w:color w:val="auto"/>
              </w:rPr>
              <w:t>Warrants reserve</w:t>
            </w:r>
          </w:p>
        </w:tc>
        <w:tc>
          <w:tcPr>
            <w:tcW w:w="2440" w:type="dxa"/>
            <w:vAlign w:val="bottom"/>
          </w:tcPr>
          <w:p>
            <w:pPr>
              <w:jc w:val="center"/>
              <w:ind w:left="1007"/>
              <w:spacing w:after="0"/>
              <w:rPr>
                <w:sz w:val="20"/>
                <w:szCs w:val="20"/>
                <w:color w:val="auto"/>
              </w:rPr>
            </w:pPr>
            <w:r>
              <w:rPr>
                <w:rFonts w:ascii="Calibri" w:cs="Calibri" w:eastAsia="Calibri" w:hAnsi="Calibri"/>
                <w:sz w:val="15"/>
                <w:szCs w:val="15"/>
                <w:i w:val="1"/>
                <w:iCs w:val="1"/>
                <w:color w:val="auto"/>
              </w:rPr>
              <w:t>8</w:t>
            </w: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10,873</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11,423</w:t>
            </w:r>
          </w:p>
        </w:tc>
      </w:tr>
      <w:tr>
        <w:trPr>
          <w:trHeight w:val="228"/>
        </w:trPr>
        <w:tc>
          <w:tcPr>
            <w:tcW w:w="5160" w:type="dxa"/>
            <w:vAlign w:val="bottom"/>
          </w:tcPr>
          <w:p>
            <w:pPr>
              <w:ind w:left="500"/>
              <w:spacing w:after="0"/>
              <w:rPr>
                <w:sz w:val="20"/>
                <w:szCs w:val="20"/>
                <w:color w:val="auto"/>
              </w:rPr>
            </w:pPr>
            <w:r>
              <w:rPr>
                <w:rFonts w:ascii="Arial" w:cs="Arial" w:eastAsia="Arial" w:hAnsi="Arial"/>
                <w:sz w:val="15"/>
                <w:szCs w:val="15"/>
                <w:color w:val="auto"/>
              </w:rPr>
              <w:t>Accumulated other comprehensive loss</w:t>
            </w:r>
          </w:p>
        </w:tc>
        <w:tc>
          <w:tcPr>
            <w:tcW w:w="2440" w:type="dxa"/>
            <w:vAlign w:val="bottom"/>
          </w:tcPr>
          <w:p>
            <w:pPr>
              <w:spacing w:after="0"/>
              <w:rPr>
                <w:sz w:val="19"/>
                <w:szCs w:val="19"/>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(2,038)</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(366)</w:t>
            </w:r>
          </w:p>
        </w:tc>
      </w:tr>
      <w:tr>
        <w:trPr>
          <w:trHeight w:val="208"/>
        </w:trPr>
        <w:tc>
          <w:tcPr>
            <w:tcW w:w="5160" w:type="dxa"/>
            <w:vAlign w:val="bottom"/>
          </w:tcPr>
          <w:p>
            <w:pPr>
              <w:ind w:left="500"/>
              <w:spacing w:after="0"/>
              <w:rPr>
                <w:sz w:val="20"/>
                <w:szCs w:val="20"/>
                <w:color w:val="auto"/>
              </w:rPr>
            </w:pPr>
            <w:r>
              <w:rPr>
                <w:rFonts w:ascii="Calibri" w:cs="Calibri" w:eastAsia="Calibri" w:hAnsi="Calibri"/>
                <w:sz w:val="15"/>
                <w:szCs w:val="15"/>
                <w:color w:val="auto"/>
              </w:rPr>
              <w:t>Defcit</w:t>
            </w:r>
          </w:p>
        </w:tc>
        <w:tc>
          <w:tcPr>
            <w:tcW w:w="2440" w:type="dxa"/>
            <w:vAlign w:val="bottom"/>
          </w:tcPr>
          <w:p>
            <w:pPr>
              <w:spacing w:after="0"/>
              <w:rPr>
                <w:sz w:val="18"/>
                <w:szCs w:val="18"/>
                <w:color w:val="auto"/>
              </w:rPr>
            </w:pPr>
          </w:p>
        </w:tc>
        <w:tc>
          <w:tcPr>
            <w:tcW w:w="2160" w:type="dxa"/>
            <w:vAlign w:val="bottom"/>
          </w:tcPr>
          <w:p>
            <w:pPr>
              <w:jc w:val="right"/>
              <w:ind w:right="427"/>
              <w:spacing w:after="0"/>
              <w:rPr>
                <w:sz w:val="20"/>
                <w:szCs w:val="20"/>
                <w:color w:val="auto"/>
              </w:rPr>
            </w:pPr>
            <w:r>
              <w:rPr>
                <w:rFonts w:ascii="Calibri" w:cs="Calibri" w:eastAsia="Calibri" w:hAnsi="Calibri"/>
                <w:sz w:val="15"/>
                <w:szCs w:val="15"/>
                <w:b w:val="1"/>
                <w:bCs w:val="1"/>
                <w:color w:val="auto"/>
              </w:rPr>
              <w:t>(134,431)</w:t>
            </w:r>
          </w:p>
        </w:tc>
        <w:tc>
          <w:tcPr>
            <w:tcW w:w="1500" w:type="dxa"/>
            <w:vAlign w:val="bottom"/>
          </w:tcPr>
          <w:p>
            <w:pPr>
              <w:jc w:val="right"/>
              <w:spacing w:after="0"/>
              <w:rPr>
                <w:sz w:val="20"/>
                <w:szCs w:val="20"/>
                <w:color w:val="auto"/>
              </w:rPr>
            </w:pPr>
            <w:r>
              <w:rPr>
                <w:rFonts w:ascii="Calibri" w:cs="Calibri" w:eastAsia="Calibri" w:hAnsi="Calibri"/>
                <w:sz w:val="15"/>
                <w:szCs w:val="15"/>
                <w:color w:val="auto"/>
              </w:rPr>
              <w:t>(100,661)</w:t>
            </w:r>
          </w:p>
        </w:tc>
      </w:tr>
      <w:tr>
        <w:trPr>
          <w:trHeight w:val="134"/>
        </w:trPr>
        <w:tc>
          <w:tcPr>
            <w:tcW w:w="516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216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r>
      <w:tr>
        <w:trPr>
          <w:trHeight w:val="191"/>
        </w:trPr>
        <w:tc>
          <w:tcPr>
            <w:tcW w:w="516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TOTAL SHAREHOLDERS' EQUITY</w:t>
            </w:r>
          </w:p>
        </w:tc>
        <w:tc>
          <w:tcPr>
            <w:tcW w:w="2440" w:type="dxa"/>
            <w:vAlign w:val="bottom"/>
            <w:tcBorders>
              <w:bottom w:val="single" w:sz="8" w:color="D9D9D9"/>
            </w:tcBorders>
            <w:shd w:val="clear" w:color="auto" w:fill="D9D9D9"/>
          </w:tcPr>
          <w:p>
            <w:pPr>
              <w:spacing w:after="0"/>
              <w:rPr>
                <w:sz w:val="16"/>
                <w:szCs w:val="16"/>
                <w:color w:val="auto"/>
              </w:rPr>
            </w:pPr>
          </w:p>
        </w:tc>
        <w:tc>
          <w:tcPr>
            <w:tcW w:w="2160" w:type="dxa"/>
            <w:vAlign w:val="bottom"/>
            <w:tcBorders>
              <w:bottom w:val="single" w:sz="8" w:color="D9D9D9"/>
            </w:tcBorders>
            <w:shd w:val="clear" w:color="auto" w:fill="D9D9D9"/>
          </w:tcPr>
          <w:p>
            <w:pPr>
              <w:jc w:val="right"/>
              <w:ind w:right="427"/>
              <w:spacing w:after="0" w:line="165" w:lineRule="exact"/>
              <w:rPr>
                <w:sz w:val="20"/>
                <w:szCs w:val="20"/>
                <w:color w:val="auto"/>
              </w:rPr>
            </w:pPr>
            <w:r>
              <w:rPr>
                <w:rFonts w:ascii="Calibri" w:cs="Calibri" w:eastAsia="Calibri" w:hAnsi="Calibri"/>
                <w:sz w:val="15"/>
                <w:szCs w:val="15"/>
                <w:b w:val="1"/>
                <w:bCs w:val="1"/>
                <w:color w:val="auto"/>
              </w:rPr>
              <w:t>56,325</w:t>
            </w:r>
          </w:p>
        </w:tc>
        <w:tc>
          <w:tcPr>
            <w:tcW w:w="150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76,155</w:t>
            </w:r>
          </w:p>
        </w:tc>
      </w:tr>
      <w:tr>
        <w:trPr>
          <w:trHeight w:val="29"/>
        </w:trPr>
        <w:tc>
          <w:tcPr>
            <w:tcW w:w="5160" w:type="dxa"/>
            <w:vAlign w:val="bottom"/>
            <w:tcBorders>
              <w:top w:val="single" w:sz="8" w:color="auto"/>
            </w:tcBorders>
          </w:tcPr>
          <w:p>
            <w:pPr>
              <w:spacing w:after="0"/>
              <w:rPr>
                <w:sz w:val="2"/>
                <w:szCs w:val="2"/>
                <w:color w:val="auto"/>
              </w:rPr>
            </w:pPr>
          </w:p>
        </w:tc>
        <w:tc>
          <w:tcPr>
            <w:tcW w:w="2440" w:type="dxa"/>
            <w:vAlign w:val="bottom"/>
            <w:tcBorders>
              <w:top w:val="single" w:sz="8" w:color="auto"/>
            </w:tcBorders>
          </w:tcPr>
          <w:p>
            <w:pPr>
              <w:spacing w:after="0"/>
              <w:rPr>
                <w:sz w:val="2"/>
                <w:szCs w:val="2"/>
                <w:color w:val="auto"/>
              </w:rPr>
            </w:pPr>
          </w:p>
        </w:tc>
        <w:tc>
          <w:tcPr>
            <w:tcW w:w="216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r>
      <w:tr>
        <w:trPr>
          <w:trHeight w:val="174"/>
        </w:trPr>
        <w:tc>
          <w:tcPr>
            <w:tcW w:w="5160" w:type="dxa"/>
            <w:vAlign w:val="bottom"/>
            <w:tcBorders>
              <w:bottom w:val="single" w:sz="8" w:color="D9D9D9"/>
            </w:tcBorders>
            <w:shd w:val="clear" w:color="auto" w:fill="D9D9D9"/>
          </w:tcPr>
          <w:p>
            <w:pPr>
              <w:ind w:left="60"/>
              <w:spacing w:after="0" w:line="173" w:lineRule="exact"/>
              <w:rPr>
                <w:sz w:val="20"/>
                <w:szCs w:val="20"/>
                <w:color w:val="auto"/>
              </w:rPr>
            </w:pPr>
            <w:r>
              <w:rPr>
                <w:rFonts w:ascii="Calibri" w:cs="Calibri" w:eastAsia="Calibri" w:hAnsi="Calibri"/>
                <w:sz w:val="15"/>
                <w:szCs w:val="15"/>
                <w:b w:val="1"/>
                <w:bCs w:val="1"/>
                <w:color w:val="auto"/>
              </w:rPr>
              <w:t>TOTAL LIABILITIES AND SHAREHOLDERS' EQUITY</w:t>
            </w:r>
          </w:p>
        </w:tc>
        <w:tc>
          <w:tcPr>
            <w:tcW w:w="2440" w:type="dxa"/>
            <w:vAlign w:val="bottom"/>
            <w:tcBorders>
              <w:bottom w:val="single" w:sz="8" w:color="D9D9D9"/>
            </w:tcBorders>
            <w:shd w:val="clear" w:color="auto" w:fill="D9D9D9"/>
          </w:tcPr>
          <w:p>
            <w:pPr>
              <w:spacing w:after="0"/>
              <w:rPr>
                <w:sz w:val="15"/>
                <w:szCs w:val="15"/>
                <w:color w:val="auto"/>
              </w:rPr>
            </w:pPr>
          </w:p>
        </w:tc>
        <w:tc>
          <w:tcPr>
            <w:tcW w:w="2160" w:type="dxa"/>
            <w:vAlign w:val="bottom"/>
            <w:tcBorders>
              <w:bottom w:val="single" w:sz="8" w:color="D9D9D9"/>
            </w:tcBorders>
            <w:shd w:val="clear" w:color="auto" w:fill="D9D9D9"/>
          </w:tcPr>
          <w:p>
            <w:pPr>
              <w:jc w:val="right"/>
              <w:ind w:right="427"/>
              <w:spacing w:after="0" w:line="173" w:lineRule="exact"/>
              <w:rPr>
                <w:sz w:val="20"/>
                <w:szCs w:val="20"/>
                <w:color w:val="auto"/>
              </w:rPr>
            </w:pPr>
            <w:r>
              <w:rPr>
                <w:rFonts w:ascii="Calibri" w:cs="Calibri" w:eastAsia="Calibri" w:hAnsi="Calibri"/>
                <w:sz w:val="15"/>
                <w:szCs w:val="15"/>
                <w:b w:val="1"/>
                <w:bCs w:val="1"/>
                <w:color w:val="auto"/>
              </w:rPr>
              <w:t>60,694</w:t>
            </w:r>
          </w:p>
        </w:tc>
        <w:tc>
          <w:tcPr>
            <w:tcW w:w="1500" w:type="dxa"/>
            <w:vAlign w:val="bottom"/>
            <w:tcBorders>
              <w:bottom w:val="single" w:sz="8" w:color="D9D9D9"/>
            </w:tcBorders>
            <w:shd w:val="clear" w:color="auto" w:fill="D9D9D9"/>
          </w:tcPr>
          <w:p>
            <w:pPr>
              <w:jc w:val="right"/>
              <w:spacing w:after="0" w:line="173" w:lineRule="exact"/>
              <w:rPr>
                <w:sz w:val="20"/>
                <w:szCs w:val="20"/>
                <w:color w:val="auto"/>
              </w:rPr>
            </w:pPr>
            <w:r>
              <w:rPr>
                <w:rFonts w:ascii="Calibri" w:cs="Calibri" w:eastAsia="Calibri" w:hAnsi="Calibri"/>
                <w:sz w:val="15"/>
                <w:szCs w:val="15"/>
                <w:color w:val="auto"/>
              </w:rPr>
              <w:t>84,063</w:t>
            </w:r>
          </w:p>
        </w:tc>
      </w:tr>
      <w:tr>
        <w:trPr>
          <w:trHeight w:val="20"/>
        </w:trPr>
        <w:tc>
          <w:tcPr>
            <w:tcW w:w="5160" w:type="dxa"/>
            <w:vAlign w:val="bottom"/>
            <w:shd w:val="clear" w:color="auto" w:fill="000000"/>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r>
    </w:tbl>
    <w:p>
      <w:pPr>
        <w:spacing w:after="0" w:line="59"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Corporate informaton (note 1)</w:t>
      </w:r>
    </w:p>
    <w:p>
      <w:pPr>
        <w:spacing w:after="0" w:line="222" w:lineRule="auto"/>
        <w:rPr>
          <w:sz w:val="20"/>
          <w:szCs w:val="20"/>
          <w:color w:val="auto"/>
        </w:rPr>
      </w:pPr>
      <w:r>
        <w:rPr>
          <w:rFonts w:ascii="Calibri" w:cs="Calibri" w:eastAsia="Calibri" w:hAnsi="Calibri"/>
          <w:sz w:val="15"/>
          <w:szCs w:val="15"/>
          <w:i w:val="1"/>
          <w:iCs w:val="1"/>
          <w:color w:val="auto"/>
        </w:rPr>
        <w:t>Contracts and commitments (note 12)</w:t>
      </w:r>
    </w:p>
    <w:p>
      <w:pPr>
        <w:spacing w:after="0" w:line="223" w:lineRule="auto"/>
        <w:rPr>
          <w:sz w:val="20"/>
          <w:szCs w:val="20"/>
          <w:color w:val="auto"/>
        </w:rPr>
      </w:pPr>
      <w:r>
        <w:rPr>
          <w:rFonts w:ascii="Calibri" w:cs="Calibri" w:eastAsia="Calibri" w:hAnsi="Calibri"/>
          <w:sz w:val="15"/>
          <w:szCs w:val="15"/>
          <w:i w:val="1"/>
          <w:iCs w:val="1"/>
          <w:color w:val="auto"/>
        </w:rPr>
        <w:t>Subsequent events (note 16)</w:t>
      </w:r>
    </w:p>
    <w:p>
      <w:pPr>
        <w:spacing w:after="0" w:line="108" w:lineRule="exact"/>
        <w:rPr>
          <w:sz w:val="20"/>
          <w:szCs w:val="20"/>
          <w:color w:val="auto"/>
        </w:rPr>
      </w:pPr>
    </w:p>
    <w:p>
      <w:pPr>
        <w:spacing w:after="0"/>
        <w:rPr>
          <w:sz w:val="20"/>
          <w:szCs w:val="20"/>
          <w:color w:val="auto"/>
        </w:rPr>
      </w:pPr>
      <w:r>
        <w:rPr>
          <w:rFonts w:ascii="Calibri" w:cs="Calibri" w:eastAsia="Calibri" w:hAnsi="Calibri"/>
          <w:sz w:val="15"/>
          <w:szCs w:val="15"/>
          <w:i w:val="1"/>
          <w:iCs w:val="1"/>
          <w:color w:val="auto"/>
        </w:rPr>
        <w:t>The accompanying notes are an integral part of these condensed interim consolidated fnancial statements.</w:t>
      </w:r>
    </w:p>
    <w:p>
      <w:pPr>
        <w:spacing w:after="0" w:line="112" w:lineRule="exact"/>
        <w:rPr>
          <w:sz w:val="20"/>
          <w:szCs w:val="20"/>
          <w:color w:val="auto"/>
        </w:rPr>
      </w:pPr>
    </w:p>
    <w:p>
      <w:pPr>
        <w:spacing w:after="0"/>
        <w:rPr>
          <w:sz w:val="20"/>
          <w:szCs w:val="20"/>
          <w:color w:val="auto"/>
        </w:rPr>
      </w:pPr>
      <w:r>
        <w:rPr>
          <w:rFonts w:ascii="Calibri" w:cs="Calibri" w:eastAsia="Calibri" w:hAnsi="Calibri"/>
          <w:sz w:val="16"/>
          <w:szCs w:val="16"/>
          <w:color w:val="auto"/>
        </w:rPr>
        <w:t>These condensed interim consolidaton fnancial statements were approved for issue on February 13, 2023 by the board of directors and signed on its behalf by:</w:t>
      </w:r>
    </w:p>
    <w:p>
      <w:pPr>
        <w:spacing w:after="0" w:line="108" w:lineRule="exact"/>
        <w:rPr>
          <w:sz w:val="20"/>
          <w:szCs w:val="20"/>
          <w:color w:val="auto"/>
        </w:rPr>
      </w:pPr>
    </w:p>
    <w:p>
      <w:pPr>
        <w:spacing w:after="0"/>
        <w:tabs>
          <w:tab w:leader="none" w:pos="2720" w:val="left"/>
        </w:tabs>
        <w:rPr>
          <w:sz w:val="20"/>
          <w:szCs w:val="20"/>
          <w:color w:val="auto"/>
        </w:rPr>
      </w:pPr>
      <w:r>
        <w:rPr>
          <w:rFonts w:ascii="Calibri" w:cs="Calibri" w:eastAsia="Calibri" w:hAnsi="Calibri"/>
          <w:sz w:val="16"/>
          <w:szCs w:val="16"/>
          <w:i w:val="1"/>
          <w:iCs w:val="1"/>
          <w:color w:val="auto"/>
        </w:rPr>
        <w:t xml:space="preserve">/s/ Paul Glavine </w:t>
      </w:r>
      <w:r>
        <w:rPr>
          <w:rFonts w:ascii="Calibri" w:cs="Calibri" w:eastAsia="Calibri" w:hAnsi="Calibri"/>
          <w:sz w:val="16"/>
          <w:szCs w:val="16"/>
          <w:color w:val="auto"/>
        </w:rPr>
        <w:t>Director</w:t>
      </w:r>
      <w:r>
        <w:rPr>
          <w:sz w:val="20"/>
          <w:szCs w:val="20"/>
          <w:color w:val="auto"/>
        </w:rPr>
        <w:tab/>
      </w:r>
      <w:r>
        <w:rPr>
          <w:rFonts w:ascii="Calibri" w:cs="Calibri" w:eastAsia="Calibri" w:hAnsi="Calibri"/>
          <w:sz w:val="15"/>
          <w:szCs w:val="15"/>
          <w:i w:val="1"/>
          <w:iCs w:val="1"/>
          <w:color w:val="auto"/>
        </w:rPr>
        <w:t xml:space="preserve">/s/ Eric So </w:t>
      </w:r>
      <w:r>
        <w:rPr>
          <w:rFonts w:ascii="Calibri" w:cs="Calibri" w:eastAsia="Calibri" w:hAnsi="Calibri"/>
          <w:sz w:val="15"/>
          <w:szCs w:val="15"/>
          <w:color w:val="auto"/>
        </w:rPr>
        <w:t>Director</w:t>
      </w:r>
    </w:p>
    <w:p>
      <w:pPr>
        <w:sectPr>
          <w:pgSz w:w="11900" w:h="16838" w:orient="portrait"/>
          <w:cols w:equalWidth="0" w:num="1">
            <w:col w:w="11260"/>
          </w:cols>
          <w:pgMar w:left="320" w:top="162" w:right="319" w:bottom="1440" w:gutter="0" w:footer="0" w:header="0"/>
        </w:sectPr>
      </w:pPr>
    </w:p>
    <w:bookmarkStart w:id="6" w:name="page7"/>
    <w:bookmarkEnd w:id="6"/>
    <w:p>
      <w:pPr>
        <w:ind w:left="60"/>
        <w:spacing w:after="0"/>
        <w:rPr>
          <w:sz w:val="20"/>
          <w:szCs w:val="20"/>
          <w:color w:val="auto"/>
        </w:rPr>
      </w:pPr>
      <w:r>
        <w:rPr>
          <w:rFonts w:ascii="Calibri" w:cs="Calibri" w:eastAsia="Calibri" w:hAnsi="Calibri"/>
          <w:sz w:val="16"/>
          <w:szCs w:val="16"/>
          <w:b w:val="1"/>
          <w:bCs w:val="1"/>
          <w:color w:val="auto"/>
        </w:rPr>
        <w:t>CYBIN INC.</w:t>
      </w:r>
    </w:p>
    <w:p>
      <w:pPr>
        <w:ind w:left="60"/>
        <w:spacing w:after="0" w:line="238" w:lineRule="auto"/>
        <w:rPr>
          <w:sz w:val="20"/>
          <w:szCs w:val="20"/>
          <w:color w:val="auto"/>
        </w:rPr>
      </w:pPr>
      <w:r>
        <w:rPr>
          <w:rFonts w:ascii="Calibri" w:cs="Calibri" w:eastAsia="Calibri" w:hAnsi="Calibri"/>
          <w:sz w:val="16"/>
          <w:szCs w:val="16"/>
          <w:b w:val="1"/>
          <w:bCs w:val="1"/>
          <w:color w:val="auto"/>
        </w:rPr>
        <w:t>CONDENSED INTERIM CONSOLIDATED STATEMENTS OF LOSS AND COMPREHENSIVE LOSS</w:t>
      </w: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and per share amounts)</w:t>
      </w:r>
    </w:p>
    <w:p>
      <w:pPr>
        <w:ind w:left="60"/>
        <w:spacing w:after="0" w:line="237"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40" w:type="dxa"/>
            <w:vAlign w:val="bottom"/>
            <w:gridSpan w:val="2"/>
          </w:tcPr>
          <w:p>
            <w:pPr>
              <w:jc w:val="right"/>
              <w:ind w:right="7"/>
              <w:spacing w:after="0"/>
              <w:rPr>
                <w:sz w:val="20"/>
                <w:szCs w:val="20"/>
                <w:color w:val="auto"/>
              </w:rPr>
            </w:pPr>
            <w:r>
              <w:rPr>
                <w:rFonts w:ascii="Calibri" w:cs="Calibri" w:eastAsia="Calibri" w:hAnsi="Calibri"/>
                <w:sz w:val="16"/>
                <w:szCs w:val="16"/>
                <w:b w:val="1"/>
                <w:bCs w:val="1"/>
                <w:color w:val="auto"/>
              </w:rPr>
              <w:t>Three months ended December 31,</w:t>
            </w:r>
          </w:p>
        </w:tc>
        <w:tc>
          <w:tcPr>
            <w:tcW w:w="2420" w:type="dxa"/>
            <w:vAlign w:val="bottom"/>
            <w:gridSpan w:val="2"/>
          </w:tcPr>
          <w:p>
            <w:pPr>
              <w:jc w:val="right"/>
              <w:ind w:right="27"/>
              <w:spacing w:after="0"/>
              <w:rPr>
                <w:sz w:val="20"/>
                <w:szCs w:val="20"/>
                <w:color w:val="auto"/>
              </w:rPr>
            </w:pPr>
            <w:r>
              <w:rPr>
                <w:rFonts w:ascii="Calibri" w:cs="Calibri" w:eastAsia="Calibri" w:hAnsi="Calibri"/>
                <w:sz w:val="16"/>
                <w:szCs w:val="16"/>
                <w:b w:val="1"/>
                <w:bCs w:val="1"/>
                <w:color w:val="auto"/>
              </w:rPr>
              <w:t>Nine months ended December 31,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5"/>
        </w:trPr>
        <w:tc>
          <w:tcPr>
            <w:tcW w:w="5300" w:type="dxa"/>
            <w:vAlign w:val="bottom"/>
          </w:tcPr>
          <w:p>
            <w:pPr>
              <w:spacing w:after="0"/>
              <w:rPr>
                <w:sz w:val="14"/>
                <w:szCs w:val="14"/>
                <w:color w:val="auto"/>
              </w:rPr>
            </w:pPr>
          </w:p>
        </w:tc>
        <w:tc>
          <w:tcPr>
            <w:tcW w:w="1100" w:type="dxa"/>
            <w:vAlign w:val="bottom"/>
          </w:tcPr>
          <w:p>
            <w:pPr>
              <w:ind w:left="700"/>
              <w:spacing w:after="0" w:line="165" w:lineRule="exact"/>
              <w:rPr>
                <w:sz w:val="20"/>
                <w:szCs w:val="20"/>
                <w:color w:val="auto"/>
              </w:rPr>
            </w:pPr>
            <w:r>
              <w:rPr>
                <w:rFonts w:ascii="Calibri" w:cs="Calibri" w:eastAsia="Calibri" w:hAnsi="Calibri"/>
                <w:sz w:val="15"/>
                <w:szCs w:val="15"/>
                <w:i w:val="1"/>
                <w:iCs w:val="1"/>
                <w:color w:val="auto"/>
              </w:rPr>
              <w:t>Notes</w:t>
            </w: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2022</w:t>
            </w:r>
          </w:p>
        </w:tc>
        <w:tc>
          <w:tcPr>
            <w:tcW w:w="1040" w:type="dxa"/>
            <w:vAlign w:val="bottom"/>
          </w:tcPr>
          <w:p>
            <w:pPr>
              <w:jc w:val="right"/>
              <w:ind w:right="7"/>
              <w:spacing w:after="0" w:line="165" w:lineRule="exact"/>
              <w:rPr>
                <w:sz w:val="20"/>
                <w:szCs w:val="20"/>
                <w:color w:val="auto"/>
              </w:rPr>
            </w:pPr>
            <w:r>
              <w:rPr>
                <w:rFonts w:ascii="Calibri" w:cs="Calibri" w:eastAsia="Calibri" w:hAnsi="Calibri"/>
                <w:sz w:val="15"/>
                <w:szCs w:val="15"/>
                <w:b w:val="1"/>
                <w:bCs w:val="1"/>
                <w:color w:val="auto"/>
              </w:rPr>
              <w:t>2021</w:t>
            </w:r>
          </w:p>
        </w:tc>
        <w:tc>
          <w:tcPr>
            <w:tcW w:w="138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2022</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2021</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0"/>
        </w:trPr>
        <w:tc>
          <w:tcPr>
            <w:tcW w:w="530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5300" w:type="dxa"/>
            <w:vAlign w:val="bottom"/>
          </w:tcPr>
          <w:p>
            <w:pPr>
              <w:ind w:left="200"/>
              <w:spacing w:after="0"/>
              <w:rPr>
                <w:sz w:val="20"/>
                <w:szCs w:val="20"/>
                <w:color w:val="auto"/>
              </w:rPr>
            </w:pPr>
            <w:r>
              <w:rPr>
                <w:rFonts w:ascii="Calibri" w:cs="Calibri" w:eastAsia="Calibri" w:hAnsi="Calibri"/>
                <w:sz w:val="15"/>
                <w:szCs w:val="15"/>
                <w:color w:val="auto"/>
              </w:rPr>
              <w:t>Research</w:t>
            </w:r>
          </w:p>
        </w:tc>
        <w:tc>
          <w:tcPr>
            <w:tcW w:w="110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11</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6,256</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4,963</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17,445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11,757</w:t>
            </w:r>
          </w:p>
        </w:tc>
      </w:tr>
      <w:tr>
        <w:trPr>
          <w:trHeight w:val="218"/>
        </w:trPr>
        <w:tc>
          <w:tcPr>
            <w:tcW w:w="5300" w:type="dxa"/>
            <w:vAlign w:val="bottom"/>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1100" w:type="dxa"/>
            <w:vAlign w:val="bottom"/>
          </w:tcPr>
          <w:p>
            <w:pPr>
              <w:jc w:val="center"/>
              <w:spacing w:after="0"/>
              <w:rPr>
                <w:sz w:val="20"/>
                <w:szCs w:val="20"/>
                <w:color w:val="auto"/>
              </w:rPr>
            </w:pPr>
            <w:r>
              <w:rPr>
                <w:rFonts w:ascii="Calibri" w:cs="Calibri" w:eastAsia="Calibri" w:hAnsi="Calibri"/>
                <w:sz w:val="15"/>
                <w:szCs w:val="15"/>
                <w:i w:val="1"/>
                <w:iCs w:val="1"/>
                <w:color w:val="auto"/>
                <w:w w:val="91"/>
              </w:rPr>
              <w:t>10</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4,859</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7,035</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16,165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21,056</w:t>
            </w:r>
          </w:p>
        </w:tc>
      </w:tr>
      <w:tr>
        <w:trPr>
          <w:trHeight w:val="218"/>
        </w:trPr>
        <w:tc>
          <w:tcPr>
            <w:tcW w:w="5300" w:type="dxa"/>
            <w:vAlign w:val="bottom"/>
          </w:tcPr>
          <w:p>
            <w:pPr>
              <w:ind w:left="200"/>
              <w:spacing w:after="0"/>
              <w:rPr>
                <w:sz w:val="20"/>
                <w:szCs w:val="20"/>
                <w:color w:val="auto"/>
              </w:rPr>
            </w:pPr>
            <w:r>
              <w:rPr>
                <w:rFonts w:ascii="Calibri" w:cs="Calibri" w:eastAsia="Calibri" w:hAnsi="Calibri"/>
                <w:sz w:val="15"/>
                <w:szCs w:val="15"/>
                <w:color w:val="auto"/>
              </w:rPr>
              <w:t>Share-based compensaton</w:t>
            </w:r>
          </w:p>
        </w:tc>
        <w:tc>
          <w:tcPr>
            <w:tcW w:w="1100" w:type="dxa"/>
            <w:vAlign w:val="bottom"/>
          </w:tcPr>
          <w:p>
            <w:pPr>
              <w:jc w:val="center"/>
              <w:spacing w:after="0"/>
              <w:rPr>
                <w:sz w:val="20"/>
                <w:szCs w:val="20"/>
                <w:color w:val="auto"/>
              </w:rPr>
            </w:pPr>
            <w:r>
              <w:rPr>
                <w:rFonts w:ascii="Calibri" w:cs="Calibri" w:eastAsia="Calibri" w:hAnsi="Calibri"/>
                <w:sz w:val="15"/>
                <w:szCs w:val="15"/>
                <w:i w:val="1"/>
                <w:iCs w:val="1"/>
                <w:color w:val="auto"/>
                <w:w w:val="98"/>
              </w:rPr>
              <w:t>8, 9</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978</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4,457</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4,205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14,687</w:t>
            </w:r>
          </w:p>
        </w:tc>
      </w:tr>
      <w:tr>
        <w:trPr>
          <w:trHeight w:val="255"/>
        </w:trPr>
        <w:tc>
          <w:tcPr>
            <w:tcW w:w="5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r>
      <w:tr>
        <w:trPr>
          <w:trHeight w:val="165"/>
        </w:trPr>
        <w:tc>
          <w:tcPr>
            <w:tcW w:w="53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EXPENSES</w:t>
            </w:r>
          </w:p>
        </w:tc>
        <w:tc>
          <w:tcPr>
            <w:tcW w:w="1100" w:type="dxa"/>
            <w:vAlign w:val="bottom"/>
          </w:tcPr>
          <w:p>
            <w:pPr>
              <w:spacing w:after="0"/>
              <w:rPr>
                <w:sz w:val="14"/>
                <w:szCs w:val="14"/>
                <w:color w:val="auto"/>
              </w:rPr>
            </w:pP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12,093</w:t>
            </w:r>
          </w:p>
        </w:tc>
        <w:tc>
          <w:tcPr>
            <w:tcW w:w="1040" w:type="dxa"/>
            <w:vAlign w:val="bottom"/>
          </w:tcPr>
          <w:p>
            <w:pPr>
              <w:jc w:val="right"/>
              <w:ind w:right="7"/>
              <w:spacing w:after="0" w:line="165" w:lineRule="exact"/>
              <w:rPr>
                <w:sz w:val="20"/>
                <w:szCs w:val="20"/>
                <w:color w:val="auto"/>
              </w:rPr>
            </w:pPr>
            <w:r>
              <w:rPr>
                <w:rFonts w:ascii="Calibri" w:cs="Calibri" w:eastAsia="Calibri" w:hAnsi="Calibri"/>
                <w:sz w:val="15"/>
                <w:szCs w:val="15"/>
                <w:color w:val="auto"/>
              </w:rPr>
              <w:t>16,455</w:t>
            </w:r>
          </w:p>
        </w:tc>
        <w:tc>
          <w:tcPr>
            <w:tcW w:w="138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37,815</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47,500</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380"/>
        </w:trPr>
        <w:tc>
          <w:tcPr>
            <w:tcW w:w="530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8"/>
        </w:trPr>
        <w:tc>
          <w:tcPr>
            <w:tcW w:w="530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1100" w:type="dxa"/>
            <w:vAlign w:val="bottom"/>
          </w:tcPr>
          <w:p>
            <w:pPr>
              <w:spacing w:after="0"/>
              <w:rPr>
                <w:sz w:val="18"/>
                <w:szCs w:val="18"/>
                <w:color w:val="auto"/>
              </w:rPr>
            </w:pP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1,353</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(64)</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4,067</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42</w:t>
            </w:r>
          </w:p>
        </w:tc>
      </w:tr>
      <w:tr>
        <w:trPr>
          <w:trHeight w:val="218"/>
        </w:trPr>
        <w:tc>
          <w:tcPr>
            <w:tcW w:w="530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1100" w:type="dxa"/>
            <w:vAlign w:val="bottom"/>
          </w:tcPr>
          <w:p>
            <w:pPr>
              <w:spacing w:after="0"/>
              <w:rPr>
                <w:sz w:val="18"/>
                <w:szCs w:val="18"/>
                <w:color w:val="auto"/>
              </w:rPr>
            </w:pP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157</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63</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455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158</w:t>
            </w:r>
          </w:p>
        </w:tc>
      </w:tr>
      <w:tr>
        <w:trPr>
          <w:trHeight w:val="194"/>
        </w:trPr>
        <w:tc>
          <w:tcPr>
            <w:tcW w:w="5300" w:type="dxa"/>
            <w:vAlign w:val="bottom"/>
          </w:tcPr>
          <w:p>
            <w:pPr>
              <w:ind w:left="20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1100" w:type="dxa"/>
            <w:vAlign w:val="bottom"/>
          </w:tcPr>
          <w:p>
            <w:pPr>
              <w:jc w:val="center"/>
              <w:spacing w:after="0"/>
              <w:rPr>
                <w:sz w:val="20"/>
                <w:szCs w:val="20"/>
                <w:color w:val="auto"/>
              </w:rPr>
            </w:pPr>
            <w:r>
              <w:rPr>
                <w:rFonts w:ascii="Calibri" w:cs="Calibri" w:eastAsia="Calibri" w:hAnsi="Calibri"/>
                <w:sz w:val="15"/>
                <w:szCs w:val="15"/>
                <w:i w:val="1"/>
                <w:iCs w:val="1"/>
                <w:color w:val="auto"/>
                <w:w w:val="99"/>
              </w:rPr>
              <w:t>3, 14</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(159)</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(135)</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w:t>
            </w:r>
          </w:p>
        </w:tc>
      </w:tr>
      <w:tr>
        <w:trPr>
          <w:trHeight w:val="218"/>
        </w:trPr>
        <w:tc>
          <w:tcPr>
            <w:tcW w:w="5300" w:type="dxa"/>
            <w:vAlign w:val="bottom"/>
          </w:tcPr>
          <w:p>
            <w:pPr>
              <w:ind w:left="220"/>
              <w:spacing w:after="0"/>
              <w:rPr>
                <w:sz w:val="20"/>
                <w:szCs w:val="20"/>
                <w:color w:val="auto"/>
              </w:rPr>
            </w:pPr>
            <w:r>
              <w:rPr>
                <w:rFonts w:ascii="Calibri" w:cs="Calibri" w:eastAsia="Calibri" w:hAnsi="Calibri"/>
                <w:sz w:val="15"/>
                <w:szCs w:val="15"/>
                <w:color w:val="auto"/>
              </w:rPr>
              <w:t>Contngent consideraton accreton</w:t>
            </w:r>
          </w:p>
        </w:tc>
        <w:tc>
          <w:tcPr>
            <w:tcW w:w="1100" w:type="dxa"/>
            <w:vAlign w:val="bottom"/>
          </w:tcPr>
          <w:p>
            <w:pPr>
              <w:jc w:val="center"/>
              <w:spacing w:after="0"/>
              <w:rPr>
                <w:sz w:val="20"/>
                <w:szCs w:val="20"/>
                <w:color w:val="auto"/>
              </w:rPr>
            </w:pPr>
            <w:r>
              <w:rPr>
                <w:rFonts w:ascii="Calibri" w:cs="Calibri" w:eastAsia="Calibri" w:hAnsi="Calibri"/>
                <w:sz w:val="15"/>
                <w:szCs w:val="15"/>
                <w:i w:val="1"/>
                <w:iCs w:val="1"/>
                <w:color w:val="auto"/>
              </w:rPr>
              <w:t>7</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(59)</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(13)</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(290)</w:t>
            </w:r>
          </w:p>
        </w:tc>
      </w:tr>
      <w:tr>
        <w:trPr>
          <w:trHeight w:val="206"/>
        </w:trPr>
        <w:tc>
          <w:tcPr>
            <w:tcW w:w="5300" w:type="dxa"/>
            <w:vAlign w:val="bottom"/>
          </w:tcPr>
          <w:p>
            <w:pPr>
              <w:ind w:left="200"/>
              <w:spacing w:after="0"/>
              <w:rPr>
                <w:sz w:val="20"/>
                <w:szCs w:val="20"/>
                <w:color w:val="auto"/>
              </w:rPr>
            </w:pPr>
            <w:r>
              <w:rPr>
                <w:rFonts w:ascii="Calibri" w:cs="Calibri" w:eastAsia="Calibri" w:hAnsi="Calibri"/>
                <w:sz w:val="15"/>
                <w:szCs w:val="15"/>
                <w:color w:val="auto"/>
              </w:rPr>
              <w:t>Change in fair value of contngent consideraton</w:t>
            </w:r>
          </w:p>
        </w:tc>
        <w:tc>
          <w:tcPr>
            <w:tcW w:w="1100" w:type="dxa"/>
            <w:vAlign w:val="bottom"/>
          </w:tcPr>
          <w:p>
            <w:pPr>
              <w:jc w:val="center"/>
              <w:spacing w:after="0"/>
              <w:rPr>
                <w:sz w:val="20"/>
                <w:szCs w:val="20"/>
                <w:color w:val="auto"/>
              </w:rPr>
            </w:pPr>
            <w:r>
              <w:rPr>
                <w:rFonts w:ascii="Calibri" w:cs="Calibri" w:eastAsia="Calibri" w:hAnsi="Calibri"/>
                <w:sz w:val="15"/>
                <w:szCs w:val="15"/>
                <w:i w:val="1"/>
                <w:iCs w:val="1"/>
                <w:color w:val="auto"/>
              </w:rPr>
              <w:t>7</w:t>
            </w: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(695)</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(329)</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(1,944)</w:t>
            </w:r>
          </w:p>
        </w:tc>
      </w:tr>
      <w:tr>
        <w:trPr>
          <w:trHeight w:val="267"/>
        </w:trPr>
        <w:tc>
          <w:tcPr>
            <w:tcW w:w="5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r>
      <w:tr>
        <w:trPr>
          <w:trHeight w:val="165"/>
        </w:trPr>
        <w:tc>
          <w:tcPr>
            <w:tcW w:w="53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TOTAL OTHER INCOME (EXPENSES)</w:t>
            </w:r>
          </w:p>
        </w:tc>
        <w:tc>
          <w:tcPr>
            <w:tcW w:w="1100" w:type="dxa"/>
            <w:vAlign w:val="bottom"/>
          </w:tcPr>
          <w:p>
            <w:pPr>
              <w:spacing w:after="0"/>
              <w:rPr>
                <w:sz w:val="14"/>
                <w:szCs w:val="14"/>
                <w:color w:val="auto"/>
              </w:rPr>
            </w:pP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1,351</w:t>
            </w:r>
          </w:p>
        </w:tc>
        <w:tc>
          <w:tcPr>
            <w:tcW w:w="1040" w:type="dxa"/>
            <w:vAlign w:val="bottom"/>
          </w:tcPr>
          <w:p>
            <w:pPr>
              <w:jc w:val="right"/>
              <w:ind w:right="7"/>
              <w:spacing w:after="0" w:line="165" w:lineRule="exact"/>
              <w:rPr>
                <w:sz w:val="20"/>
                <w:szCs w:val="20"/>
                <w:color w:val="auto"/>
              </w:rPr>
            </w:pPr>
            <w:r>
              <w:rPr>
                <w:rFonts w:ascii="Calibri" w:cs="Calibri" w:eastAsia="Calibri" w:hAnsi="Calibri"/>
                <w:sz w:val="15"/>
                <w:szCs w:val="15"/>
                <w:color w:val="auto"/>
              </w:rPr>
              <w:t>(755)</w:t>
            </w:r>
          </w:p>
        </w:tc>
        <w:tc>
          <w:tcPr>
            <w:tcW w:w="138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4,045</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(2,034)</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0"/>
        </w:trPr>
        <w:tc>
          <w:tcPr>
            <w:tcW w:w="5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91"/>
        </w:trPr>
        <w:tc>
          <w:tcPr>
            <w:tcW w:w="53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NET LOSS FOR THE PERIOD</w:t>
            </w:r>
          </w:p>
        </w:tc>
        <w:tc>
          <w:tcPr>
            <w:tcW w:w="1100" w:type="dxa"/>
            <w:vAlign w:val="bottom"/>
            <w:tcBorders>
              <w:bottom w:val="single" w:sz="8" w:color="D9D9D9"/>
            </w:tcBorders>
            <w:shd w:val="clear" w:color="auto" w:fill="D9D9D9"/>
          </w:tcPr>
          <w:p>
            <w:pPr>
              <w:spacing w:after="0"/>
              <w:rPr>
                <w:sz w:val="16"/>
                <w:szCs w:val="16"/>
                <w:color w:val="auto"/>
              </w:rPr>
            </w:pPr>
          </w:p>
        </w:tc>
        <w:tc>
          <w:tcPr>
            <w:tcW w:w="1400" w:type="dxa"/>
            <w:vAlign w:val="bottom"/>
            <w:tcBorders>
              <w:bottom w:val="single" w:sz="8" w:color="D9D9D9"/>
            </w:tcBorders>
            <w:shd w:val="clear" w:color="auto" w:fill="D9D9D9"/>
          </w:tcPr>
          <w:p>
            <w:pPr>
              <w:jc w:val="right"/>
              <w:ind w:right="167"/>
              <w:spacing w:after="0" w:line="165" w:lineRule="exact"/>
              <w:rPr>
                <w:sz w:val="20"/>
                <w:szCs w:val="20"/>
                <w:color w:val="auto"/>
              </w:rPr>
            </w:pPr>
            <w:r>
              <w:rPr>
                <w:rFonts w:ascii="Calibri" w:cs="Calibri" w:eastAsia="Calibri" w:hAnsi="Calibri"/>
                <w:sz w:val="15"/>
                <w:szCs w:val="15"/>
                <w:b w:val="1"/>
                <w:bCs w:val="1"/>
                <w:color w:val="auto"/>
              </w:rPr>
              <w:t>(10,742)</w:t>
            </w:r>
          </w:p>
        </w:tc>
        <w:tc>
          <w:tcPr>
            <w:tcW w:w="1040" w:type="dxa"/>
            <w:vAlign w:val="bottom"/>
            <w:tcBorders>
              <w:bottom w:val="single" w:sz="8" w:color="D9D9D9"/>
            </w:tcBorders>
            <w:shd w:val="clear" w:color="auto" w:fill="D9D9D9"/>
          </w:tcPr>
          <w:p>
            <w:pPr>
              <w:jc w:val="right"/>
              <w:ind w:right="7"/>
              <w:spacing w:after="0" w:line="165" w:lineRule="exact"/>
              <w:rPr>
                <w:sz w:val="20"/>
                <w:szCs w:val="20"/>
                <w:color w:val="auto"/>
              </w:rPr>
            </w:pPr>
            <w:r>
              <w:rPr>
                <w:rFonts w:ascii="Calibri" w:cs="Calibri" w:eastAsia="Calibri" w:hAnsi="Calibri"/>
                <w:sz w:val="15"/>
                <w:szCs w:val="15"/>
                <w:color w:val="auto"/>
              </w:rPr>
              <w:t>(17,210)</w:t>
            </w:r>
          </w:p>
        </w:tc>
        <w:tc>
          <w:tcPr>
            <w:tcW w:w="1380" w:type="dxa"/>
            <w:vAlign w:val="bottom"/>
            <w:tcBorders>
              <w:bottom w:val="single" w:sz="8" w:color="D9D9D9"/>
            </w:tcBorders>
            <w:shd w:val="clear" w:color="auto" w:fill="D9D9D9"/>
          </w:tcPr>
          <w:p>
            <w:pPr>
              <w:jc w:val="right"/>
              <w:ind w:right="167"/>
              <w:spacing w:after="0" w:line="165" w:lineRule="exact"/>
              <w:rPr>
                <w:sz w:val="20"/>
                <w:szCs w:val="20"/>
                <w:color w:val="auto"/>
              </w:rPr>
            </w:pPr>
            <w:r>
              <w:rPr>
                <w:rFonts w:ascii="Calibri" w:cs="Calibri" w:eastAsia="Calibri" w:hAnsi="Calibri"/>
                <w:sz w:val="15"/>
                <w:szCs w:val="15"/>
                <w:b w:val="1"/>
                <w:bCs w:val="1"/>
                <w:color w:val="auto"/>
              </w:rPr>
              <w:t>(33,770)</w:t>
            </w:r>
          </w:p>
        </w:tc>
        <w:tc>
          <w:tcPr>
            <w:tcW w:w="104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(49,534)</w:t>
            </w:r>
          </w:p>
        </w:tc>
      </w:tr>
      <w:tr>
        <w:trPr>
          <w:trHeight w:val="380"/>
        </w:trPr>
        <w:tc>
          <w:tcPr>
            <w:tcW w:w="53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OTHER COMPREHENSIVE INCOME (LOSS)</w:t>
            </w:r>
          </w:p>
        </w:tc>
        <w:tc>
          <w:tcPr>
            <w:tcW w:w="1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r>
      <w:tr>
        <w:trPr>
          <w:trHeight w:val="218"/>
        </w:trPr>
        <w:tc>
          <w:tcPr>
            <w:tcW w:w="5300" w:type="dxa"/>
            <w:vAlign w:val="bottom"/>
          </w:tcPr>
          <w:p>
            <w:pPr>
              <w:ind w:left="160"/>
              <w:spacing w:after="0"/>
              <w:rPr>
                <w:sz w:val="20"/>
                <w:szCs w:val="20"/>
                <w:color w:val="auto"/>
              </w:rPr>
            </w:pPr>
            <w:r>
              <w:rPr>
                <w:rFonts w:ascii="Calibri" w:cs="Calibri" w:eastAsia="Calibri" w:hAnsi="Calibri"/>
                <w:sz w:val="15"/>
                <w:szCs w:val="15"/>
                <w:color w:val="auto"/>
              </w:rPr>
              <w:t>Foreign currency translaton diferences for foreign operatons</w:t>
            </w:r>
          </w:p>
        </w:tc>
        <w:tc>
          <w:tcPr>
            <w:tcW w:w="1100" w:type="dxa"/>
            <w:vAlign w:val="bottom"/>
          </w:tcPr>
          <w:p>
            <w:pPr>
              <w:spacing w:after="0"/>
              <w:rPr>
                <w:sz w:val="18"/>
                <w:szCs w:val="18"/>
                <w:color w:val="auto"/>
              </w:rPr>
            </w:pPr>
          </w:p>
        </w:tc>
        <w:tc>
          <w:tcPr>
            <w:tcW w:w="140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(1,601)</w:t>
            </w:r>
          </w:p>
        </w:tc>
        <w:tc>
          <w:tcPr>
            <w:tcW w:w="1040" w:type="dxa"/>
            <w:vAlign w:val="bottom"/>
          </w:tcPr>
          <w:p>
            <w:pPr>
              <w:jc w:val="right"/>
              <w:ind w:right="7"/>
              <w:spacing w:after="0"/>
              <w:rPr>
                <w:sz w:val="20"/>
                <w:szCs w:val="20"/>
                <w:color w:val="auto"/>
              </w:rPr>
            </w:pPr>
            <w:r>
              <w:rPr>
                <w:rFonts w:ascii="Calibri" w:cs="Calibri" w:eastAsia="Calibri" w:hAnsi="Calibri"/>
                <w:sz w:val="15"/>
                <w:szCs w:val="15"/>
                <w:color w:val="auto"/>
              </w:rPr>
              <w:t>(123)</w:t>
            </w:r>
          </w:p>
        </w:tc>
        <w:tc>
          <w:tcPr>
            <w:tcW w:w="1380" w:type="dxa"/>
            <w:vAlign w:val="bottom"/>
          </w:tcPr>
          <w:p>
            <w:pPr>
              <w:jc w:val="right"/>
              <w:ind w:right="167"/>
              <w:spacing w:after="0"/>
              <w:rPr>
                <w:sz w:val="20"/>
                <w:szCs w:val="20"/>
                <w:color w:val="auto"/>
              </w:rPr>
            </w:pPr>
            <w:r>
              <w:rPr>
                <w:rFonts w:ascii="Calibri" w:cs="Calibri" w:eastAsia="Calibri" w:hAnsi="Calibri"/>
                <w:sz w:val="15"/>
                <w:szCs w:val="15"/>
                <w:b w:val="1"/>
                <w:bCs w:val="1"/>
                <w:color w:val="auto"/>
              </w:rPr>
              <w:t>(1,672)</w:t>
            </w:r>
          </w:p>
        </w:tc>
        <w:tc>
          <w:tcPr>
            <w:tcW w:w="1040" w:type="dxa"/>
            <w:vAlign w:val="bottom"/>
          </w:tcPr>
          <w:p>
            <w:pPr>
              <w:jc w:val="right"/>
              <w:spacing w:after="0"/>
              <w:rPr>
                <w:sz w:val="20"/>
                <w:szCs w:val="20"/>
                <w:color w:val="auto"/>
              </w:rPr>
            </w:pPr>
            <w:r>
              <w:rPr>
                <w:rFonts w:ascii="Calibri" w:cs="Calibri" w:eastAsia="Calibri" w:hAnsi="Calibri"/>
                <w:sz w:val="15"/>
                <w:szCs w:val="15"/>
                <w:color w:val="auto"/>
              </w:rPr>
              <w:t>(300)</w:t>
            </w:r>
          </w:p>
        </w:tc>
      </w:tr>
      <w:tr>
        <w:trPr>
          <w:trHeight w:val="25"/>
        </w:trPr>
        <w:tc>
          <w:tcPr>
            <w:tcW w:w="5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1"/>
        </w:trPr>
        <w:tc>
          <w:tcPr>
            <w:tcW w:w="5300" w:type="dxa"/>
            <w:vAlign w:val="bottom"/>
            <w:tcBorders>
              <w:bottom w:val="single" w:sz="8" w:color="D9D9D9"/>
            </w:tcBorders>
            <w:shd w:val="clear" w:color="auto" w:fill="D9D9D9"/>
          </w:tcPr>
          <w:p>
            <w:pPr>
              <w:ind w:left="60"/>
              <w:spacing w:after="0" w:line="165" w:lineRule="exact"/>
              <w:rPr>
                <w:sz w:val="20"/>
                <w:szCs w:val="20"/>
                <w:color w:val="auto"/>
              </w:rPr>
            </w:pPr>
            <w:r>
              <w:rPr>
                <w:rFonts w:ascii="Calibri" w:cs="Calibri" w:eastAsia="Calibri" w:hAnsi="Calibri"/>
                <w:sz w:val="15"/>
                <w:szCs w:val="15"/>
                <w:b w:val="1"/>
                <w:bCs w:val="1"/>
                <w:color w:val="auto"/>
              </w:rPr>
              <w:t>COMPREHENSIVE LOSS FOR THE PERIOD</w:t>
            </w:r>
          </w:p>
        </w:tc>
        <w:tc>
          <w:tcPr>
            <w:tcW w:w="1100" w:type="dxa"/>
            <w:vAlign w:val="bottom"/>
            <w:tcBorders>
              <w:bottom w:val="single" w:sz="8" w:color="D9D9D9"/>
            </w:tcBorders>
            <w:shd w:val="clear" w:color="auto" w:fill="D9D9D9"/>
          </w:tcPr>
          <w:p>
            <w:pPr>
              <w:spacing w:after="0"/>
              <w:rPr>
                <w:sz w:val="16"/>
                <w:szCs w:val="16"/>
                <w:color w:val="auto"/>
              </w:rPr>
            </w:pPr>
          </w:p>
        </w:tc>
        <w:tc>
          <w:tcPr>
            <w:tcW w:w="1400" w:type="dxa"/>
            <w:vAlign w:val="bottom"/>
            <w:tcBorders>
              <w:bottom w:val="single" w:sz="8" w:color="D9D9D9"/>
            </w:tcBorders>
            <w:shd w:val="clear" w:color="auto" w:fill="D9D9D9"/>
          </w:tcPr>
          <w:p>
            <w:pPr>
              <w:jc w:val="right"/>
              <w:ind w:right="167"/>
              <w:spacing w:after="0" w:line="165" w:lineRule="exact"/>
              <w:rPr>
                <w:sz w:val="20"/>
                <w:szCs w:val="20"/>
                <w:color w:val="auto"/>
              </w:rPr>
            </w:pPr>
            <w:r>
              <w:rPr>
                <w:rFonts w:ascii="Calibri" w:cs="Calibri" w:eastAsia="Calibri" w:hAnsi="Calibri"/>
                <w:sz w:val="15"/>
                <w:szCs w:val="15"/>
                <w:b w:val="1"/>
                <w:bCs w:val="1"/>
                <w:color w:val="auto"/>
              </w:rPr>
              <w:t>(12,343)</w:t>
            </w:r>
          </w:p>
        </w:tc>
        <w:tc>
          <w:tcPr>
            <w:tcW w:w="1040" w:type="dxa"/>
            <w:vAlign w:val="bottom"/>
            <w:tcBorders>
              <w:bottom w:val="single" w:sz="8" w:color="D9D9D9"/>
            </w:tcBorders>
            <w:shd w:val="clear" w:color="auto" w:fill="D9D9D9"/>
          </w:tcPr>
          <w:p>
            <w:pPr>
              <w:jc w:val="right"/>
              <w:ind w:right="7"/>
              <w:spacing w:after="0" w:line="165" w:lineRule="exact"/>
              <w:rPr>
                <w:sz w:val="20"/>
                <w:szCs w:val="20"/>
                <w:color w:val="auto"/>
              </w:rPr>
            </w:pPr>
            <w:r>
              <w:rPr>
                <w:rFonts w:ascii="Calibri" w:cs="Calibri" w:eastAsia="Calibri" w:hAnsi="Calibri"/>
                <w:sz w:val="15"/>
                <w:szCs w:val="15"/>
                <w:color w:val="auto"/>
              </w:rPr>
              <w:t>(17,333)</w:t>
            </w:r>
          </w:p>
        </w:tc>
        <w:tc>
          <w:tcPr>
            <w:tcW w:w="1380" w:type="dxa"/>
            <w:vAlign w:val="bottom"/>
            <w:tcBorders>
              <w:bottom w:val="single" w:sz="8" w:color="D9D9D9"/>
            </w:tcBorders>
            <w:shd w:val="clear" w:color="auto" w:fill="D9D9D9"/>
          </w:tcPr>
          <w:p>
            <w:pPr>
              <w:jc w:val="right"/>
              <w:ind w:right="167"/>
              <w:spacing w:after="0" w:line="165" w:lineRule="exact"/>
              <w:rPr>
                <w:sz w:val="20"/>
                <w:szCs w:val="20"/>
                <w:color w:val="auto"/>
              </w:rPr>
            </w:pPr>
            <w:r>
              <w:rPr>
                <w:rFonts w:ascii="Calibri" w:cs="Calibri" w:eastAsia="Calibri" w:hAnsi="Calibri"/>
                <w:sz w:val="15"/>
                <w:szCs w:val="15"/>
                <w:b w:val="1"/>
                <w:bCs w:val="1"/>
                <w:color w:val="auto"/>
              </w:rPr>
              <w:t>(35,442)</w:t>
            </w:r>
          </w:p>
        </w:tc>
        <w:tc>
          <w:tcPr>
            <w:tcW w:w="1040" w:type="dxa"/>
            <w:vAlign w:val="bottom"/>
            <w:tcBorders>
              <w:bottom w:val="single" w:sz="8" w:color="D9D9D9"/>
            </w:tcBorders>
            <w:shd w:val="clear" w:color="auto" w:fill="D9D9D9"/>
          </w:tcPr>
          <w:p>
            <w:pPr>
              <w:jc w:val="right"/>
              <w:spacing w:after="0" w:line="165" w:lineRule="exact"/>
              <w:rPr>
                <w:sz w:val="20"/>
                <w:szCs w:val="20"/>
                <w:color w:val="auto"/>
              </w:rPr>
            </w:pPr>
            <w:r>
              <w:rPr>
                <w:rFonts w:ascii="Calibri" w:cs="Calibri" w:eastAsia="Calibri" w:hAnsi="Calibri"/>
                <w:sz w:val="15"/>
                <w:szCs w:val="15"/>
                <w:color w:val="auto"/>
              </w:rPr>
              <w:t>(49,834)</w:t>
            </w:r>
          </w:p>
        </w:tc>
      </w:tr>
      <w:tr>
        <w:trPr>
          <w:trHeight w:val="380"/>
        </w:trPr>
        <w:tc>
          <w:tcPr>
            <w:tcW w:w="530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period atributable to common shareholders</w:t>
            </w:r>
          </w:p>
        </w:tc>
        <w:tc>
          <w:tcPr>
            <w:tcW w:w="1100" w:type="dxa"/>
            <w:vAlign w:val="bottom"/>
            <w:tcBorders>
              <w:top w:val="single" w:sz="8" w:color="auto"/>
            </w:tcBorders>
          </w:tcPr>
          <w:p>
            <w:pPr>
              <w:spacing w:after="0"/>
              <w:rPr>
                <w:sz w:val="24"/>
                <w:szCs w:val="24"/>
                <w:color w:val="auto"/>
              </w:rPr>
            </w:pPr>
          </w:p>
        </w:tc>
        <w:tc>
          <w:tcPr>
            <w:tcW w:w="1400" w:type="dxa"/>
            <w:vAlign w:val="bottom"/>
            <w:tcBorders>
              <w:top w:val="single" w:sz="8" w:color="auto"/>
            </w:tcBorders>
          </w:tcPr>
          <w:p>
            <w:pPr>
              <w:jc w:val="right"/>
              <w:ind w:right="167"/>
              <w:spacing w:after="0"/>
              <w:rPr>
                <w:sz w:val="20"/>
                <w:szCs w:val="20"/>
                <w:color w:val="auto"/>
              </w:rPr>
            </w:pPr>
            <w:r>
              <w:rPr>
                <w:rFonts w:ascii="Calibri" w:cs="Calibri" w:eastAsia="Calibri" w:hAnsi="Calibri"/>
                <w:sz w:val="15"/>
                <w:szCs w:val="15"/>
                <w:b w:val="1"/>
                <w:bCs w:val="1"/>
                <w:color w:val="auto"/>
              </w:rPr>
              <w:t>(0.06)</w:t>
            </w:r>
          </w:p>
        </w:tc>
        <w:tc>
          <w:tcPr>
            <w:tcW w:w="1040" w:type="dxa"/>
            <w:vAlign w:val="bottom"/>
            <w:tcBorders>
              <w:top w:val="single" w:sz="8" w:color="auto"/>
            </w:tcBorders>
          </w:tcPr>
          <w:p>
            <w:pPr>
              <w:jc w:val="right"/>
              <w:ind w:right="7"/>
              <w:spacing w:after="0"/>
              <w:rPr>
                <w:sz w:val="20"/>
                <w:szCs w:val="20"/>
                <w:color w:val="auto"/>
              </w:rPr>
            </w:pPr>
            <w:r>
              <w:rPr>
                <w:rFonts w:ascii="Calibri" w:cs="Calibri" w:eastAsia="Calibri" w:hAnsi="Calibri"/>
                <w:sz w:val="15"/>
                <w:szCs w:val="15"/>
                <w:color w:val="auto"/>
              </w:rPr>
              <w:t>(0.10)</w:t>
            </w:r>
          </w:p>
        </w:tc>
        <w:tc>
          <w:tcPr>
            <w:tcW w:w="1380" w:type="dxa"/>
            <w:vAlign w:val="bottom"/>
            <w:tcBorders>
              <w:top w:val="single" w:sz="8" w:color="auto"/>
            </w:tcBorders>
          </w:tcPr>
          <w:p>
            <w:pPr>
              <w:jc w:val="right"/>
              <w:ind w:right="167"/>
              <w:spacing w:after="0"/>
              <w:rPr>
                <w:sz w:val="20"/>
                <w:szCs w:val="20"/>
                <w:color w:val="auto"/>
              </w:rPr>
            </w:pPr>
            <w:r>
              <w:rPr>
                <w:rFonts w:ascii="Calibri" w:cs="Calibri" w:eastAsia="Calibri" w:hAnsi="Calibri"/>
                <w:sz w:val="15"/>
                <w:szCs w:val="15"/>
                <w:b w:val="1"/>
                <w:bCs w:val="1"/>
                <w:color w:val="auto"/>
              </w:rPr>
              <w:t>(0.19)</w:t>
            </w:r>
          </w:p>
        </w:tc>
        <w:tc>
          <w:tcPr>
            <w:tcW w:w="104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(0.30)</w:t>
            </w:r>
          </w:p>
        </w:tc>
      </w:tr>
      <w:tr>
        <w:trPr>
          <w:trHeight w:val="25"/>
        </w:trPr>
        <w:tc>
          <w:tcPr>
            <w:tcW w:w="5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65"/>
        </w:trPr>
        <w:tc>
          <w:tcPr>
            <w:tcW w:w="530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1100" w:type="dxa"/>
            <w:vAlign w:val="bottom"/>
          </w:tcPr>
          <w:p>
            <w:pPr>
              <w:spacing w:after="0"/>
              <w:rPr>
                <w:sz w:val="14"/>
                <w:szCs w:val="14"/>
                <w:color w:val="auto"/>
              </w:rPr>
            </w:pPr>
          </w:p>
        </w:tc>
        <w:tc>
          <w:tcPr>
            <w:tcW w:w="140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188,887,344</w:t>
            </w:r>
          </w:p>
        </w:tc>
        <w:tc>
          <w:tcPr>
            <w:tcW w:w="1040" w:type="dxa"/>
            <w:vAlign w:val="bottom"/>
          </w:tcPr>
          <w:p>
            <w:pPr>
              <w:jc w:val="right"/>
              <w:ind w:right="7"/>
              <w:spacing w:after="0" w:line="165" w:lineRule="exact"/>
              <w:rPr>
                <w:sz w:val="20"/>
                <w:szCs w:val="20"/>
                <w:color w:val="auto"/>
              </w:rPr>
            </w:pPr>
            <w:r>
              <w:rPr>
                <w:rFonts w:ascii="Calibri" w:cs="Calibri" w:eastAsia="Calibri" w:hAnsi="Calibri"/>
                <w:sz w:val="15"/>
                <w:szCs w:val="15"/>
                <w:color w:val="auto"/>
              </w:rPr>
              <w:t>171,833,544</w:t>
            </w:r>
          </w:p>
        </w:tc>
        <w:tc>
          <w:tcPr>
            <w:tcW w:w="1380" w:type="dxa"/>
            <w:vAlign w:val="bottom"/>
          </w:tcPr>
          <w:p>
            <w:pPr>
              <w:jc w:val="right"/>
              <w:ind w:right="167"/>
              <w:spacing w:after="0" w:line="165" w:lineRule="exact"/>
              <w:rPr>
                <w:sz w:val="20"/>
                <w:szCs w:val="20"/>
                <w:color w:val="auto"/>
              </w:rPr>
            </w:pPr>
            <w:r>
              <w:rPr>
                <w:rFonts w:ascii="Calibri" w:cs="Calibri" w:eastAsia="Calibri" w:hAnsi="Calibri"/>
                <w:sz w:val="15"/>
                <w:szCs w:val="15"/>
                <w:b w:val="1"/>
                <w:bCs w:val="1"/>
                <w:color w:val="auto"/>
              </w:rPr>
              <w:t>181,902,462</w:t>
            </w:r>
          </w:p>
        </w:tc>
        <w:tc>
          <w:tcPr>
            <w:tcW w:w="1040" w:type="dxa"/>
            <w:vAlign w:val="bottom"/>
          </w:tcPr>
          <w:p>
            <w:pPr>
              <w:jc w:val="right"/>
              <w:spacing w:after="0" w:line="165" w:lineRule="exact"/>
              <w:rPr>
                <w:sz w:val="20"/>
                <w:szCs w:val="20"/>
                <w:color w:val="auto"/>
              </w:rPr>
            </w:pPr>
            <w:r>
              <w:rPr>
                <w:rFonts w:ascii="Calibri" w:cs="Calibri" w:eastAsia="Calibri" w:hAnsi="Calibri"/>
                <w:sz w:val="15"/>
                <w:szCs w:val="15"/>
                <w:color w:val="auto"/>
              </w:rPr>
              <w:t>165,130,598</w:t>
            </w:r>
          </w:p>
        </w:tc>
      </w:tr>
      <w:tr>
        <w:trPr>
          <w:trHeight w:val="21"/>
        </w:trPr>
        <w:tc>
          <w:tcPr>
            <w:tcW w:w="5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66" w:right="319" w:bottom="1440" w:gutter="0" w:footer="0" w:header="0"/>
        </w:sectPr>
      </w:pPr>
    </w:p>
    <w:bookmarkStart w:id="7" w:name="page8"/>
    <w:bookmarkEnd w:id="7"/>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CONDENSED INTERIM CONSOLIDATED STATEMENTS OF CHANGES IN SHAREHOLDERS’ EQUITY</w:t>
      </w:r>
    </w:p>
    <w:p>
      <w:pPr>
        <w:ind w:left="60"/>
        <w:spacing w:after="0" w:line="238" w:lineRule="auto"/>
        <w:rPr>
          <w:sz w:val="20"/>
          <w:szCs w:val="20"/>
          <w:color w:val="auto"/>
        </w:rPr>
      </w:pPr>
      <w:r>
        <w:rPr>
          <w:rFonts w:ascii="Calibri" w:cs="Calibri" w:eastAsia="Calibri" w:hAnsi="Calibri"/>
          <w:sz w:val="19"/>
          <w:szCs w:val="19"/>
          <w:b w:val="1"/>
          <w:bCs w:val="1"/>
          <w:color w:val="auto"/>
        </w:rPr>
        <w:t>For the nine months ended December 31, 2022 and 2021</w:t>
      </w:r>
    </w:p>
    <w:p>
      <w:pPr>
        <w:spacing w:after="0" w:line="16"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amounts)</w:t>
      </w:r>
    </w:p>
    <w:p>
      <w:pPr>
        <w:ind w:left="60"/>
        <w:spacing w:after="0" w:line="238"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00" w:type="dxa"/>
            <w:vAlign w:val="bottom"/>
            <w:gridSpan w:val="2"/>
          </w:tcPr>
          <w:p>
            <w:pPr>
              <w:jc w:val="right"/>
              <w:ind w:right="435"/>
              <w:spacing w:after="0"/>
              <w:rPr>
                <w:sz w:val="20"/>
                <w:szCs w:val="20"/>
                <w:color w:val="auto"/>
              </w:rPr>
            </w:pPr>
            <w:r>
              <w:rPr>
                <w:rFonts w:ascii="Calibri" w:cs="Calibri" w:eastAsia="Calibri" w:hAnsi="Calibri"/>
                <w:sz w:val="13"/>
                <w:szCs w:val="13"/>
                <w:b w:val="1"/>
                <w:bCs w:val="1"/>
                <w:color w:val="auto"/>
              </w:rPr>
              <w:t>Share capital</w:t>
            </w: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Calibri" w:cs="Calibri" w:eastAsia="Calibri" w:hAnsi="Calibri"/>
                <w:sz w:val="16"/>
                <w:szCs w:val="16"/>
                <w:b w:val="1"/>
                <w:bCs w:val="1"/>
                <w:color w:val="auto"/>
              </w:rPr>
              <w:t>Reserves</w:t>
            </w: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3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vMerge w:val="restart"/>
          </w:tcPr>
          <w:p>
            <w:pPr>
              <w:jc w:val="center"/>
              <w:spacing w:after="0" w:line="141" w:lineRule="exact"/>
              <w:rPr>
                <w:sz w:val="20"/>
                <w:szCs w:val="20"/>
                <w:color w:val="auto"/>
              </w:rPr>
            </w:pPr>
            <w:r>
              <w:rPr>
                <w:rFonts w:ascii="Calibri" w:cs="Calibri" w:eastAsia="Calibri" w:hAnsi="Calibri"/>
                <w:sz w:val="13"/>
                <w:szCs w:val="13"/>
                <w:b w:val="1"/>
                <w:bCs w:val="1"/>
                <w:color w:val="auto"/>
              </w:rPr>
              <w:t>Accumulated</w:t>
            </w: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3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84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3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40" w:type="dxa"/>
            <w:vAlign w:val="bottom"/>
          </w:tcPr>
          <w:p>
            <w:pPr>
              <w:jc w:val="center"/>
              <w:spacing w:after="0" w:line="123" w:lineRule="exact"/>
              <w:rPr>
                <w:sz w:val="20"/>
                <w:szCs w:val="20"/>
                <w:color w:val="auto"/>
              </w:rPr>
            </w:pPr>
            <w:r>
              <w:rPr>
                <w:rFonts w:ascii="Calibri" w:cs="Calibri" w:eastAsia="Calibri" w:hAnsi="Calibri"/>
                <w:sz w:val="13"/>
                <w:szCs w:val="13"/>
                <w:b w:val="1"/>
                <w:bCs w:val="1"/>
                <w:color w:val="auto"/>
                <w:w w:val="94"/>
              </w:rPr>
              <w:t>other</w:t>
            </w: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center"/>
              <w:spacing w:after="0" w:line="133" w:lineRule="exact"/>
              <w:rPr>
                <w:sz w:val="20"/>
                <w:szCs w:val="20"/>
                <w:color w:val="auto"/>
              </w:rPr>
            </w:pPr>
            <w:r>
              <w:rPr>
                <w:rFonts w:ascii="Calibri" w:cs="Calibri" w:eastAsia="Calibri" w:hAnsi="Calibri"/>
                <w:sz w:val="13"/>
                <w:szCs w:val="13"/>
                <w:b w:val="1"/>
                <w:bCs w:val="1"/>
                <w:color w:val="auto"/>
                <w:w w:val="99"/>
              </w:rPr>
              <w:t>Number of</w:t>
            </w: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tcPr>
          <w:p>
            <w:pPr>
              <w:jc w:val="center"/>
              <w:spacing w:after="0" w:line="133" w:lineRule="exact"/>
              <w:rPr>
                <w:sz w:val="20"/>
                <w:szCs w:val="20"/>
                <w:color w:val="auto"/>
              </w:rPr>
            </w:pPr>
            <w:r>
              <w:rPr>
                <w:rFonts w:ascii="Calibri" w:cs="Calibri" w:eastAsia="Calibri" w:hAnsi="Calibri"/>
                <w:sz w:val="13"/>
                <w:szCs w:val="13"/>
                <w:b w:val="1"/>
                <w:bCs w:val="1"/>
                <w:color w:val="auto"/>
                <w:w w:val="98"/>
              </w:rPr>
              <w:t>Contributed</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spacing w:after="0" w:line="133" w:lineRule="exact"/>
              <w:rPr>
                <w:sz w:val="20"/>
                <w:szCs w:val="20"/>
                <w:color w:val="auto"/>
              </w:rPr>
            </w:pPr>
            <w:r>
              <w:rPr>
                <w:rFonts w:ascii="Calibri" w:cs="Calibri" w:eastAsia="Calibri" w:hAnsi="Calibri"/>
                <w:sz w:val="13"/>
                <w:szCs w:val="13"/>
                <w:b w:val="1"/>
                <w:bCs w:val="1"/>
                <w:color w:val="auto"/>
                <w:w w:val="99"/>
              </w:rPr>
              <w:t>comprehensive</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620" w:type="dxa"/>
            <w:vAlign w:val="bottom"/>
          </w:tcPr>
          <w:p>
            <w:pPr>
              <w:ind w:left="180"/>
              <w:spacing w:after="0" w:line="155" w:lineRule="exact"/>
              <w:rPr>
                <w:sz w:val="20"/>
                <w:szCs w:val="20"/>
                <w:color w:val="auto"/>
              </w:rPr>
            </w:pPr>
            <w:r>
              <w:rPr>
                <w:rFonts w:ascii="Calibri" w:cs="Calibri" w:eastAsia="Calibri" w:hAnsi="Calibri"/>
                <w:sz w:val="13"/>
                <w:szCs w:val="13"/>
                <w:b w:val="1"/>
                <w:bCs w:val="1"/>
                <w:color w:val="auto"/>
              </w:rPr>
              <w:t>Note</w:t>
            </w:r>
          </w:p>
        </w:tc>
        <w:tc>
          <w:tcPr>
            <w:tcW w:w="6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Calibri" w:cs="Calibri" w:eastAsia="Calibri" w:hAnsi="Calibri"/>
                <w:sz w:val="13"/>
                <w:szCs w:val="13"/>
                <w:b w:val="1"/>
                <w:bCs w:val="1"/>
                <w:color w:val="auto"/>
                <w:w w:val="97"/>
              </w:rPr>
              <w:t>shares</w:t>
            </w:r>
          </w:p>
        </w:tc>
        <w:tc>
          <w:tcPr>
            <w:tcW w:w="780" w:type="dxa"/>
            <w:vAlign w:val="bottom"/>
          </w:tcPr>
          <w:p>
            <w:pPr>
              <w:jc w:val="right"/>
              <w:ind w:right="135"/>
              <w:spacing w:after="0" w:line="155" w:lineRule="exact"/>
              <w:rPr>
                <w:sz w:val="20"/>
                <w:szCs w:val="20"/>
                <w:color w:val="auto"/>
              </w:rPr>
            </w:pPr>
            <w:r>
              <w:rPr>
                <w:rFonts w:ascii="Calibri" w:cs="Calibri" w:eastAsia="Calibri" w:hAnsi="Calibri"/>
                <w:sz w:val="13"/>
                <w:szCs w:val="13"/>
                <w:b w:val="1"/>
                <w:bCs w:val="1"/>
                <w:color w:val="auto"/>
              </w:rPr>
              <w:t>Amount</w:t>
            </w:r>
          </w:p>
        </w:tc>
        <w:tc>
          <w:tcPr>
            <w:tcW w:w="60" w:type="dxa"/>
            <w:vAlign w:val="bottom"/>
          </w:tcPr>
          <w:p>
            <w:pPr>
              <w:spacing w:after="0"/>
              <w:rPr>
                <w:sz w:val="14"/>
                <w:szCs w:val="14"/>
                <w:color w:val="auto"/>
              </w:rPr>
            </w:pPr>
          </w:p>
        </w:tc>
        <w:tc>
          <w:tcPr>
            <w:tcW w:w="900" w:type="dxa"/>
            <w:vAlign w:val="bottom"/>
          </w:tcPr>
          <w:p>
            <w:pPr>
              <w:jc w:val="right"/>
              <w:ind w:right="155"/>
              <w:spacing w:after="0" w:line="155" w:lineRule="exact"/>
              <w:rPr>
                <w:sz w:val="20"/>
                <w:szCs w:val="20"/>
                <w:color w:val="auto"/>
              </w:rPr>
            </w:pPr>
            <w:r>
              <w:rPr>
                <w:rFonts w:ascii="Calibri" w:cs="Calibri" w:eastAsia="Calibri" w:hAnsi="Calibri"/>
                <w:sz w:val="13"/>
                <w:szCs w:val="13"/>
                <w:b w:val="1"/>
                <w:bCs w:val="1"/>
                <w:color w:val="auto"/>
              </w:rPr>
              <w:t>Warrants</w:t>
            </w:r>
          </w:p>
        </w:tc>
        <w:tc>
          <w:tcPr>
            <w:tcW w:w="820" w:type="dxa"/>
            <w:vAlign w:val="bottom"/>
          </w:tcPr>
          <w:p>
            <w:pPr>
              <w:jc w:val="center"/>
              <w:ind w:right="15"/>
              <w:spacing w:after="0" w:line="155" w:lineRule="exact"/>
              <w:rPr>
                <w:sz w:val="20"/>
                <w:szCs w:val="20"/>
                <w:color w:val="auto"/>
              </w:rPr>
            </w:pPr>
            <w:r>
              <w:rPr>
                <w:rFonts w:ascii="Calibri" w:cs="Calibri" w:eastAsia="Calibri" w:hAnsi="Calibri"/>
                <w:sz w:val="13"/>
                <w:szCs w:val="13"/>
                <w:b w:val="1"/>
                <w:bCs w:val="1"/>
                <w:color w:val="auto"/>
              </w:rPr>
              <w:t>Optons</w:t>
            </w:r>
          </w:p>
        </w:tc>
        <w:tc>
          <w:tcPr>
            <w:tcW w:w="840" w:type="dxa"/>
            <w:vAlign w:val="bottom"/>
          </w:tcPr>
          <w:p>
            <w:pPr>
              <w:jc w:val="center"/>
              <w:spacing w:after="0"/>
              <w:rPr>
                <w:sz w:val="20"/>
                <w:szCs w:val="20"/>
                <w:color w:val="auto"/>
              </w:rPr>
            </w:pPr>
            <w:r>
              <w:rPr>
                <w:rFonts w:ascii="Calibri" w:cs="Calibri" w:eastAsia="Calibri" w:hAnsi="Calibri"/>
                <w:sz w:val="13"/>
                <w:szCs w:val="13"/>
                <w:b w:val="1"/>
                <w:bCs w:val="1"/>
                <w:color w:val="auto"/>
                <w:w w:val="96"/>
              </w:rPr>
              <w:t>surplus</w:t>
            </w:r>
          </w:p>
        </w:tc>
        <w:tc>
          <w:tcPr>
            <w:tcW w:w="60" w:type="dxa"/>
            <w:vAlign w:val="bottom"/>
          </w:tcPr>
          <w:p>
            <w:pPr>
              <w:spacing w:after="0"/>
              <w:rPr>
                <w:sz w:val="14"/>
                <w:szCs w:val="14"/>
                <w:color w:val="auto"/>
              </w:rPr>
            </w:pPr>
          </w:p>
        </w:tc>
        <w:tc>
          <w:tcPr>
            <w:tcW w:w="860" w:type="dxa"/>
            <w:vAlign w:val="bottom"/>
          </w:tcPr>
          <w:p>
            <w:pPr>
              <w:jc w:val="right"/>
              <w:ind w:right="195"/>
              <w:spacing w:after="0" w:line="155" w:lineRule="exact"/>
              <w:rPr>
                <w:sz w:val="20"/>
                <w:szCs w:val="20"/>
                <w:color w:val="auto"/>
              </w:rPr>
            </w:pPr>
            <w:r>
              <w:rPr>
                <w:rFonts w:ascii="Calibri" w:cs="Calibri" w:eastAsia="Calibri" w:hAnsi="Calibri"/>
                <w:sz w:val="13"/>
                <w:szCs w:val="13"/>
                <w:b w:val="1"/>
                <w:bCs w:val="1"/>
                <w:color w:val="auto"/>
              </w:rPr>
              <w:t>Defcit</w:t>
            </w:r>
          </w:p>
        </w:tc>
        <w:tc>
          <w:tcPr>
            <w:tcW w:w="80" w:type="dxa"/>
            <w:vAlign w:val="bottom"/>
          </w:tcPr>
          <w:p>
            <w:pPr>
              <w:spacing w:after="0"/>
              <w:rPr>
                <w:sz w:val="14"/>
                <w:szCs w:val="14"/>
                <w:color w:val="auto"/>
              </w:rPr>
            </w:pPr>
          </w:p>
        </w:tc>
        <w:tc>
          <w:tcPr>
            <w:tcW w:w="104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rPr>
              <w:t>income (loss)</w:t>
            </w:r>
          </w:p>
        </w:tc>
        <w:tc>
          <w:tcPr>
            <w:tcW w:w="80" w:type="dxa"/>
            <w:vAlign w:val="bottom"/>
          </w:tcPr>
          <w:p>
            <w:pPr>
              <w:spacing w:after="0"/>
              <w:rPr>
                <w:sz w:val="14"/>
                <w:szCs w:val="14"/>
                <w:color w:val="auto"/>
              </w:rPr>
            </w:pPr>
          </w:p>
        </w:tc>
        <w:tc>
          <w:tcPr>
            <w:tcW w:w="900" w:type="dxa"/>
            <w:vAlign w:val="bottom"/>
          </w:tcPr>
          <w:p>
            <w:pPr>
              <w:jc w:val="right"/>
              <w:ind w:right="255"/>
              <w:spacing w:after="0" w:line="155" w:lineRule="exact"/>
              <w:rPr>
                <w:sz w:val="20"/>
                <w:szCs w:val="20"/>
                <w:color w:val="auto"/>
              </w:rPr>
            </w:pPr>
            <w:r>
              <w:rPr>
                <w:rFonts w:ascii="Calibri" w:cs="Calibri" w:eastAsia="Calibri" w:hAnsi="Calibri"/>
                <w:sz w:val="13"/>
                <w:szCs w:val="13"/>
                <w:b w:val="1"/>
                <w:bCs w:val="1"/>
                <w:color w:val="auto"/>
              </w:rPr>
              <w:t>Total</w:t>
            </w:r>
          </w:p>
        </w:tc>
        <w:tc>
          <w:tcPr>
            <w:tcW w:w="0" w:type="dxa"/>
            <w:vAlign w:val="bottom"/>
          </w:tcPr>
          <w:p>
            <w:pPr>
              <w:spacing w:after="0"/>
              <w:rPr>
                <w:sz w:val="1"/>
                <w:szCs w:val="1"/>
                <w:color w:val="auto"/>
              </w:rPr>
            </w:pPr>
          </w:p>
        </w:tc>
      </w:tr>
      <w:tr>
        <w:trPr>
          <w:trHeight w:val="29"/>
        </w:trPr>
        <w:tc>
          <w:tcPr>
            <w:tcW w:w="324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vMerge w:val="restart"/>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gridSpan w:val="2"/>
          </w:tcPr>
          <w:p>
            <w:pPr>
              <w:jc w:val="center"/>
              <w:spacing w:after="0" w:line="158" w:lineRule="exact"/>
              <w:rPr>
                <w:sz w:val="20"/>
                <w:szCs w:val="20"/>
                <w:color w:val="auto"/>
              </w:rPr>
            </w:pPr>
            <w:r>
              <w:rPr>
                <w:rFonts w:ascii="Calibri" w:cs="Calibri" w:eastAsia="Calibri" w:hAnsi="Calibri"/>
                <w:sz w:val="13"/>
                <w:szCs w:val="13"/>
                <w:b w:val="1"/>
                <w:bCs w:val="1"/>
                <w:color w:val="auto"/>
                <w:w w:val="91"/>
              </w:rPr>
              <w:t>#</w:t>
            </w:r>
          </w:p>
        </w:tc>
        <w:tc>
          <w:tcPr>
            <w:tcW w:w="780" w:type="dxa"/>
            <w:vAlign w:val="bottom"/>
          </w:tcPr>
          <w:p>
            <w:pPr>
              <w:jc w:val="right"/>
              <w:ind w:right="335"/>
              <w:spacing w:after="0" w:line="158" w:lineRule="exact"/>
              <w:rPr>
                <w:sz w:val="20"/>
                <w:szCs w:val="20"/>
                <w:color w:val="auto"/>
              </w:rPr>
            </w:pPr>
            <w:r>
              <w:rPr>
                <w:rFonts w:ascii="Calibri" w:cs="Calibri" w:eastAsia="Calibri" w:hAnsi="Calibri"/>
                <w:sz w:val="13"/>
                <w:szCs w:val="13"/>
                <w:b w:val="1"/>
                <w:bCs w:val="1"/>
                <w:color w:val="auto"/>
              </w:rPr>
              <w:t>$</w:t>
            </w:r>
          </w:p>
        </w:tc>
        <w:tc>
          <w:tcPr>
            <w:tcW w:w="60" w:type="dxa"/>
            <w:vAlign w:val="bottom"/>
            <w:vMerge w:val="continue"/>
          </w:tcPr>
          <w:p>
            <w:pPr>
              <w:spacing w:after="0"/>
              <w:rPr>
                <w:sz w:val="16"/>
                <w:szCs w:val="16"/>
                <w:color w:val="auto"/>
              </w:rPr>
            </w:pPr>
          </w:p>
        </w:tc>
        <w:tc>
          <w:tcPr>
            <w:tcW w:w="900" w:type="dxa"/>
            <w:vAlign w:val="bottom"/>
          </w:tcPr>
          <w:p>
            <w:pPr>
              <w:jc w:val="right"/>
              <w:ind w:right="375"/>
              <w:spacing w:after="0" w:line="155" w:lineRule="exact"/>
              <w:rPr>
                <w:sz w:val="20"/>
                <w:szCs w:val="20"/>
                <w:color w:val="auto"/>
              </w:rPr>
            </w:pPr>
            <w:r>
              <w:rPr>
                <w:rFonts w:ascii="Calibri" w:cs="Calibri" w:eastAsia="Calibri" w:hAnsi="Calibri"/>
                <w:sz w:val="13"/>
                <w:szCs w:val="13"/>
                <w:b w:val="1"/>
                <w:bCs w:val="1"/>
                <w:color w:val="auto"/>
              </w:rPr>
              <w:t>$</w:t>
            </w:r>
          </w:p>
        </w:tc>
        <w:tc>
          <w:tcPr>
            <w:tcW w:w="820" w:type="dxa"/>
            <w:vAlign w:val="bottom"/>
          </w:tcPr>
          <w:p>
            <w:pPr>
              <w:jc w:val="center"/>
              <w:spacing w:after="0" w:line="155" w:lineRule="exact"/>
              <w:rPr>
                <w:sz w:val="20"/>
                <w:szCs w:val="20"/>
                <w:color w:val="auto"/>
              </w:rPr>
            </w:pPr>
            <w:r>
              <w:rPr>
                <w:rFonts w:ascii="Calibri" w:cs="Calibri" w:eastAsia="Calibri" w:hAnsi="Calibri"/>
                <w:sz w:val="13"/>
                <w:szCs w:val="13"/>
                <w:b w:val="1"/>
                <w:bCs w:val="1"/>
                <w:color w:val="auto"/>
              </w:rPr>
              <w:t>$</w:t>
            </w:r>
          </w:p>
        </w:tc>
        <w:tc>
          <w:tcPr>
            <w:tcW w:w="840" w:type="dxa"/>
            <w:vAlign w:val="bottom"/>
          </w:tcPr>
          <w:p>
            <w:pPr>
              <w:jc w:val="center"/>
              <w:spacing w:after="0" w:line="158" w:lineRule="exact"/>
              <w:rPr>
                <w:sz w:val="20"/>
                <w:szCs w:val="20"/>
                <w:color w:val="auto"/>
              </w:rPr>
            </w:pPr>
            <w:r>
              <w:rPr>
                <w:rFonts w:ascii="Calibri" w:cs="Calibri" w:eastAsia="Calibri" w:hAnsi="Calibri"/>
                <w:sz w:val="13"/>
                <w:szCs w:val="13"/>
                <w:b w:val="1"/>
                <w:bCs w:val="1"/>
                <w:color w:val="auto"/>
                <w:w w:val="90"/>
              </w:rPr>
              <w:t>$</w:t>
            </w:r>
          </w:p>
        </w:tc>
        <w:tc>
          <w:tcPr>
            <w:tcW w:w="920" w:type="dxa"/>
            <w:vAlign w:val="bottom"/>
            <w:gridSpan w:val="2"/>
          </w:tcPr>
          <w:p>
            <w:pPr>
              <w:jc w:val="right"/>
              <w:ind w:right="335"/>
              <w:spacing w:after="0" w:line="158" w:lineRule="exact"/>
              <w:rPr>
                <w:sz w:val="20"/>
                <w:szCs w:val="20"/>
                <w:color w:val="auto"/>
              </w:rPr>
            </w:pPr>
            <w:r>
              <w:rPr>
                <w:rFonts w:ascii="Calibri" w:cs="Calibri" w:eastAsia="Calibri" w:hAnsi="Calibri"/>
                <w:sz w:val="13"/>
                <w:szCs w:val="13"/>
                <w:b w:val="1"/>
                <w:bCs w:val="1"/>
                <w:color w:val="auto"/>
              </w:rPr>
              <w:t>$</w:t>
            </w:r>
          </w:p>
        </w:tc>
        <w:tc>
          <w:tcPr>
            <w:tcW w:w="80" w:type="dxa"/>
            <w:vAlign w:val="bottom"/>
          </w:tcPr>
          <w:p>
            <w:pPr>
              <w:spacing w:after="0"/>
              <w:rPr>
                <w:sz w:val="16"/>
                <w:szCs w:val="16"/>
                <w:color w:val="auto"/>
              </w:rPr>
            </w:pPr>
          </w:p>
        </w:tc>
        <w:tc>
          <w:tcPr>
            <w:tcW w:w="1040" w:type="dxa"/>
            <w:vAlign w:val="bottom"/>
          </w:tcPr>
          <w:p>
            <w:pPr>
              <w:jc w:val="right"/>
              <w:ind w:right="375"/>
              <w:spacing w:after="0" w:line="185" w:lineRule="exact"/>
              <w:rPr>
                <w:sz w:val="20"/>
                <w:szCs w:val="20"/>
                <w:color w:val="auto"/>
              </w:rPr>
            </w:pPr>
            <w:r>
              <w:rPr>
                <w:rFonts w:ascii="Calibri" w:cs="Calibri" w:eastAsia="Calibri" w:hAnsi="Calibri"/>
                <w:sz w:val="16"/>
                <w:szCs w:val="16"/>
                <w:b w:val="1"/>
                <w:bCs w:val="1"/>
                <w:color w:val="auto"/>
              </w:rPr>
              <w:t>$</w:t>
            </w:r>
          </w:p>
        </w:tc>
        <w:tc>
          <w:tcPr>
            <w:tcW w:w="980" w:type="dxa"/>
            <w:vAlign w:val="bottom"/>
            <w:gridSpan w:val="2"/>
          </w:tcPr>
          <w:p>
            <w:pPr>
              <w:jc w:val="right"/>
              <w:ind w:right="355"/>
              <w:spacing w:after="0" w:line="158" w:lineRule="exact"/>
              <w:rPr>
                <w:sz w:val="20"/>
                <w:szCs w:val="20"/>
                <w:color w:val="auto"/>
              </w:rPr>
            </w:pPr>
            <w:r>
              <w:rPr>
                <w:rFonts w:ascii="Calibri" w:cs="Calibri" w:eastAsia="Calibri" w:hAnsi="Calibri"/>
                <w:sz w:val="13"/>
                <w:szCs w:val="13"/>
                <w:b w:val="1"/>
                <w:bCs w:val="1"/>
                <w:color w:val="auto"/>
              </w:rPr>
              <w:t>$</w:t>
            </w:r>
          </w:p>
        </w:tc>
        <w:tc>
          <w:tcPr>
            <w:tcW w:w="0" w:type="dxa"/>
            <w:vAlign w:val="bottom"/>
          </w:tcPr>
          <w:p>
            <w:pPr>
              <w:spacing w:after="0"/>
              <w:rPr>
                <w:sz w:val="1"/>
                <w:szCs w:val="1"/>
                <w:color w:val="auto"/>
              </w:rPr>
            </w:pPr>
          </w:p>
        </w:tc>
      </w:tr>
      <w:tr>
        <w:trPr>
          <w:trHeight w:val="182"/>
        </w:trPr>
        <w:tc>
          <w:tcPr>
            <w:tcW w:w="3240" w:type="dxa"/>
            <w:vAlign w:val="bottom"/>
            <w:tcBorders>
              <w:top w:val="single" w:sz="8" w:color="auto"/>
              <w:bottom w:val="single" w:sz="8" w:color="D9D9D9"/>
            </w:tcBorders>
            <w:shd w:val="clear" w:color="auto" w:fill="D9D9D9"/>
          </w:tcPr>
          <w:p>
            <w:pPr>
              <w:ind w:left="60"/>
              <w:spacing w:after="0" w:line="155" w:lineRule="exact"/>
              <w:rPr>
                <w:sz w:val="20"/>
                <w:szCs w:val="20"/>
                <w:color w:val="auto"/>
              </w:rPr>
            </w:pPr>
            <w:r>
              <w:rPr>
                <w:rFonts w:ascii="Calibri" w:cs="Calibri" w:eastAsia="Calibri" w:hAnsi="Calibri"/>
                <w:sz w:val="13"/>
                <w:szCs w:val="13"/>
                <w:b w:val="1"/>
                <w:bCs w:val="1"/>
                <w:color w:val="auto"/>
              </w:rPr>
              <w:t>Balance at March 31, 2021</w:t>
            </w:r>
          </w:p>
        </w:tc>
        <w:tc>
          <w:tcPr>
            <w:tcW w:w="620" w:type="dxa"/>
            <w:vAlign w:val="bottom"/>
            <w:tcBorders>
              <w:top w:val="single" w:sz="8" w:color="auto"/>
              <w:bottom w:val="single" w:sz="8" w:color="D9D9D9"/>
            </w:tcBorders>
            <w:shd w:val="clear" w:color="auto" w:fill="D9D9D9"/>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D9D9D9"/>
            </w:tcBorders>
            <w:shd w:val="clear" w:color="auto" w:fill="D9D9D9"/>
          </w:tcPr>
          <w:p>
            <w:pPr>
              <w:jc w:val="right"/>
              <w:ind w:right="55"/>
              <w:spacing w:after="0" w:line="155" w:lineRule="exact"/>
              <w:rPr>
                <w:sz w:val="20"/>
                <w:szCs w:val="20"/>
                <w:color w:val="auto"/>
              </w:rPr>
            </w:pPr>
            <w:r>
              <w:rPr>
                <w:rFonts w:ascii="Calibri" w:cs="Calibri" w:eastAsia="Calibri" w:hAnsi="Calibri"/>
                <w:sz w:val="13"/>
                <w:szCs w:val="13"/>
                <w:b w:val="1"/>
                <w:bCs w:val="1"/>
                <w:color w:val="auto"/>
              </w:rPr>
              <w:t>157,454,415</w:t>
            </w:r>
          </w:p>
        </w:tc>
        <w:tc>
          <w:tcPr>
            <w:tcW w:w="78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100,676</w:t>
            </w:r>
          </w:p>
        </w:tc>
        <w:tc>
          <w:tcPr>
            <w:tcW w:w="60" w:type="dxa"/>
            <w:vAlign w:val="bottom"/>
            <w:tcBorders>
              <w:top w:val="single" w:sz="8" w:color="auto"/>
            </w:tcBorders>
          </w:tcPr>
          <w:p>
            <w:pPr>
              <w:spacing w:after="0"/>
              <w:rPr>
                <w:sz w:val="15"/>
                <w:szCs w:val="15"/>
                <w:color w:val="auto"/>
              </w:rPr>
            </w:pPr>
          </w:p>
        </w:tc>
        <w:tc>
          <w:tcPr>
            <w:tcW w:w="900" w:type="dxa"/>
            <w:vAlign w:val="bottom"/>
            <w:tcBorders>
              <w:top w:val="single" w:sz="8" w:color="auto"/>
              <w:bottom w:val="single" w:sz="8" w:color="D9D9D9"/>
            </w:tcBorders>
            <w:shd w:val="clear" w:color="auto" w:fill="D9D9D9"/>
          </w:tcPr>
          <w:p>
            <w:pPr>
              <w:jc w:val="right"/>
              <w:ind w:right="35"/>
              <w:spacing w:after="0" w:line="155" w:lineRule="exact"/>
              <w:rPr>
                <w:sz w:val="20"/>
                <w:szCs w:val="20"/>
                <w:color w:val="auto"/>
              </w:rPr>
            </w:pPr>
            <w:r>
              <w:rPr>
                <w:rFonts w:ascii="Calibri" w:cs="Calibri" w:eastAsia="Calibri" w:hAnsi="Calibri"/>
                <w:sz w:val="13"/>
                <w:szCs w:val="13"/>
                <w:b w:val="1"/>
                <w:bCs w:val="1"/>
                <w:color w:val="auto"/>
              </w:rPr>
              <w:t>11,166</w:t>
            </w:r>
          </w:p>
        </w:tc>
        <w:tc>
          <w:tcPr>
            <w:tcW w:w="820" w:type="dxa"/>
            <w:vAlign w:val="bottom"/>
            <w:tcBorders>
              <w:top w:val="single" w:sz="8" w:color="auto"/>
              <w:bottom w:val="single" w:sz="8" w:color="D9D9D9"/>
            </w:tcBorders>
            <w:shd w:val="clear" w:color="auto" w:fill="D9D9D9"/>
          </w:tcPr>
          <w:p>
            <w:pPr>
              <w:jc w:val="right"/>
              <w:ind w:right="15"/>
              <w:spacing w:after="0" w:line="155" w:lineRule="exact"/>
              <w:rPr>
                <w:sz w:val="20"/>
                <w:szCs w:val="20"/>
                <w:color w:val="auto"/>
              </w:rPr>
            </w:pPr>
            <w:r>
              <w:rPr>
                <w:rFonts w:ascii="Calibri" w:cs="Calibri" w:eastAsia="Calibri" w:hAnsi="Calibri"/>
                <w:sz w:val="13"/>
                <w:szCs w:val="13"/>
                <w:b w:val="1"/>
                <w:bCs w:val="1"/>
                <w:color w:val="auto"/>
              </w:rPr>
              <w:t>7,158</w:t>
            </w:r>
          </w:p>
        </w:tc>
        <w:tc>
          <w:tcPr>
            <w:tcW w:w="84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124</w:t>
            </w:r>
          </w:p>
        </w:tc>
        <w:tc>
          <w:tcPr>
            <w:tcW w:w="60" w:type="dxa"/>
            <w:vAlign w:val="bottom"/>
          </w:tcPr>
          <w:p>
            <w:pPr>
              <w:spacing w:after="0"/>
              <w:rPr>
                <w:sz w:val="15"/>
                <w:szCs w:val="15"/>
                <w:color w:val="auto"/>
              </w:rPr>
            </w:pPr>
          </w:p>
        </w:tc>
        <w:tc>
          <w:tcPr>
            <w:tcW w:w="86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(33,030)</w:t>
            </w:r>
          </w:p>
        </w:tc>
        <w:tc>
          <w:tcPr>
            <w:tcW w:w="80" w:type="dxa"/>
            <w:vAlign w:val="bottom"/>
            <w:tcBorders>
              <w:top w:val="single" w:sz="8" w:color="auto"/>
            </w:tcBorders>
          </w:tcPr>
          <w:p>
            <w:pPr>
              <w:spacing w:after="0"/>
              <w:rPr>
                <w:sz w:val="15"/>
                <w:szCs w:val="15"/>
                <w:color w:val="auto"/>
              </w:rPr>
            </w:pPr>
          </w:p>
        </w:tc>
        <w:tc>
          <w:tcPr>
            <w:tcW w:w="104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24</w:t>
            </w: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bottom w:val="single" w:sz="8" w:color="D9D9D9"/>
            </w:tcBorders>
            <w:shd w:val="clear" w:color="auto" w:fill="D9D9D9"/>
          </w:tcPr>
          <w:p>
            <w:pPr>
              <w:jc w:val="right"/>
              <w:spacing w:after="0" w:line="155" w:lineRule="exact"/>
              <w:rPr>
                <w:sz w:val="20"/>
                <w:szCs w:val="20"/>
                <w:color w:val="auto"/>
              </w:rPr>
            </w:pPr>
            <w:r>
              <w:rPr>
                <w:rFonts w:ascii="Calibri" w:cs="Calibri" w:eastAsia="Calibri" w:hAnsi="Calibri"/>
                <w:sz w:val="13"/>
                <w:szCs w:val="13"/>
                <w:b w:val="1"/>
                <w:bCs w:val="1"/>
                <w:color w:val="auto"/>
              </w:rPr>
              <w:t>86,118</w:t>
            </w:r>
          </w:p>
        </w:tc>
        <w:tc>
          <w:tcPr>
            <w:tcW w:w="0" w:type="dxa"/>
            <w:vAlign w:val="bottom"/>
          </w:tcPr>
          <w:p>
            <w:pPr>
              <w:spacing w:after="0"/>
              <w:rPr>
                <w:sz w:val="1"/>
                <w:szCs w:val="1"/>
                <w:color w:val="auto"/>
              </w:rPr>
            </w:pPr>
          </w:p>
        </w:tc>
      </w:tr>
      <w:tr>
        <w:trPr>
          <w:trHeight w:val="147"/>
        </w:trPr>
        <w:tc>
          <w:tcPr>
            <w:tcW w:w="3240" w:type="dxa"/>
            <w:vAlign w:val="bottom"/>
            <w:tcBorders>
              <w:top w:val="single" w:sz="8" w:color="929292"/>
            </w:tcBorders>
          </w:tcPr>
          <w:p>
            <w:pPr>
              <w:ind w:left="60"/>
              <w:spacing w:after="0" w:line="147" w:lineRule="exact"/>
              <w:rPr>
                <w:sz w:val="20"/>
                <w:szCs w:val="20"/>
                <w:color w:val="auto"/>
              </w:rPr>
            </w:pPr>
            <w:r>
              <w:rPr>
                <w:rFonts w:ascii="Calibri" w:cs="Calibri" w:eastAsia="Calibri" w:hAnsi="Calibri"/>
                <w:sz w:val="13"/>
                <w:szCs w:val="13"/>
                <w:color w:val="auto"/>
              </w:rPr>
              <w:t>Bought deal share ofering - net of share issuance costs</w:t>
            </w:r>
          </w:p>
        </w:tc>
        <w:tc>
          <w:tcPr>
            <w:tcW w:w="620" w:type="dxa"/>
            <w:vAlign w:val="bottom"/>
            <w:tcBorders>
              <w:top w:val="single" w:sz="8" w:color="929292"/>
            </w:tcBorders>
          </w:tcPr>
          <w:p>
            <w:pPr>
              <w:spacing w:after="0"/>
              <w:rPr>
                <w:sz w:val="12"/>
                <w:szCs w:val="12"/>
                <w:color w:val="auto"/>
              </w:rPr>
            </w:pPr>
          </w:p>
        </w:tc>
        <w:tc>
          <w:tcPr>
            <w:tcW w:w="60" w:type="dxa"/>
            <w:vAlign w:val="bottom"/>
            <w:tcBorders>
              <w:top w:val="single" w:sz="8" w:color="929292"/>
            </w:tcBorders>
          </w:tcPr>
          <w:p>
            <w:pPr>
              <w:spacing w:after="0"/>
              <w:rPr>
                <w:sz w:val="12"/>
                <w:szCs w:val="12"/>
                <w:color w:val="auto"/>
              </w:rPr>
            </w:pPr>
          </w:p>
        </w:tc>
        <w:tc>
          <w:tcPr>
            <w:tcW w:w="920" w:type="dxa"/>
            <w:vAlign w:val="bottom"/>
            <w:tcBorders>
              <w:top w:val="single" w:sz="8" w:color="929292"/>
            </w:tcBorders>
          </w:tcPr>
          <w:p>
            <w:pPr>
              <w:jc w:val="right"/>
              <w:ind w:right="55"/>
              <w:spacing w:after="0" w:line="147" w:lineRule="exact"/>
              <w:rPr>
                <w:sz w:val="20"/>
                <w:szCs w:val="20"/>
                <w:color w:val="auto"/>
              </w:rPr>
            </w:pPr>
            <w:r>
              <w:rPr>
                <w:rFonts w:ascii="Calibri" w:cs="Calibri" w:eastAsia="Calibri" w:hAnsi="Calibri"/>
                <w:sz w:val="13"/>
                <w:szCs w:val="13"/>
                <w:color w:val="auto"/>
              </w:rPr>
              <w:t>10,147,600</w:t>
            </w:r>
          </w:p>
        </w:tc>
        <w:tc>
          <w:tcPr>
            <w:tcW w:w="78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31,508</w:t>
            </w:r>
          </w:p>
        </w:tc>
        <w:tc>
          <w:tcPr>
            <w:tcW w:w="60" w:type="dxa"/>
            <w:vAlign w:val="bottom"/>
            <w:tcBorders>
              <w:top w:val="single" w:sz="8" w:color="929292"/>
            </w:tcBorders>
          </w:tcPr>
          <w:p>
            <w:pPr>
              <w:spacing w:after="0"/>
              <w:rPr>
                <w:sz w:val="12"/>
                <w:szCs w:val="12"/>
                <w:color w:val="auto"/>
              </w:rPr>
            </w:pPr>
          </w:p>
        </w:tc>
        <w:tc>
          <w:tcPr>
            <w:tcW w:w="900" w:type="dxa"/>
            <w:vAlign w:val="bottom"/>
            <w:tcBorders>
              <w:top w:val="single" w:sz="8" w:color="929292"/>
            </w:tcBorders>
          </w:tcPr>
          <w:p>
            <w:pPr>
              <w:jc w:val="right"/>
              <w:ind w:right="35"/>
              <w:spacing w:after="0" w:line="147" w:lineRule="exact"/>
              <w:rPr>
                <w:sz w:val="20"/>
                <w:szCs w:val="20"/>
                <w:color w:val="auto"/>
              </w:rPr>
            </w:pPr>
            <w:r>
              <w:rPr>
                <w:rFonts w:ascii="Calibri" w:cs="Calibri" w:eastAsia="Calibri" w:hAnsi="Calibri"/>
                <w:sz w:val="13"/>
                <w:szCs w:val="13"/>
                <w:color w:val="auto"/>
              </w:rPr>
              <w:t>—</w:t>
            </w:r>
          </w:p>
        </w:tc>
        <w:tc>
          <w:tcPr>
            <w:tcW w:w="820" w:type="dxa"/>
            <w:vAlign w:val="bottom"/>
            <w:tcBorders>
              <w:top w:val="single" w:sz="8" w:color="929292"/>
            </w:tcBorders>
          </w:tcPr>
          <w:p>
            <w:pPr>
              <w:jc w:val="right"/>
              <w:ind w:right="15"/>
              <w:spacing w:after="0" w:line="147" w:lineRule="exact"/>
              <w:rPr>
                <w:sz w:val="20"/>
                <w:szCs w:val="20"/>
                <w:color w:val="auto"/>
              </w:rPr>
            </w:pPr>
            <w:r>
              <w:rPr>
                <w:rFonts w:ascii="Calibri" w:cs="Calibri" w:eastAsia="Calibri" w:hAnsi="Calibri"/>
                <w:sz w:val="13"/>
                <w:szCs w:val="13"/>
                <w:color w:val="auto"/>
              </w:rPr>
              <w:t>—</w:t>
            </w:r>
          </w:p>
        </w:tc>
        <w:tc>
          <w:tcPr>
            <w:tcW w:w="84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60" w:type="dxa"/>
            <w:vAlign w:val="bottom"/>
            <w:tcBorders>
              <w:top w:val="single" w:sz="8" w:color="929292"/>
            </w:tcBorders>
          </w:tcPr>
          <w:p>
            <w:pPr>
              <w:spacing w:after="0"/>
              <w:rPr>
                <w:sz w:val="12"/>
                <w:szCs w:val="12"/>
                <w:color w:val="auto"/>
              </w:rPr>
            </w:pPr>
          </w:p>
        </w:tc>
        <w:tc>
          <w:tcPr>
            <w:tcW w:w="86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929292"/>
            </w:tcBorders>
          </w:tcPr>
          <w:p>
            <w:pPr>
              <w:spacing w:after="0"/>
              <w:rPr>
                <w:sz w:val="12"/>
                <w:szCs w:val="12"/>
                <w:color w:val="auto"/>
              </w:rPr>
            </w:pPr>
          </w:p>
        </w:tc>
        <w:tc>
          <w:tcPr>
            <w:tcW w:w="104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929292"/>
            </w:tcBorders>
          </w:tcPr>
          <w:p>
            <w:pPr>
              <w:spacing w:after="0"/>
              <w:rPr>
                <w:sz w:val="12"/>
                <w:szCs w:val="12"/>
                <w:color w:val="auto"/>
              </w:rPr>
            </w:pPr>
          </w:p>
        </w:tc>
        <w:tc>
          <w:tcPr>
            <w:tcW w:w="90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31,508</w:t>
            </w:r>
          </w:p>
        </w:tc>
        <w:tc>
          <w:tcPr>
            <w:tcW w:w="0" w:type="dxa"/>
            <w:vAlign w:val="bottom"/>
          </w:tcPr>
          <w:p>
            <w:pPr>
              <w:spacing w:after="0"/>
              <w:rPr>
                <w:sz w:val="1"/>
                <w:szCs w:val="1"/>
                <w:color w:val="auto"/>
              </w:rPr>
            </w:pPr>
          </w:p>
        </w:tc>
      </w:tr>
      <w:tr>
        <w:trPr>
          <w:trHeight w:val="168"/>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Shares issued on contngent liability Adelia milestones</w:t>
            </w:r>
          </w:p>
        </w:tc>
        <w:tc>
          <w:tcPr>
            <w:tcW w:w="620" w:type="dxa"/>
            <w:vAlign w:val="bottom"/>
          </w:tcPr>
          <w:p>
            <w:pPr>
              <w:spacing w:after="0"/>
              <w:rPr>
                <w:sz w:val="14"/>
                <w:szCs w:val="14"/>
                <w:color w:val="auto"/>
              </w:rPr>
            </w:pPr>
          </w:p>
        </w:tc>
        <w:tc>
          <w:tcPr>
            <w:tcW w:w="980" w:type="dxa"/>
            <w:vAlign w:val="bottom"/>
            <w:gridSpan w:val="2"/>
          </w:tcPr>
          <w:p>
            <w:pPr>
              <w:jc w:val="right"/>
              <w:ind w:right="55"/>
              <w:spacing w:after="0"/>
              <w:rPr>
                <w:sz w:val="20"/>
                <w:szCs w:val="20"/>
                <w:color w:val="auto"/>
              </w:rPr>
            </w:pPr>
            <w:r>
              <w:rPr>
                <w:rFonts w:ascii="Calibri" w:cs="Calibri" w:eastAsia="Calibri" w:hAnsi="Calibri"/>
                <w:sz w:val="13"/>
                <w:szCs w:val="13"/>
                <w:color w:val="auto"/>
              </w:rPr>
              <w:t>1,045,827</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2,415</w:t>
            </w:r>
          </w:p>
        </w:tc>
        <w:tc>
          <w:tcPr>
            <w:tcW w:w="60" w:type="dxa"/>
            <w:vAlign w:val="bottom"/>
          </w:tcPr>
          <w:p>
            <w:pPr>
              <w:spacing w:after="0"/>
              <w:rPr>
                <w:sz w:val="14"/>
                <w:szCs w:val="14"/>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2,415</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620" w:type="dxa"/>
            <w:vAlign w:val="bottom"/>
          </w:tcPr>
          <w:p>
            <w:pPr>
              <w:spacing w:after="0"/>
              <w:rPr>
                <w:sz w:val="15"/>
                <w:szCs w:val="15"/>
                <w:color w:val="auto"/>
              </w:rPr>
            </w:pPr>
          </w:p>
        </w:tc>
        <w:tc>
          <w:tcPr>
            <w:tcW w:w="980" w:type="dxa"/>
            <w:vAlign w:val="bottom"/>
            <w:gridSpan w:val="2"/>
          </w:tcPr>
          <w:p>
            <w:pPr>
              <w:jc w:val="right"/>
              <w:ind w:right="55"/>
              <w:spacing w:after="0"/>
              <w:rPr>
                <w:sz w:val="20"/>
                <w:szCs w:val="20"/>
                <w:color w:val="auto"/>
              </w:rPr>
            </w:pPr>
            <w:r>
              <w:rPr>
                <w:rFonts w:ascii="Calibri" w:cs="Calibri" w:eastAsia="Calibri" w:hAnsi="Calibri"/>
                <w:sz w:val="13"/>
                <w:szCs w:val="13"/>
                <w:color w:val="auto"/>
              </w:rPr>
              <w:t>3,103,676</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3,973</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(1,089)</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2,884</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Optons exercised</w:t>
            </w:r>
          </w:p>
        </w:tc>
        <w:tc>
          <w:tcPr>
            <w:tcW w:w="620" w:type="dxa"/>
            <w:vAlign w:val="bottom"/>
          </w:tcPr>
          <w:p>
            <w:pPr>
              <w:spacing w:after="0"/>
              <w:rPr>
                <w:sz w:val="15"/>
                <w:szCs w:val="15"/>
                <w:color w:val="auto"/>
              </w:rPr>
            </w:pPr>
          </w:p>
        </w:tc>
        <w:tc>
          <w:tcPr>
            <w:tcW w:w="980" w:type="dxa"/>
            <w:vAlign w:val="bottom"/>
            <w:gridSpan w:val="2"/>
          </w:tcPr>
          <w:p>
            <w:pPr>
              <w:jc w:val="right"/>
              <w:ind w:right="55"/>
              <w:spacing w:after="0"/>
              <w:rPr>
                <w:sz w:val="20"/>
                <w:szCs w:val="20"/>
                <w:color w:val="auto"/>
              </w:rPr>
            </w:pPr>
            <w:r>
              <w:rPr>
                <w:rFonts w:ascii="Calibri" w:cs="Calibri" w:eastAsia="Calibri" w:hAnsi="Calibri"/>
                <w:sz w:val="13"/>
                <w:szCs w:val="13"/>
                <w:color w:val="auto"/>
              </w:rPr>
              <w:t>1,550,800</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2,265</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(947)</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1,318</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Finders' warrants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(1,319)</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1,319</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209</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14,478</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14,687</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Unrealized loss on translaton of foreign operatons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(300)</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(300)</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Net loss for the period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(49,534)</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(49,534)</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32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December 31, 2021</w:t>
            </w:r>
          </w:p>
        </w:tc>
        <w:tc>
          <w:tcPr>
            <w:tcW w:w="620" w:type="dxa"/>
            <w:vAlign w:val="bottom"/>
            <w:tcBorders>
              <w:bottom w:val="single" w:sz="8" w:color="D9D9D9"/>
            </w:tcBorders>
            <w:shd w:val="clear" w:color="auto" w:fill="D9D9D9"/>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D9D9D9"/>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173,302,318</w:t>
            </w:r>
          </w:p>
        </w:tc>
        <w:tc>
          <w:tcPr>
            <w:tcW w:w="78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139,518</w:t>
            </w:r>
          </w:p>
        </w:tc>
        <w:tc>
          <w:tcPr>
            <w:tcW w:w="960" w:type="dxa"/>
            <w:vAlign w:val="bottom"/>
            <w:tcBorders>
              <w:bottom w:val="single" w:sz="8" w:color="D9D9D9"/>
            </w:tcBorders>
            <w:gridSpan w:val="2"/>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11,605</w:t>
            </w:r>
          </w:p>
        </w:tc>
        <w:tc>
          <w:tcPr>
            <w:tcW w:w="820" w:type="dxa"/>
            <w:vAlign w:val="bottom"/>
            <w:tcBorders>
              <w:bottom w:val="single" w:sz="8" w:color="D9D9D9"/>
            </w:tcBorders>
            <w:shd w:val="clear" w:color="auto" w:fill="D9D9D9"/>
          </w:tcPr>
          <w:p>
            <w:pPr>
              <w:jc w:val="right"/>
              <w:ind w:right="15"/>
              <w:spacing w:after="0" w:line="147" w:lineRule="exact"/>
              <w:rPr>
                <w:sz w:val="20"/>
                <w:szCs w:val="20"/>
                <w:color w:val="auto"/>
              </w:rPr>
            </w:pPr>
            <w:r>
              <w:rPr>
                <w:rFonts w:ascii="Calibri" w:cs="Calibri" w:eastAsia="Calibri" w:hAnsi="Calibri"/>
                <w:sz w:val="13"/>
                <w:szCs w:val="13"/>
                <w:b w:val="1"/>
                <w:bCs w:val="1"/>
                <w:color w:val="auto"/>
              </w:rPr>
              <w:t>20,689</w:t>
            </w: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124</w:t>
            </w:r>
          </w:p>
        </w:tc>
        <w:tc>
          <w:tcPr>
            <w:tcW w:w="60" w:type="dxa"/>
            <w:vAlign w:val="bottom"/>
          </w:tcPr>
          <w:p>
            <w:pPr>
              <w:spacing w:after="0"/>
              <w:rPr>
                <w:sz w:val="15"/>
                <w:szCs w:val="15"/>
                <w:color w:val="auto"/>
              </w:rPr>
            </w:pP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(82,564)</w:t>
            </w:r>
          </w:p>
        </w:tc>
        <w:tc>
          <w:tcPr>
            <w:tcW w:w="80" w:type="dxa"/>
            <w:vAlign w:val="bottom"/>
          </w:tcPr>
          <w:p>
            <w:pPr>
              <w:spacing w:after="0"/>
              <w:rPr>
                <w:sz w:val="15"/>
                <w:szCs w:val="15"/>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(276)</w:t>
            </w:r>
          </w:p>
        </w:tc>
        <w:tc>
          <w:tcPr>
            <w:tcW w:w="80" w:type="dxa"/>
            <w:vAlign w:val="bottom"/>
          </w:tcPr>
          <w:p>
            <w:pPr>
              <w:spacing w:after="0"/>
              <w:rPr>
                <w:sz w:val="15"/>
                <w:szCs w:val="15"/>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89,096</w:t>
            </w:r>
          </w:p>
        </w:tc>
        <w:tc>
          <w:tcPr>
            <w:tcW w:w="0" w:type="dxa"/>
            <w:vAlign w:val="bottom"/>
          </w:tcPr>
          <w:p>
            <w:pPr>
              <w:spacing w:after="0"/>
              <w:rPr>
                <w:sz w:val="1"/>
                <w:szCs w:val="1"/>
                <w:color w:val="auto"/>
              </w:rPr>
            </w:pPr>
          </w:p>
        </w:tc>
      </w:tr>
      <w:tr>
        <w:trPr>
          <w:trHeight w:val="174"/>
        </w:trPr>
        <w:tc>
          <w:tcPr>
            <w:tcW w:w="3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32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March 31, 2022</w:t>
            </w:r>
          </w:p>
        </w:tc>
        <w:tc>
          <w:tcPr>
            <w:tcW w:w="620" w:type="dxa"/>
            <w:vAlign w:val="bottom"/>
            <w:tcBorders>
              <w:bottom w:val="single" w:sz="8" w:color="D9D9D9"/>
            </w:tcBorders>
            <w:shd w:val="clear" w:color="auto" w:fill="D9D9D9"/>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Borders>
              <w:bottom w:val="single" w:sz="8" w:color="D9D9D9"/>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175,111,654</w:t>
            </w:r>
          </w:p>
        </w:tc>
        <w:tc>
          <w:tcPr>
            <w:tcW w:w="78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141,451</w:t>
            </w:r>
          </w:p>
        </w:tc>
        <w:tc>
          <w:tcPr>
            <w:tcW w:w="60" w:type="dxa"/>
            <w:vAlign w:val="bottom"/>
          </w:tcPr>
          <w:p>
            <w:pPr>
              <w:spacing w:after="0"/>
              <w:rPr>
                <w:sz w:val="15"/>
                <w:szCs w:val="15"/>
                <w:color w:val="auto"/>
              </w:rPr>
            </w:pPr>
          </w:p>
        </w:tc>
        <w:tc>
          <w:tcPr>
            <w:tcW w:w="90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11,423</w:t>
            </w:r>
          </w:p>
        </w:tc>
        <w:tc>
          <w:tcPr>
            <w:tcW w:w="820" w:type="dxa"/>
            <w:vAlign w:val="bottom"/>
            <w:tcBorders>
              <w:bottom w:val="single" w:sz="8" w:color="D9D9D9"/>
            </w:tcBorders>
            <w:shd w:val="clear" w:color="auto" w:fill="D9D9D9"/>
          </w:tcPr>
          <w:p>
            <w:pPr>
              <w:jc w:val="right"/>
              <w:ind w:right="15"/>
              <w:spacing w:after="0" w:line="147" w:lineRule="exact"/>
              <w:rPr>
                <w:sz w:val="20"/>
                <w:szCs w:val="20"/>
                <w:color w:val="auto"/>
              </w:rPr>
            </w:pPr>
            <w:r>
              <w:rPr>
                <w:rFonts w:ascii="Calibri" w:cs="Calibri" w:eastAsia="Calibri" w:hAnsi="Calibri"/>
                <w:sz w:val="13"/>
                <w:szCs w:val="13"/>
                <w:b w:val="1"/>
                <w:bCs w:val="1"/>
                <w:color w:val="auto"/>
              </w:rPr>
              <w:t>23,783</w:t>
            </w: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525</w:t>
            </w:r>
          </w:p>
        </w:tc>
        <w:tc>
          <w:tcPr>
            <w:tcW w:w="920" w:type="dxa"/>
            <w:vAlign w:val="bottom"/>
            <w:tcBorders>
              <w:bottom w:val="single" w:sz="8" w:color="D9D9D9"/>
            </w:tcBorders>
            <w:gridSpan w:val="2"/>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(100,661)</w:t>
            </w:r>
          </w:p>
        </w:tc>
        <w:tc>
          <w:tcPr>
            <w:tcW w:w="1120" w:type="dxa"/>
            <w:vAlign w:val="bottom"/>
            <w:tcBorders>
              <w:bottom w:val="single" w:sz="8" w:color="D9D9D9"/>
            </w:tcBorders>
            <w:gridSpan w:val="2"/>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(366)</w:t>
            </w:r>
          </w:p>
        </w:tc>
        <w:tc>
          <w:tcPr>
            <w:tcW w:w="80" w:type="dxa"/>
            <w:vAlign w:val="bottom"/>
          </w:tcPr>
          <w:p>
            <w:pPr>
              <w:spacing w:after="0"/>
              <w:rPr>
                <w:sz w:val="15"/>
                <w:szCs w:val="15"/>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76,155</w:t>
            </w:r>
          </w:p>
        </w:tc>
        <w:tc>
          <w:tcPr>
            <w:tcW w:w="0" w:type="dxa"/>
            <w:vAlign w:val="bottom"/>
          </w:tcPr>
          <w:p>
            <w:pPr>
              <w:spacing w:after="0"/>
              <w:rPr>
                <w:sz w:val="1"/>
                <w:szCs w:val="1"/>
                <w:color w:val="auto"/>
              </w:rPr>
            </w:pPr>
          </w:p>
        </w:tc>
      </w:tr>
      <w:tr>
        <w:trPr>
          <w:trHeight w:val="147"/>
        </w:trPr>
        <w:tc>
          <w:tcPr>
            <w:tcW w:w="3240" w:type="dxa"/>
            <w:vAlign w:val="bottom"/>
            <w:tcBorders>
              <w:top w:val="single" w:sz="8" w:color="929292"/>
            </w:tcBorders>
          </w:tcPr>
          <w:p>
            <w:pPr>
              <w:ind w:left="60"/>
              <w:spacing w:after="0" w:line="147" w:lineRule="exact"/>
              <w:rPr>
                <w:sz w:val="20"/>
                <w:szCs w:val="20"/>
                <w:color w:val="auto"/>
              </w:rPr>
            </w:pPr>
            <w:r>
              <w:rPr>
                <w:rFonts w:ascii="Calibri" w:cs="Calibri" w:eastAsia="Calibri" w:hAnsi="Calibri"/>
                <w:sz w:val="13"/>
                <w:szCs w:val="13"/>
                <w:color w:val="auto"/>
              </w:rPr>
              <w:t>At-the-market ofering - net of share issuance costs</w:t>
            </w:r>
          </w:p>
        </w:tc>
        <w:tc>
          <w:tcPr>
            <w:tcW w:w="620" w:type="dxa"/>
            <w:vAlign w:val="bottom"/>
            <w:tcBorders>
              <w:top w:val="single" w:sz="8" w:color="929292"/>
            </w:tcBorders>
          </w:tcPr>
          <w:p>
            <w:pPr>
              <w:jc w:val="center"/>
              <w:spacing w:after="0" w:line="147" w:lineRule="exact"/>
              <w:rPr>
                <w:sz w:val="20"/>
                <w:szCs w:val="20"/>
                <w:color w:val="auto"/>
              </w:rPr>
            </w:pPr>
            <w:r>
              <w:rPr>
                <w:rFonts w:ascii="Calibri" w:cs="Calibri" w:eastAsia="Calibri" w:hAnsi="Calibri"/>
                <w:sz w:val="13"/>
                <w:szCs w:val="13"/>
                <w:color w:val="auto"/>
                <w:w w:val="90"/>
              </w:rPr>
              <w:t>8</w:t>
            </w:r>
          </w:p>
        </w:tc>
        <w:tc>
          <w:tcPr>
            <w:tcW w:w="60" w:type="dxa"/>
            <w:vAlign w:val="bottom"/>
            <w:tcBorders>
              <w:top w:val="single" w:sz="8" w:color="929292"/>
            </w:tcBorders>
          </w:tcPr>
          <w:p>
            <w:pPr>
              <w:spacing w:after="0"/>
              <w:rPr>
                <w:sz w:val="12"/>
                <w:szCs w:val="12"/>
                <w:color w:val="auto"/>
              </w:rPr>
            </w:pPr>
          </w:p>
        </w:tc>
        <w:tc>
          <w:tcPr>
            <w:tcW w:w="920" w:type="dxa"/>
            <w:vAlign w:val="bottom"/>
            <w:tcBorders>
              <w:top w:val="single" w:sz="8" w:color="929292"/>
            </w:tcBorders>
          </w:tcPr>
          <w:p>
            <w:pPr>
              <w:jc w:val="right"/>
              <w:ind w:right="55"/>
              <w:spacing w:after="0" w:line="147" w:lineRule="exact"/>
              <w:rPr>
                <w:sz w:val="20"/>
                <w:szCs w:val="20"/>
                <w:color w:val="auto"/>
              </w:rPr>
            </w:pPr>
            <w:r>
              <w:rPr>
                <w:rFonts w:ascii="Calibri" w:cs="Calibri" w:eastAsia="Calibri" w:hAnsi="Calibri"/>
                <w:sz w:val="13"/>
                <w:szCs w:val="13"/>
                <w:color w:val="auto"/>
              </w:rPr>
              <w:t>11,258,683</w:t>
            </w:r>
          </w:p>
        </w:tc>
        <w:tc>
          <w:tcPr>
            <w:tcW w:w="78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8,057</w:t>
            </w:r>
          </w:p>
        </w:tc>
        <w:tc>
          <w:tcPr>
            <w:tcW w:w="60" w:type="dxa"/>
            <w:vAlign w:val="bottom"/>
            <w:tcBorders>
              <w:top w:val="single" w:sz="8" w:color="929292"/>
            </w:tcBorders>
          </w:tcPr>
          <w:p>
            <w:pPr>
              <w:spacing w:after="0"/>
              <w:rPr>
                <w:sz w:val="12"/>
                <w:szCs w:val="12"/>
                <w:color w:val="auto"/>
              </w:rPr>
            </w:pPr>
          </w:p>
        </w:tc>
        <w:tc>
          <w:tcPr>
            <w:tcW w:w="900" w:type="dxa"/>
            <w:vAlign w:val="bottom"/>
            <w:tcBorders>
              <w:top w:val="single" w:sz="8" w:color="929292"/>
            </w:tcBorders>
          </w:tcPr>
          <w:p>
            <w:pPr>
              <w:jc w:val="right"/>
              <w:ind w:right="35"/>
              <w:spacing w:after="0" w:line="147" w:lineRule="exact"/>
              <w:rPr>
                <w:sz w:val="20"/>
                <w:szCs w:val="20"/>
                <w:color w:val="auto"/>
              </w:rPr>
            </w:pPr>
            <w:r>
              <w:rPr>
                <w:rFonts w:ascii="Calibri" w:cs="Calibri" w:eastAsia="Calibri" w:hAnsi="Calibri"/>
                <w:sz w:val="13"/>
                <w:szCs w:val="13"/>
                <w:color w:val="auto"/>
              </w:rPr>
              <w:t>—</w:t>
            </w:r>
          </w:p>
        </w:tc>
        <w:tc>
          <w:tcPr>
            <w:tcW w:w="820" w:type="dxa"/>
            <w:vAlign w:val="bottom"/>
            <w:tcBorders>
              <w:top w:val="single" w:sz="8" w:color="929292"/>
            </w:tcBorders>
          </w:tcPr>
          <w:p>
            <w:pPr>
              <w:jc w:val="right"/>
              <w:ind w:right="15"/>
              <w:spacing w:after="0" w:line="147" w:lineRule="exact"/>
              <w:rPr>
                <w:sz w:val="20"/>
                <w:szCs w:val="20"/>
                <w:color w:val="auto"/>
              </w:rPr>
            </w:pPr>
            <w:r>
              <w:rPr>
                <w:rFonts w:ascii="Calibri" w:cs="Calibri" w:eastAsia="Calibri" w:hAnsi="Calibri"/>
                <w:sz w:val="13"/>
                <w:szCs w:val="13"/>
                <w:color w:val="auto"/>
              </w:rPr>
              <w:t>—</w:t>
            </w:r>
          </w:p>
        </w:tc>
        <w:tc>
          <w:tcPr>
            <w:tcW w:w="84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60" w:type="dxa"/>
            <w:vAlign w:val="bottom"/>
            <w:tcBorders>
              <w:top w:val="single" w:sz="8" w:color="929292"/>
            </w:tcBorders>
          </w:tcPr>
          <w:p>
            <w:pPr>
              <w:spacing w:after="0"/>
              <w:rPr>
                <w:sz w:val="12"/>
                <w:szCs w:val="12"/>
                <w:color w:val="auto"/>
              </w:rPr>
            </w:pPr>
          </w:p>
        </w:tc>
        <w:tc>
          <w:tcPr>
            <w:tcW w:w="86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929292"/>
            </w:tcBorders>
          </w:tcPr>
          <w:p>
            <w:pPr>
              <w:spacing w:after="0"/>
              <w:rPr>
                <w:sz w:val="12"/>
                <w:szCs w:val="12"/>
                <w:color w:val="auto"/>
              </w:rPr>
            </w:pPr>
          </w:p>
        </w:tc>
        <w:tc>
          <w:tcPr>
            <w:tcW w:w="104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w:t>
            </w:r>
          </w:p>
        </w:tc>
        <w:tc>
          <w:tcPr>
            <w:tcW w:w="80" w:type="dxa"/>
            <w:vAlign w:val="bottom"/>
            <w:tcBorders>
              <w:top w:val="single" w:sz="8" w:color="929292"/>
            </w:tcBorders>
          </w:tcPr>
          <w:p>
            <w:pPr>
              <w:spacing w:after="0"/>
              <w:rPr>
                <w:sz w:val="12"/>
                <w:szCs w:val="12"/>
                <w:color w:val="auto"/>
              </w:rPr>
            </w:pPr>
          </w:p>
        </w:tc>
        <w:tc>
          <w:tcPr>
            <w:tcW w:w="900" w:type="dxa"/>
            <w:vAlign w:val="bottom"/>
            <w:tcBorders>
              <w:top w:val="single" w:sz="8" w:color="929292"/>
            </w:tcBorders>
          </w:tcPr>
          <w:p>
            <w:pPr>
              <w:jc w:val="right"/>
              <w:spacing w:after="0" w:line="147" w:lineRule="exact"/>
              <w:rPr>
                <w:sz w:val="20"/>
                <w:szCs w:val="20"/>
                <w:color w:val="auto"/>
              </w:rPr>
            </w:pPr>
            <w:r>
              <w:rPr>
                <w:rFonts w:ascii="Calibri" w:cs="Calibri" w:eastAsia="Calibri" w:hAnsi="Calibri"/>
                <w:sz w:val="13"/>
                <w:szCs w:val="13"/>
                <w:color w:val="auto"/>
              </w:rPr>
              <w:t>8,057</w:t>
            </w:r>
          </w:p>
        </w:tc>
        <w:tc>
          <w:tcPr>
            <w:tcW w:w="0" w:type="dxa"/>
            <w:vAlign w:val="bottom"/>
          </w:tcPr>
          <w:p>
            <w:pPr>
              <w:spacing w:after="0"/>
              <w:rPr>
                <w:sz w:val="1"/>
                <w:szCs w:val="1"/>
                <w:color w:val="auto"/>
              </w:rPr>
            </w:pPr>
          </w:p>
        </w:tc>
      </w:tr>
      <w:tr>
        <w:trPr>
          <w:trHeight w:val="168"/>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Shares issued on Adelia milestones</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7, 8</w:t>
            </w:r>
          </w:p>
        </w:tc>
        <w:tc>
          <w:tcPr>
            <w:tcW w:w="980" w:type="dxa"/>
            <w:vAlign w:val="bottom"/>
            <w:gridSpan w:val="2"/>
          </w:tcPr>
          <w:p>
            <w:pPr>
              <w:jc w:val="right"/>
              <w:ind w:right="55"/>
              <w:spacing w:after="0"/>
              <w:rPr>
                <w:sz w:val="20"/>
                <w:szCs w:val="20"/>
                <w:color w:val="auto"/>
              </w:rPr>
            </w:pPr>
            <w:r>
              <w:rPr>
                <w:rFonts w:ascii="Calibri" w:cs="Calibri" w:eastAsia="Calibri" w:hAnsi="Calibri"/>
                <w:sz w:val="13"/>
                <w:szCs w:val="13"/>
                <w:color w:val="auto"/>
              </w:rPr>
              <w:t>3,603,742</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2,988</w:t>
            </w:r>
          </w:p>
        </w:tc>
        <w:tc>
          <w:tcPr>
            <w:tcW w:w="60" w:type="dxa"/>
            <w:vAlign w:val="bottom"/>
          </w:tcPr>
          <w:p>
            <w:pPr>
              <w:spacing w:after="0"/>
              <w:rPr>
                <w:sz w:val="14"/>
                <w:szCs w:val="14"/>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2,988</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Warrants exercised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8</w:t>
            </w:r>
          </w:p>
        </w:tc>
        <w:tc>
          <w:tcPr>
            <w:tcW w:w="980" w:type="dxa"/>
            <w:vAlign w:val="bottom"/>
            <w:gridSpan w:val="2"/>
          </w:tcPr>
          <w:p>
            <w:pPr>
              <w:jc w:val="right"/>
              <w:ind w:right="55"/>
              <w:spacing w:after="0"/>
              <w:rPr>
                <w:sz w:val="20"/>
                <w:szCs w:val="20"/>
                <w:color w:val="auto"/>
              </w:rPr>
            </w:pPr>
            <w:r>
              <w:rPr>
                <w:rFonts w:ascii="Calibri" w:cs="Calibri" w:eastAsia="Calibri" w:hAnsi="Calibri"/>
                <w:sz w:val="13"/>
                <w:szCs w:val="13"/>
                <w:color w:val="auto"/>
              </w:rPr>
              <w:t>1,164,638</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527</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(165)</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362</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Optons forfeited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8</w:t>
            </w: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(1,180)</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1,180</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Warrants forfeited</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8</w:t>
            </w: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(397)</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397</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Finders' warrants</w:t>
            </w:r>
          </w:p>
        </w:tc>
        <w:tc>
          <w:tcPr>
            <w:tcW w:w="620" w:type="dxa"/>
            <w:vAlign w:val="bottom"/>
          </w:tcPr>
          <w:p>
            <w:pPr>
              <w:jc w:val="center"/>
              <w:spacing w:after="0"/>
              <w:rPr>
                <w:sz w:val="20"/>
                <w:szCs w:val="20"/>
                <w:color w:val="auto"/>
              </w:rPr>
            </w:pPr>
            <w:r>
              <w:rPr>
                <w:rFonts w:ascii="Calibri" w:cs="Calibri" w:eastAsia="Calibri" w:hAnsi="Calibri"/>
                <w:sz w:val="13"/>
                <w:szCs w:val="13"/>
                <w:color w:val="auto"/>
                <w:w w:val="90"/>
              </w:rPr>
              <w:t>8</w:t>
            </w: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(6)</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6</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alibri" w:cs="Calibri" w:eastAsia="Calibri" w:hAnsi="Calibri"/>
                <w:sz w:val="13"/>
                <w:szCs w:val="13"/>
                <w:color w:val="auto"/>
              </w:rPr>
              <w:t>—</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Share-based compensaton</w:t>
            </w:r>
          </w:p>
        </w:tc>
        <w:tc>
          <w:tcPr>
            <w:tcW w:w="620" w:type="dxa"/>
            <w:vAlign w:val="bottom"/>
          </w:tcPr>
          <w:p>
            <w:pPr>
              <w:jc w:val="center"/>
              <w:spacing w:after="0"/>
              <w:rPr>
                <w:sz w:val="20"/>
                <w:szCs w:val="20"/>
                <w:color w:val="auto"/>
              </w:rPr>
            </w:pPr>
            <w:r>
              <w:rPr>
                <w:rFonts w:ascii="Calibri" w:cs="Calibri" w:eastAsia="Calibri" w:hAnsi="Calibri"/>
                <w:sz w:val="13"/>
                <w:szCs w:val="13"/>
                <w:color w:val="auto"/>
              </w:rPr>
              <w:t>8, 9</w:t>
            </w: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60" w:type="dxa"/>
            <w:vAlign w:val="bottom"/>
            <w:gridSpan w:val="2"/>
          </w:tcPr>
          <w:p>
            <w:pPr>
              <w:jc w:val="right"/>
              <w:ind w:right="35"/>
              <w:spacing w:after="0"/>
              <w:rPr>
                <w:sz w:val="20"/>
                <w:szCs w:val="20"/>
                <w:color w:val="auto"/>
              </w:rPr>
            </w:pPr>
            <w:r>
              <w:rPr>
                <w:rFonts w:ascii="Calibri" w:cs="Calibri" w:eastAsia="Calibri" w:hAnsi="Calibri"/>
                <w:sz w:val="13"/>
                <w:szCs w:val="13"/>
                <w:color w:val="auto"/>
              </w:rPr>
              <w:t>6</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4,199</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4,205</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Unrealized loss on translaton of foreign operatons</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Calibri" w:cs="Calibri" w:eastAsia="Calibri" w:hAnsi="Calibri"/>
                <w:sz w:val="13"/>
                <w:szCs w:val="13"/>
                <w:color w:val="auto"/>
              </w:rPr>
              <w:t>—</w:t>
            </w:r>
          </w:p>
        </w:tc>
        <w:tc>
          <w:tcPr>
            <w:tcW w:w="1120" w:type="dxa"/>
            <w:vAlign w:val="bottom"/>
            <w:gridSpan w:val="2"/>
          </w:tcPr>
          <w:p>
            <w:pPr>
              <w:jc w:val="right"/>
              <w:spacing w:after="0"/>
              <w:rPr>
                <w:sz w:val="20"/>
                <w:szCs w:val="20"/>
                <w:color w:val="auto"/>
              </w:rPr>
            </w:pPr>
            <w:r>
              <w:rPr>
                <w:rFonts w:ascii="Calibri" w:cs="Calibri" w:eastAsia="Calibri" w:hAnsi="Calibri"/>
                <w:sz w:val="13"/>
                <w:szCs w:val="13"/>
                <w:color w:val="auto"/>
              </w:rPr>
              <w:t>(1,672)</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(1,672)</w:t>
            </w:r>
          </w:p>
        </w:tc>
        <w:tc>
          <w:tcPr>
            <w:tcW w:w="0" w:type="dxa"/>
            <w:vAlign w:val="bottom"/>
          </w:tcPr>
          <w:p>
            <w:pPr>
              <w:spacing w:after="0"/>
              <w:rPr>
                <w:sz w:val="1"/>
                <w:szCs w:val="1"/>
                <w:color w:val="auto"/>
              </w:rPr>
            </w:pPr>
          </w:p>
        </w:tc>
      </w:tr>
      <w:tr>
        <w:trPr>
          <w:trHeight w:val="182"/>
        </w:trPr>
        <w:tc>
          <w:tcPr>
            <w:tcW w:w="3240" w:type="dxa"/>
            <w:vAlign w:val="bottom"/>
          </w:tcPr>
          <w:p>
            <w:pPr>
              <w:ind w:left="60"/>
              <w:spacing w:after="0"/>
              <w:rPr>
                <w:sz w:val="20"/>
                <w:szCs w:val="20"/>
                <w:color w:val="auto"/>
              </w:rPr>
            </w:pPr>
            <w:r>
              <w:rPr>
                <w:rFonts w:ascii="Calibri" w:cs="Calibri" w:eastAsia="Calibri" w:hAnsi="Calibri"/>
                <w:sz w:val="13"/>
                <w:szCs w:val="13"/>
                <w:color w:val="auto"/>
              </w:rPr>
              <w:t>Net loss for the period</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jc w:val="right"/>
              <w:ind w:right="55"/>
              <w:spacing w:after="0"/>
              <w:rPr>
                <w:sz w:val="20"/>
                <w:szCs w:val="20"/>
                <w:color w:val="auto"/>
              </w:rPr>
            </w:pPr>
            <w:r>
              <w:rPr>
                <w:rFonts w:ascii="Calibri" w:cs="Calibri" w:eastAsia="Calibri" w:hAnsi="Calibri"/>
                <w:sz w:val="13"/>
                <w:szCs w:val="13"/>
                <w:color w:val="auto"/>
              </w:rPr>
              <w:t>—</w:t>
            </w:r>
          </w:p>
        </w:tc>
        <w:tc>
          <w:tcPr>
            <w:tcW w:w="780" w:type="dxa"/>
            <w:vAlign w:val="bottom"/>
          </w:tcPr>
          <w:p>
            <w:pPr>
              <w:jc w:val="right"/>
              <w:spacing w:after="0"/>
              <w:rPr>
                <w:sz w:val="20"/>
                <w:szCs w:val="20"/>
                <w:color w:val="auto"/>
              </w:rPr>
            </w:pPr>
            <w:r>
              <w:rPr>
                <w:rFonts w:ascii="Calibri" w:cs="Calibri" w:eastAsia="Calibri" w:hAnsi="Calibri"/>
                <w:sz w:val="13"/>
                <w:szCs w:val="13"/>
                <w:color w:val="auto"/>
              </w:rPr>
              <w:t>—</w:t>
            </w:r>
          </w:p>
        </w:tc>
        <w:tc>
          <w:tcPr>
            <w:tcW w:w="60" w:type="dxa"/>
            <w:vAlign w:val="bottom"/>
          </w:tcPr>
          <w:p>
            <w:pPr>
              <w:spacing w:after="0"/>
              <w:rPr>
                <w:sz w:val="15"/>
                <w:szCs w:val="15"/>
                <w:color w:val="auto"/>
              </w:rPr>
            </w:pPr>
          </w:p>
        </w:tc>
        <w:tc>
          <w:tcPr>
            <w:tcW w:w="900" w:type="dxa"/>
            <w:vAlign w:val="bottom"/>
          </w:tcPr>
          <w:p>
            <w:pPr>
              <w:jc w:val="right"/>
              <w:ind w:right="35"/>
              <w:spacing w:after="0"/>
              <w:rPr>
                <w:sz w:val="20"/>
                <w:szCs w:val="20"/>
                <w:color w:val="auto"/>
              </w:rPr>
            </w:pPr>
            <w:r>
              <w:rPr>
                <w:rFonts w:ascii="Calibri" w:cs="Calibri" w:eastAsia="Calibri" w:hAnsi="Calibri"/>
                <w:sz w:val="13"/>
                <w:szCs w:val="13"/>
                <w:color w:val="auto"/>
              </w:rPr>
              <w:t>—</w:t>
            </w:r>
          </w:p>
        </w:tc>
        <w:tc>
          <w:tcPr>
            <w:tcW w:w="820" w:type="dxa"/>
            <w:vAlign w:val="bottom"/>
          </w:tcPr>
          <w:p>
            <w:pPr>
              <w:jc w:val="right"/>
              <w:ind w:right="15"/>
              <w:spacing w:after="0"/>
              <w:rPr>
                <w:sz w:val="20"/>
                <w:szCs w:val="20"/>
                <w:color w:val="auto"/>
              </w:rPr>
            </w:pPr>
            <w:r>
              <w:rPr>
                <w:rFonts w:ascii="Calibri" w:cs="Calibri" w:eastAsia="Calibri" w:hAnsi="Calibri"/>
                <w:sz w:val="13"/>
                <w:szCs w:val="13"/>
                <w:color w:val="auto"/>
              </w:rPr>
              <w:t>—</w:t>
            </w:r>
          </w:p>
        </w:tc>
        <w:tc>
          <w:tcPr>
            <w:tcW w:w="8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20" w:type="dxa"/>
            <w:vAlign w:val="bottom"/>
            <w:gridSpan w:val="2"/>
          </w:tcPr>
          <w:p>
            <w:pPr>
              <w:jc w:val="right"/>
              <w:spacing w:after="0"/>
              <w:rPr>
                <w:sz w:val="20"/>
                <w:szCs w:val="20"/>
                <w:color w:val="auto"/>
              </w:rPr>
            </w:pPr>
            <w:r>
              <w:rPr>
                <w:rFonts w:ascii="Calibri" w:cs="Calibri" w:eastAsia="Calibri" w:hAnsi="Calibri"/>
                <w:sz w:val="13"/>
                <w:szCs w:val="13"/>
                <w:color w:val="auto"/>
              </w:rPr>
              <w:t>(33,770)</w:t>
            </w:r>
          </w:p>
        </w:tc>
        <w:tc>
          <w:tcPr>
            <w:tcW w:w="8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Calibri" w:cs="Calibri" w:eastAsia="Calibri" w:hAnsi="Calibri"/>
                <w:sz w:val="13"/>
                <w:szCs w:val="13"/>
                <w:color w:val="auto"/>
              </w:rPr>
              <w:t>—</w:t>
            </w:r>
          </w:p>
        </w:tc>
        <w:tc>
          <w:tcPr>
            <w:tcW w:w="980" w:type="dxa"/>
            <w:vAlign w:val="bottom"/>
            <w:gridSpan w:val="2"/>
          </w:tcPr>
          <w:p>
            <w:pPr>
              <w:jc w:val="right"/>
              <w:spacing w:after="0"/>
              <w:rPr>
                <w:sz w:val="20"/>
                <w:szCs w:val="20"/>
                <w:color w:val="auto"/>
              </w:rPr>
            </w:pPr>
            <w:r>
              <w:rPr>
                <w:rFonts w:ascii="Calibri" w:cs="Calibri" w:eastAsia="Calibri" w:hAnsi="Calibri"/>
                <w:sz w:val="13"/>
                <w:szCs w:val="13"/>
                <w:color w:val="auto"/>
              </w:rPr>
              <w:t>(33,770)</w:t>
            </w:r>
          </w:p>
        </w:tc>
        <w:tc>
          <w:tcPr>
            <w:tcW w:w="0" w:type="dxa"/>
            <w:vAlign w:val="bottom"/>
          </w:tcPr>
          <w:p>
            <w:pPr>
              <w:spacing w:after="0"/>
              <w:rPr>
                <w:sz w:val="1"/>
                <w:szCs w:val="1"/>
                <w:color w:val="auto"/>
              </w:rPr>
            </w:pPr>
          </w:p>
        </w:tc>
      </w:tr>
      <w:tr>
        <w:trPr>
          <w:trHeight w:val="41"/>
        </w:trPr>
        <w:tc>
          <w:tcPr>
            <w:tcW w:w="3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4"/>
        </w:trPr>
        <w:tc>
          <w:tcPr>
            <w:tcW w:w="3240" w:type="dxa"/>
            <w:vAlign w:val="bottom"/>
            <w:tcBorders>
              <w:bottom w:val="single" w:sz="8" w:color="D9D9D9"/>
            </w:tcBorders>
            <w:shd w:val="clear" w:color="auto" w:fill="D9D9D9"/>
          </w:tcPr>
          <w:p>
            <w:pPr>
              <w:ind w:left="60"/>
              <w:spacing w:after="0" w:line="147" w:lineRule="exact"/>
              <w:rPr>
                <w:sz w:val="20"/>
                <w:szCs w:val="20"/>
                <w:color w:val="auto"/>
              </w:rPr>
            </w:pPr>
            <w:r>
              <w:rPr>
                <w:rFonts w:ascii="Calibri" w:cs="Calibri" w:eastAsia="Calibri" w:hAnsi="Calibri"/>
                <w:sz w:val="13"/>
                <w:szCs w:val="13"/>
                <w:b w:val="1"/>
                <w:bCs w:val="1"/>
                <w:color w:val="auto"/>
              </w:rPr>
              <w:t>Balance at December 31, 2022</w:t>
            </w:r>
          </w:p>
        </w:tc>
        <w:tc>
          <w:tcPr>
            <w:tcW w:w="620" w:type="dxa"/>
            <w:vAlign w:val="bottom"/>
            <w:tcBorders>
              <w:bottom w:val="single" w:sz="8" w:color="D9D9D9"/>
            </w:tcBorders>
            <w:shd w:val="clear" w:color="auto" w:fill="D9D9D9"/>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Borders>
              <w:bottom w:val="single" w:sz="8" w:color="D9D9D9"/>
            </w:tcBorders>
            <w:shd w:val="clear" w:color="auto" w:fill="D9D9D9"/>
          </w:tcPr>
          <w:p>
            <w:pPr>
              <w:jc w:val="right"/>
              <w:ind w:right="55"/>
              <w:spacing w:after="0" w:line="147" w:lineRule="exact"/>
              <w:rPr>
                <w:sz w:val="20"/>
                <w:szCs w:val="20"/>
                <w:color w:val="auto"/>
              </w:rPr>
            </w:pPr>
            <w:r>
              <w:rPr>
                <w:rFonts w:ascii="Calibri" w:cs="Calibri" w:eastAsia="Calibri" w:hAnsi="Calibri"/>
                <w:sz w:val="13"/>
                <w:szCs w:val="13"/>
                <w:b w:val="1"/>
                <w:bCs w:val="1"/>
                <w:color w:val="auto"/>
              </w:rPr>
              <w:t>191,138,717</w:t>
            </w:r>
          </w:p>
        </w:tc>
        <w:tc>
          <w:tcPr>
            <w:tcW w:w="78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153,017</w:t>
            </w:r>
          </w:p>
        </w:tc>
        <w:tc>
          <w:tcPr>
            <w:tcW w:w="60" w:type="dxa"/>
            <w:vAlign w:val="bottom"/>
          </w:tcPr>
          <w:p>
            <w:pPr>
              <w:spacing w:after="0"/>
              <w:rPr>
                <w:sz w:val="13"/>
                <w:szCs w:val="13"/>
                <w:color w:val="auto"/>
              </w:rPr>
            </w:pPr>
          </w:p>
        </w:tc>
        <w:tc>
          <w:tcPr>
            <w:tcW w:w="900" w:type="dxa"/>
            <w:vAlign w:val="bottom"/>
            <w:tcBorders>
              <w:bottom w:val="single" w:sz="8" w:color="D9D9D9"/>
            </w:tcBorders>
            <w:shd w:val="clear" w:color="auto" w:fill="D9D9D9"/>
          </w:tcPr>
          <w:p>
            <w:pPr>
              <w:jc w:val="right"/>
              <w:ind w:right="35"/>
              <w:spacing w:after="0" w:line="147" w:lineRule="exact"/>
              <w:rPr>
                <w:sz w:val="20"/>
                <w:szCs w:val="20"/>
                <w:color w:val="auto"/>
              </w:rPr>
            </w:pPr>
            <w:r>
              <w:rPr>
                <w:rFonts w:ascii="Calibri" w:cs="Calibri" w:eastAsia="Calibri" w:hAnsi="Calibri"/>
                <w:sz w:val="13"/>
                <w:szCs w:val="13"/>
                <w:b w:val="1"/>
                <w:bCs w:val="1"/>
                <w:color w:val="auto"/>
              </w:rPr>
              <w:t>10,873</w:t>
            </w:r>
          </w:p>
        </w:tc>
        <w:tc>
          <w:tcPr>
            <w:tcW w:w="820" w:type="dxa"/>
            <w:vAlign w:val="bottom"/>
            <w:tcBorders>
              <w:bottom w:val="single" w:sz="8" w:color="D9D9D9"/>
            </w:tcBorders>
            <w:shd w:val="clear" w:color="auto" w:fill="D9D9D9"/>
          </w:tcPr>
          <w:p>
            <w:pPr>
              <w:jc w:val="right"/>
              <w:ind w:right="15"/>
              <w:spacing w:after="0" w:line="147" w:lineRule="exact"/>
              <w:rPr>
                <w:sz w:val="20"/>
                <w:szCs w:val="20"/>
                <w:color w:val="auto"/>
              </w:rPr>
            </w:pPr>
            <w:r>
              <w:rPr>
                <w:rFonts w:ascii="Calibri" w:cs="Calibri" w:eastAsia="Calibri" w:hAnsi="Calibri"/>
                <w:sz w:val="13"/>
                <w:szCs w:val="13"/>
                <w:b w:val="1"/>
                <w:bCs w:val="1"/>
                <w:color w:val="auto"/>
              </w:rPr>
              <w:t>26,802</w:t>
            </w:r>
          </w:p>
        </w:tc>
        <w:tc>
          <w:tcPr>
            <w:tcW w:w="8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2,102</w:t>
            </w:r>
          </w:p>
        </w:tc>
        <w:tc>
          <w:tcPr>
            <w:tcW w:w="60" w:type="dxa"/>
            <w:vAlign w:val="bottom"/>
          </w:tcPr>
          <w:p>
            <w:pPr>
              <w:spacing w:after="0"/>
              <w:rPr>
                <w:sz w:val="13"/>
                <w:szCs w:val="13"/>
                <w:color w:val="auto"/>
              </w:rPr>
            </w:pPr>
          </w:p>
        </w:tc>
        <w:tc>
          <w:tcPr>
            <w:tcW w:w="86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(134,431)</w:t>
            </w:r>
          </w:p>
        </w:tc>
        <w:tc>
          <w:tcPr>
            <w:tcW w:w="80" w:type="dxa"/>
            <w:vAlign w:val="bottom"/>
          </w:tcPr>
          <w:p>
            <w:pPr>
              <w:spacing w:after="0"/>
              <w:rPr>
                <w:sz w:val="13"/>
                <w:szCs w:val="13"/>
                <w:color w:val="auto"/>
              </w:rPr>
            </w:pPr>
          </w:p>
        </w:tc>
        <w:tc>
          <w:tcPr>
            <w:tcW w:w="104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(2,038)</w:t>
            </w:r>
          </w:p>
        </w:tc>
        <w:tc>
          <w:tcPr>
            <w:tcW w:w="80" w:type="dxa"/>
            <w:vAlign w:val="bottom"/>
          </w:tcPr>
          <w:p>
            <w:pPr>
              <w:spacing w:after="0"/>
              <w:rPr>
                <w:sz w:val="13"/>
                <w:szCs w:val="13"/>
                <w:color w:val="auto"/>
              </w:rPr>
            </w:pPr>
          </w:p>
        </w:tc>
        <w:tc>
          <w:tcPr>
            <w:tcW w:w="900" w:type="dxa"/>
            <w:vAlign w:val="bottom"/>
            <w:tcBorders>
              <w:bottom w:val="single" w:sz="8" w:color="D9D9D9"/>
            </w:tcBorders>
            <w:shd w:val="clear" w:color="auto" w:fill="D9D9D9"/>
          </w:tcPr>
          <w:p>
            <w:pPr>
              <w:jc w:val="right"/>
              <w:spacing w:after="0" w:line="147" w:lineRule="exact"/>
              <w:rPr>
                <w:sz w:val="20"/>
                <w:szCs w:val="20"/>
                <w:color w:val="auto"/>
              </w:rPr>
            </w:pPr>
            <w:r>
              <w:rPr>
                <w:rFonts w:ascii="Calibri" w:cs="Calibri" w:eastAsia="Calibri" w:hAnsi="Calibri"/>
                <w:sz w:val="13"/>
                <w:szCs w:val="13"/>
                <w:b w:val="1"/>
                <w:bCs w:val="1"/>
                <w:color w:val="auto"/>
              </w:rPr>
              <w:t>56,325</w:t>
            </w:r>
          </w:p>
        </w:tc>
        <w:tc>
          <w:tcPr>
            <w:tcW w:w="0" w:type="dxa"/>
            <w:vAlign w:val="bottom"/>
          </w:tcPr>
          <w:p>
            <w:pPr>
              <w:spacing w:after="0"/>
              <w:rPr>
                <w:sz w:val="1"/>
                <w:szCs w:val="1"/>
                <w:color w:val="auto"/>
              </w:rPr>
            </w:pPr>
          </w:p>
        </w:tc>
      </w:tr>
      <w:tr>
        <w:trPr>
          <w:trHeight w:val="20"/>
        </w:trPr>
        <w:tc>
          <w:tcPr>
            <w:tcW w:w="3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62" w:right="319" w:bottom="1440" w:gutter="0" w:footer="0" w:header="0"/>
        </w:sectPr>
      </w:pPr>
    </w:p>
    <w:bookmarkStart w:id="8" w:name="page9"/>
    <w:bookmarkEnd w:id="8"/>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CONDENSED INTERIM CONSOLIDATED STATEMENT OF CASH FLOWS</w:t>
      </w:r>
    </w:p>
    <w:p>
      <w:pPr>
        <w:spacing w:after="0" w:line="3"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(All amounts expressed in thousands of Canadian dollars)</w:t>
      </w:r>
    </w:p>
    <w:p>
      <w:pPr>
        <w:ind w:left="60"/>
        <w:spacing w:after="0" w:line="238" w:lineRule="auto"/>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760" w:type="dxa"/>
            <w:vAlign w:val="bottom"/>
            <w:gridSpan w:val="2"/>
          </w:tcPr>
          <w:p>
            <w:pPr>
              <w:jc w:val="right"/>
              <w:ind w:right="307"/>
              <w:spacing w:after="0"/>
              <w:rPr>
                <w:sz w:val="20"/>
                <w:szCs w:val="20"/>
                <w:color w:val="auto"/>
              </w:rPr>
            </w:pPr>
            <w:r>
              <w:rPr>
                <w:rFonts w:ascii="Calibri" w:cs="Calibri" w:eastAsia="Calibri" w:hAnsi="Calibri"/>
                <w:sz w:val="15"/>
                <w:szCs w:val="15"/>
                <w:b w:val="1"/>
                <w:bCs w:val="1"/>
                <w:color w:val="auto"/>
              </w:rPr>
              <w:t>Three months ended December 31,</w:t>
            </w:r>
          </w:p>
        </w:tc>
        <w:tc>
          <w:tcPr>
            <w:tcW w:w="2540" w:type="dxa"/>
            <w:vAlign w:val="bottom"/>
            <w:gridSpan w:val="2"/>
          </w:tcPr>
          <w:p>
            <w:pPr>
              <w:jc w:val="right"/>
              <w:ind w:right="227"/>
              <w:spacing w:after="0"/>
              <w:rPr>
                <w:sz w:val="20"/>
                <w:szCs w:val="20"/>
                <w:color w:val="auto"/>
              </w:rPr>
            </w:pPr>
            <w:r>
              <w:rPr>
                <w:rFonts w:ascii="Calibri" w:cs="Calibri" w:eastAsia="Calibri" w:hAnsi="Calibri"/>
                <w:sz w:val="15"/>
                <w:szCs w:val="15"/>
                <w:b w:val="1"/>
                <w:bCs w:val="1"/>
                <w:color w:val="auto"/>
              </w:rPr>
              <w:t>Nine months ended December 31,</w:t>
            </w:r>
          </w:p>
        </w:tc>
      </w:tr>
      <w:tr>
        <w:trPr>
          <w:trHeight w:val="25"/>
        </w:trPr>
        <w:tc>
          <w:tcPr>
            <w:tcW w:w="5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5"/>
        </w:trPr>
        <w:tc>
          <w:tcPr>
            <w:tcW w:w="5240" w:type="dxa"/>
            <w:vAlign w:val="bottom"/>
          </w:tcPr>
          <w:p>
            <w:pPr>
              <w:spacing w:after="0"/>
              <w:rPr>
                <w:sz w:val="14"/>
                <w:szCs w:val="14"/>
                <w:color w:val="auto"/>
              </w:rPr>
            </w:pPr>
          </w:p>
        </w:tc>
        <w:tc>
          <w:tcPr>
            <w:tcW w:w="720" w:type="dxa"/>
            <w:vAlign w:val="bottom"/>
          </w:tcPr>
          <w:p>
            <w:pPr>
              <w:ind w:left="180"/>
              <w:spacing w:after="0" w:line="165" w:lineRule="exact"/>
              <w:rPr>
                <w:sz w:val="20"/>
                <w:szCs w:val="20"/>
                <w:color w:val="auto"/>
              </w:rPr>
            </w:pPr>
            <w:r>
              <w:rPr>
                <w:rFonts w:ascii="Calibri" w:cs="Calibri" w:eastAsia="Calibri" w:hAnsi="Calibri"/>
                <w:sz w:val="15"/>
                <w:szCs w:val="15"/>
                <w:b w:val="1"/>
                <w:bCs w:val="1"/>
                <w:color w:val="auto"/>
              </w:rPr>
              <w:t>Notes</w:t>
            </w:r>
          </w:p>
        </w:tc>
        <w:tc>
          <w:tcPr>
            <w:tcW w:w="168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2022</w:t>
            </w:r>
          </w:p>
        </w:tc>
        <w:tc>
          <w:tcPr>
            <w:tcW w:w="1080" w:type="dxa"/>
            <w:vAlign w:val="bottom"/>
          </w:tcPr>
          <w:p>
            <w:pPr>
              <w:jc w:val="right"/>
              <w:ind w:right="107"/>
              <w:spacing w:after="0" w:line="165" w:lineRule="exact"/>
              <w:rPr>
                <w:sz w:val="20"/>
                <w:szCs w:val="20"/>
                <w:color w:val="auto"/>
              </w:rPr>
            </w:pPr>
            <w:r>
              <w:rPr>
                <w:rFonts w:ascii="Calibri" w:cs="Calibri" w:eastAsia="Calibri" w:hAnsi="Calibri"/>
                <w:sz w:val="15"/>
                <w:szCs w:val="15"/>
                <w:b w:val="1"/>
                <w:bCs w:val="1"/>
                <w:color w:val="auto"/>
              </w:rPr>
              <w:t>2021</w:t>
            </w:r>
          </w:p>
        </w:tc>
        <w:tc>
          <w:tcPr>
            <w:tcW w:w="15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2022</w:t>
            </w:r>
          </w:p>
        </w:tc>
        <w:tc>
          <w:tcPr>
            <w:tcW w:w="980" w:type="dxa"/>
            <w:vAlign w:val="bottom"/>
          </w:tcPr>
          <w:p>
            <w:pPr>
              <w:jc w:val="right"/>
              <w:spacing w:after="0" w:line="165" w:lineRule="exact"/>
              <w:rPr>
                <w:sz w:val="20"/>
                <w:szCs w:val="20"/>
                <w:color w:val="auto"/>
              </w:rPr>
            </w:pPr>
            <w:r>
              <w:rPr>
                <w:rFonts w:ascii="Calibri" w:cs="Calibri" w:eastAsia="Calibri" w:hAnsi="Calibri"/>
                <w:sz w:val="15"/>
                <w:szCs w:val="15"/>
                <w:b w:val="1"/>
                <w:bCs w:val="1"/>
                <w:color w:val="auto"/>
              </w:rPr>
              <w:t>2021</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4"/>
        </w:trPr>
        <w:tc>
          <w:tcPr>
            <w:tcW w:w="5240" w:type="dxa"/>
            <w:vAlign w:val="bottom"/>
          </w:tcPr>
          <w:p>
            <w:pPr>
              <w:ind w:left="60"/>
              <w:spacing w:after="0"/>
              <w:rPr>
                <w:sz w:val="20"/>
                <w:szCs w:val="20"/>
                <w:color w:val="auto"/>
              </w:rPr>
            </w:pPr>
            <w:r>
              <w:rPr>
                <w:rFonts w:ascii="Calibri" w:cs="Calibri" w:eastAsia="Calibri" w:hAnsi="Calibri"/>
                <w:sz w:val="15"/>
                <w:szCs w:val="15"/>
                <w:b w:val="1"/>
                <w:bCs w:val="1"/>
                <w:color w:val="auto"/>
              </w:rPr>
              <w:t>OPERATING ACTIVITIES</w:t>
            </w:r>
          </w:p>
        </w:tc>
        <w:tc>
          <w:tcPr>
            <w:tcW w:w="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4"/>
        </w:trPr>
        <w:tc>
          <w:tcPr>
            <w:tcW w:w="5240" w:type="dxa"/>
            <w:vAlign w:val="bottom"/>
          </w:tcPr>
          <w:p>
            <w:pPr>
              <w:ind w:left="60"/>
              <w:spacing w:after="0"/>
              <w:rPr>
                <w:sz w:val="20"/>
                <w:szCs w:val="20"/>
                <w:color w:val="auto"/>
              </w:rPr>
            </w:pPr>
            <w:r>
              <w:rPr>
                <w:rFonts w:ascii="Calibri" w:cs="Calibri" w:eastAsia="Calibri" w:hAnsi="Calibri"/>
                <w:sz w:val="15"/>
                <w:szCs w:val="15"/>
                <w:b w:val="1"/>
                <w:bCs w:val="1"/>
                <w:color w:val="auto"/>
              </w:rPr>
              <w:t>Net loss for the period</w:t>
            </w:r>
          </w:p>
        </w:tc>
        <w:tc>
          <w:tcPr>
            <w:tcW w:w="72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(10,742)</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(17,210)</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(33,770)</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(49,534)</w:t>
            </w:r>
          </w:p>
        </w:tc>
      </w:tr>
      <w:tr>
        <w:trPr>
          <w:trHeight w:val="194"/>
        </w:trPr>
        <w:tc>
          <w:tcPr>
            <w:tcW w:w="5240" w:type="dxa"/>
            <w:vAlign w:val="bottom"/>
          </w:tcPr>
          <w:p>
            <w:pPr>
              <w:ind w:left="160"/>
              <w:spacing w:after="0"/>
              <w:rPr>
                <w:sz w:val="20"/>
                <w:szCs w:val="20"/>
                <w:color w:val="auto"/>
              </w:rPr>
            </w:pPr>
            <w:r>
              <w:rPr>
                <w:rFonts w:ascii="Calibri" w:cs="Calibri" w:eastAsia="Calibri" w:hAnsi="Calibri"/>
                <w:sz w:val="15"/>
                <w:szCs w:val="15"/>
                <w:b w:val="1"/>
                <w:bCs w:val="1"/>
                <w:color w:val="auto"/>
              </w:rPr>
              <w:t>Adjustments for items not afectng cash:</w:t>
            </w:r>
          </w:p>
        </w:tc>
        <w:tc>
          <w:tcPr>
            <w:tcW w:w="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4"/>
        </w:trPr>
        <w:tc>
          <w:tcPr>
            <w:tcW w:w="5240" w:type="dxa"/>
            <w:vAlign w:val="bottom"/>
          </w:tcPr>
          <w:p>
            <w:pPr>
              <w:ind w:left="340"/>
              <w:spacing w:after="0"/>
              <w:rPr>
                <w:sz w:val="20"/>
                <w:szCs w:val="20"/>
                <w:color w:val="auto"/>
              </w:rPr>
            </w:pPr>
            <w:r>
              <w:rPr>
                <w:rFonts w:ascii="Calibri" w:cs="Calibri" w:eastAsia="Calibri" w:hAnsi="Calibri"/>
                <w:sz w:val="15"/>
                <w:szCs w:val="15"/>
                <w:color w:val="auto"/>
              </w:rPr>
              <w:t>Interest income</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w w:val="93"/>
              </w:rPr>
              <w:t>3, 14</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(6)</w:t>
            </w:r>
          </w:p>
        </w:tc>
        <w:tc>
          <w:tcPr>
            <w:tcW w:w="1080" w:type="dxa"/>
            <w:vAlign w:val="bottom"/>
          </w:tcPr>
          <w:p>
            <w:pPr>
              <w:jc w:val="right"/>
              <w:ind w:right="107"/>
              <w:spacing w:after="0"/>
              <w:rPr>
                <w:sz w:val="20"/>
                <w:szCs w:val="20"/>
                <w:color w:val="auto"/>
              </w:rPr>
            </w:pPr>
            <w:r>
              <w:rPr>
                <w:rFonts w:ascii="Calibri" w:cs="Calibri" w:eastAsia="Calibri" w:hAnsi="Calibri"/>
                <w:sz w:val="15"/>
                <w:szCs w:val="15"/>
                <w:b w:val="1"/>
                <w:bCs w:val="1"/>
                <w:color w:val="auto"/>
              </w:rPr>
              <w:t>—</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(18)</w:t>
            </w:r>
          </w:p>
        </w:tc>
        <w:tc>
          <w:tcPr>
            <w:tcW w:w="980" w:type="dxa"/>
            <w:vAlign w:val="bottom"/>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218"/>
        </w:trPr>
        <w:tc>
          <w:tcPr>
            <w:tcW w:w="5240" w:type="dxa"/>
            <w:vAlign w:val="bottom"/>
          </w:tcPr>
          <w:p>
            <w:pPr>
              <w:ind w:left="340"/>
              <w:spacing w:after="0"/>
              <w:rPr>
                <w:sz w:val="20"/>
                <w:szCs w:val="20"/>
                <w:color w:val="auto"/>
              </w:rPr>
            </w:pPr>
            <w:r>
              <w:rPr>
                <w:rFonts w:ascii="Calibri" w:cs="Calibri" w:eastAsia="Calibri" w:hAnsi="Calibri"/>
                <w:sz w:val="15"/>
                <w:szCs w:val="15"/>
                <w:color w:val="auto"/>
              </w:rPr>
              <w:t>Depreciaton and amortzaton</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w w:val="89"/>
              </w:rPr>
              <w:t>4, 5</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71</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44</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183</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124</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Share-based compensaton</w:t>
            </w:r>
          </w:p>
        </w:tc>
        <w:tc>
          <w:tcPr>
            <w:tcW w:w="72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978</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4,457</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4,205</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14,687</w:t>
            </w:r>
          </w:p>
        </w:tc>
      </w:tr>
      <w:tr>
        <w:trPr>
          <w:trHeight w:val="194"/>
        </w:trPr>
        <w:tc>
          <w:tcPr>
            <w:tcW w:w="5240" w:type="dxa"/>
            <w:vAlign w:val="bottom"/>
          </w:tcPr>
          <w:p>
            <w:pPr>
              <w:ind w:left="340"/>
              <w:spacing w:after="0"/>
              <w:rPr>
                <w:sz w:val="20"/>
                <w:szCs w:val="20"/>
                <w:color w:val="auto"/>
              </w:rPr>
            </w:pPr>
            <w:r>
              <w:rPr>
                <w:rFonts w:ascii="Calibri" w:cs="Calibri" w:eastAsia="Calibri" w:hAnsi="Calibri"/>
                <w:sz w:val="15"/>
                <w:szCs w:val="15"/>
                <w:color w:val="auto"/>
              </w:rPr>
              <w:t>Change in fair value of investments measured at fair value through proft or loss</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w w:val="93"/>
              </w:rPr>
              <w:t>3, 14</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159</w:t>
            </w:r>
          </w:p>
        </w:tc>
        <w:tc>
          <w:tcPr>
            <w:tcW w:w="1080" w:type="dxa"/>
            <w:vAlign w:val="bottom"/>
          </w:tcPr>
          <w:p>
            <w:pPr>
              <w:jc w:val="right"/>
              <w:ind w:right="107"/>
              <w:spacing w:after="0"/>
              <w:rPr>
                <w:sz w:val="20"/>
                <w:szCs w:val="20"/>
                <w:color w:val="auto"/>
              </w:rPr>
            </w:pPr>
            <w:r>
              <w:rPr>
                <w:rFonts w:ascii="Calibri" w:cs="Calibri" w:eastAsia="Calibri" w:hAnsi="Calibri"/>
                <w:sz w:val="15"/>
                <w:szCs w:val="15"/>
                <w:b w:val="1"/>
                <w:bCs w:val="1"/>
                <w:color w:val="auto"/>
              </w:rPr>
              <w:t>—</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135</w:t>
            </w:r>
          </w:p>
        </w:tc>
        <w:tc>
          <w:tcPr>
            <w:tcW w:w="980" w:type="dxa"/>
            <w:vAlign w:val="bottom"/>
          </w:tcPr>
          <w:p>
            <w:pPr>
              <w:jc w:val="right"/>
              <w:spacing w:after="0"/>
              <w:rPr>
                <w:sz w:val="20"/>
                <w:szCs w:val="20"/>
                <w:color w:val="auto"/>
              </w:rPr>
            </w:pPr>
            <w:r>
              <w:rPr>
                <w:rFonts w:ascii="Calibri" w:cs="Calibri" w:eastAsia="Calibri" w:hAnsi="Calibri"/>
                <w:sz w:val="15"/>
                <w:szCs w:val="15"/>
                <w:b w:val="1"/>
                <w:bCs w:val="1"/>
                <w:color w:val="auto"/>
              </w:rPr>
              <w:t>—</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Contngent consideraton accreton</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rPr>
              <w:t>7</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59</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13</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290</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Change in fair value of contngent consideraton</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rPr>
              <w:t>7</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695</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329</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1,944</w:t>
            </w:r>
          </w:p>
        </w:tc>
      </w:tr>
      <w:tr>
        <w:trPr>
          <w:trHeight w:val="218"/>
        </w:trPr>
        <w:tc>
          <w:tcPr>
            <w:tcW w:w="5240" w:type="dxa"/>
            <w:vAlign w:val="bottom"/>
          </w:tcPr>
          <w:p>
            <w:pPr>
              <w:ind w:left="380"/>
              <w:spacing w:after="0"/>
              <w:rPr>
                <w:sz w:val="20"/>
                <w:szCs w:val="20"/>
                <w:color w:val="auto"/>
              </w:rPr>
            </w:pPr>
            <w:r>
              <w:rPr>
                <w:rFonts w:ascii="Calibri" w:cs="Calibri" w:eastAsia="Calibri" w:hAnsi="Calibri"/>
                <w:sz w:val="15"/>
                <w:szCs w:val="15"/>
                <w:color w:val="auto"/>
              </w:rPr>
              <w:t>Unrealized foreign currency translaton loss (gain)</w:t>
            </w:r>
          </w:p>
        </w:tc>
        <w:tc>
          <w:tcPr>
            <w:tcW w:w="72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(1,329)</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16</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(4,021)</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(143)</w:t>
            </w:r>
          </w:p>
        </w:tc>
      </w:tr>
      <w:tr>
        <w:trPr>
          <w:trHeight w:val="25"/>
        </w:trPr>
        <w:tc>
          <w:tcPr>
            <w:tcW w:w="5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5"/>
        </w:trPr>
        <w:tc>
          <w:tcPr>
            <w:tcW w:w="5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8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(10,869)</w:t>
            </w:r>
          </w:p>
        </w:tc>
        <w:tc>
          <w:tcPr>
            <w:tcW w:w="1080" w:type="dxa"/>
            <w:vAlign w:val="bottom"/>
          </w:tcPr>
          <w:p>
            <w:pPr>
              <w:jc w:val="right"/>
              <w:ind w:right="107"/>
              <w:spacing w:after="0" w:line="165" w:lineRule="exact"/>
              <w:rPr>
                <w:sz w:val="20"/>
                <w:szCs w:val="20"/>
                <w:color w:val="auto"/>
              </w:rPr>
            </w:pPr>
            <w:r>
              <w:rPr>
                <w:rFonts w:ascii="Calibri" w:cs="Calibri" w:eastAsia="Calibri" w:hAnsi="Calibri"/>
                <w:sz w:val="15"/>
                <w:szCs w:val="15"/>
                <w:color w:val="auto"/>
              </w:rPr>
              <w:t>(11,939)</w:t>
            </w:r>
          </w:p>
        </w:tc>
        <w:tc>
          <w:tcPr>
            <w:tcW w:w="15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(32,944)</w:t>
            </w:r>
          </w:p>
        </w:tc>
        <w:tc>
          <w:tcPr>
            <w:tcW w:w="980" w:type="dxa"/>
            <w:vAlign w:val="bottom"/>
          </w:tcPr>
          <w:p>
            <w:pPr>
              <w:jc w:val="right"/>
              <w:spacing w:after="0" w:line="165" w:lineRule="exact"/>
              <w:rPr>
                <w:sz w:val="20"/>
                <w:szCs w:val="20"/>
                <w:color w:val="auto"/>
              </w:rPr>
            </w:pPr>
            <w:r>
              <w:rPr>
                <w:rFonts w:ascii="Calibri" w:cs="Calibri" w:eastAsia="Calibri" w:hAnsi="Calibri"/>
                <w:sz w:val="15"/>
                <w:szCs w:val="15"/>
                <w:color w:val="auto"/>
              </w:rPr>
              <w:t>(32,632)</w:t>
            </w:r>
          </w:p>
        </w:tc>
      </w:tr>
      <w:tr>
        <w:trPr>
          <w:trHeight w:val="190"/>
        </w:trPr>
        <w:tc>
          <w:tcPr>
            <w:tcW w:w="5240" w:type="dxa"/>
            <w:vAlign w:val="bottom"/>
          </w:tcPr>
          <w:p>
            <w:pPr>
              <w:ind w:left="160"/>
              <w:spacing w:after="0"/>
              <w:rPr>
                <w:sz w:val="20"/>
                <w:szCs w:val="20"/>
                <w:color w:val="auto"/>
              </w:rPr>
            </w:pPr>
            <w:r>
              <w:rPr>
                <w:rFonts w:ascii="Calibri" w:cs="Calibri" w:eastAsia="Calibri" w:hAnsi="Calibri"/>
                <w:sz w:val="15"/>
                <w:szCs w:val="15"/>
                <w:b w:val="1"/>
                <w:bCs w:val="1"/>
                <w:color w:val="auto"/>
              </w:rPr>
              <w:t>Net changes in non-cash working capital items:</w:t>
            </w:r>
          </w:p>
        </w:tc>
        <w:tc>
          <w:tcPr>
            <w:tcW w:w="7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Accounts receivable</w:t>
            </w:r>
          </w:p>
        </w:tc>
        <w:tc>
          <w:tcPr>
            <w:tcW w:w="72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242</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114</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(495)</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(838)</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Prepaid expenses</w:t>
            </w:r>
          </w:p>
        </w:tc>
        <w:tc>
          <w:tcPr>
            <w:tcW w:w="72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278</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(672)</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(1,620)</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(1,535)</w:t>
            </w:r>
          </w:p>
        </w:tc>
      </w:tr>
      <w:tr>
        <w:trPr>
          <w:trHeight w:val="194"/>
        </w:trPr>
        <w:tc>
          <w:tcPr>
            <w:tcW w:w="5240" w:type="dxa"/>
            <w:vAlign w:val="bottom"/>
          </w:tcPr>
          <w:p>
            <w:pPr>
              <w:ind w:left="60"/>
              <w:spacing w:after="0"/>
              <w:rPr>
                <w:sz w:val="20"/>
                <w:szCs w:val="20"/>
                <w:color w:val="auto"/>
              </w:rPr>
            </w:pPr>
            <w:r>
              <w:rPr>
                <w:rFonts w:ascii="Calibri" w:cs="Calibri" w:eastAsia="Calibri" w:hAnsi="Calibri"/>
                <w:sz w:val="15"/>
                <w:szCs w:val="15"/>
                <w:color w:val="auto"/>
              </w:rPr>
              <w:t>Other current assets</w:t>
            </w:r>
          </w:p>
        </w:tc>
        <w:tc>
          <w:tcPr>
            <w:tcW w:w="72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91</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(733)</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(641)</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(733)</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Accounts payable and accrued liabilites</w:t>
            </w:r>
          </w:p>
        </w:tc>
        <w:tc>
          <w:tcPr>
            <w:tcW w:w="720" w:type="dxa"/>
            <w:vAlign w:val="bottom"/>
          </w:tcPr>
          <w:p>
            <w:pPr>
              <w:spacing w:after="0"/>
              <w:rPr>
                <w:sz w:val="18"/>
                <w:szCs w:val="18"/>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(513)</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416</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(893)</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252</w:t>
            </w:r>
          </w:p>
        </w:tc>
      </w:tr>
      <w:tr>
        <w:trPr>
          <w:trHeight w:val="25"/>
        </w:trPr>
        <w:tc>
          <w:tcPr>
            <w:tcW w:w="5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5"/>
        </w:trPr>
        <w:tc>
          <w:tcPr>
            <w:tcW w:w="524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operatng actvites</w:t>
            </w:r>
          </w:p>
        </w:tc>
        <w:tc>
          <w:tcPr>
            <w:tcW w:w="720" w:type="dxa"/>
            <w:vAlign w:val="bottom"/>
          </w:tcPr>
          <w:p>
            <w:pPr>
              <w:spacing w:after="0"/>
              <w:rPr>
                <w:sz w:val="14"/>
                <w:szCs w:val="14"/>
                <w:color w:val="auto"/>
              </w:rPr>
            </w:pPr>
          </w:p>
        </w:tc>
        <w:tc>
          <w:tcPr>
            <w:tcW w:w="168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(10,771)</w:t>
            </w:r>
          </w:p>
        </w:tc>
        <w:tc>
          <w:tcPr>
            <w:tcW w:w="1080" w:type="dxa"/>
            <w:vAlign w:val="bottom"/>
          </w:tcPr>
          <w:p>
            <w:pPr>
              <w:jc w:val="right"/>
              <w:ind w:right="107"/>
              <w:spacing w:after="0" w:line="165" w:lineRule="exact"/>
              <w:rPr>
                <w:sz w:val="20"/>
                <w:szCs w:val="20"/>
                <w:color w:val="auto"/>
              </w:rPr>
            </w:pPr>
            <w:r>
              <w:rPr>
                <w:rFonts w:ascii="Calibri" w:cs="Calibri" w:eastAsia="Calibri" w:hAnsi="Calibri"/>
                <w:sz w:val="15"/>
                <w:szCs w:val="15"/>
                <w:color w:val="auto"/>
              </w:rPr>
              <w:t>(12,814)</w:t>
            </w:r>
          </w:p>
        </w:tc>
        <w:tc>
          <w:tcPr>
            <w:tcW w:w="15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(36,593)</w:t>
            </w:r>
          </w:p>
        </w:tc>
        <w:tc>
          <w:tcPr>
            <w:tcW w:w="980" w:type="dxa"/>
            <w:vAlign w:val="bottom"/>
          </w:tcPr>
          <w:p>
            <w:pPr>
              <w:jc w:val="right"/>
              <w:spacing w:after="0" w:line="165" w:lineRule="exact"/>
              <w:rPr>
                <w:sz w:val="20"/>
                <w:szCs w:val="20"/>
                <w:color w:val="auto"/>
              </w:rPr>
            </w:pPr>
            <w:r>
              <w:rPr>
                <w:rFonts w:ascii="Calibri" w:cs="Calibri" w:eastAsia="Calibri" w:hAnsi="Calibri"/>
                <w:sz w:val="15"/>
                <w:szCs w:val="15"/>
                <w:color w:val="auto"/>
              </w:rPr>
              <w:t>(35,486)</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4"/>
        </w:trPr>
        <w:tc>
          <w:tcPr>
            <w:tcW w:w="5240" w:type="dxa"/>
            <w:vAlign w:val="bottom"/>
          </w:tcPr>
          <w:p>
            <w:pPr>
              <w:ind w:left="60"/>
              <w:spacing w:after="0"/>
              <w:rPr>
                <w:sz w:val="20"/>
                <w:szCs w:val="20"/>
                <w:color w:val="auto"/>
              </w:rPr>
            </w:pPr>
            <w:r>
              <w:rPr>
                <w:rFonts w:ascii="Calibri" w:cs="Calibri" w:eastAsia="Calibri" w:hAnsi="Calibri"/>
                <w:sz w:val="15"/>
                <w:szCs w:val="15"/>
                <w:b w:val="1"/>
                <w:bCs w:val="1"/>
                <w:color w:val="auto"/>
              </w:rPr>
              <w:t>INVESTING ACTIVITIES</w:t>
            </w:r>
          </w:p>
        </w:tc>
        <w:tc>
          <w:tcPr>
            <w:tcW w:w="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4"/>
        </w:trPr>
        <w:tc>
          <w:tcPr>
            <w:tcW w:w="5240" w:type="dxa"/>
            <w:vAlign w:val="bottom"/>
          </w:tcPr>
          <w:p>
            <w:pPr>
              <w:ind w:left="340"/>
              <w:spacing w:after="0"/>
              <w:rPr>
                <w:sz w:val="20"/>
                <w:szCs w:val="20"/>
                <w:color w:val="auto"/>
              </w:rPr>
            </w:pPr>
            <w:r>
              <w:rPr>
                <w:rFonts w:ascii="Calibri" w:cs="Calibri" w:eastAsia="Calibri" w:hAnsi="Calibri"/>
                <w:sz w:val="15"/>
                <w:szCs w:val="15"/>
                <w:color w:val="auto"/>
              </w:rPr>
              <w:t>Purchase of investment</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rPr>
              <w:t>3</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(250)</w:t>
            </w:r>
          </w:p>
        </w:tc>
      </w:tr>
      <w:tr>
        <w:trPr>
          <w:trHeight w:val="194"/>
        </w:trPr>
        <w:tc>
          <w:tcPr>
            <w:tcW w:w="5240" w:type="dxa"/>
            <w:vAlign w:val="bottom"/>
          </w:tcPr>
          <w:p>
            <w:pPr>
              <w:ind w:left="340"/>
              <w:spacing w:after="0"/>
              <w:rPr>
                <w:sz w:val="20"/>
                <w:szCs w:val="20"/>
                <w:color w:val="auto"/>
              </w:rPr>
            </w:pPr>
            <w:r>
              <w:rPr>
                <w:rFonts w:ascii="Calibri" w:cs="Calibri" w:eastAsia="Calibri" w:hAnsi="Calibri"/>
                <w:sz w:val="15"/>
                <w:szCs w:val="15"/>
                <w:color w:val="auto"/>
              </w:rPr>
              <w:t>Purchase of intangible assets</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rPr>
              <w:t>5</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(207)</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(144)</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(2,949)</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(307)</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Purchase of equipment</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rPr>
              <w:t>4</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(22)</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(142)</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(92)</w:t>
            </w:r>
          </w:p>
        </w:tc>
      </w:tr>
      <w:tr>
        <w:trPr>
          <w:trHeight w:val="25"/>
        </w:trPr>
        <w:tc>
          <w:tcPr>
            <w:tcW w:w="5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5"/>
        </w:trPr>
        <w:tc>
          <w:tcPr>
            <w:tcW w:w="524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used in investng actvites</w:t>
            </w:r>
          </w:p>
        </w:tc>
        <w:tc>
          <w:tcPr>
            <w:tcW w:w="720" w:type="dxa"/>
            <w:vAlign w:val="bottom"/>
          </w:tcPr>
          <w:p>
            <w:pPr>
              <w:spacing w:after="0"/>
              <w:rPr>
                <w:sz w:val="14"/>
                <w:szCs w:val="14"/>
                <w:color w:val="auto"/>
              </w:rPr>
            </w:pPr>
          </w:p>
        </w:tc>
        <w:tc>
          <w:tcPr>
            <w:tcW w:w="168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(207)</w:t>
            </w:r>
          </w:p>
        </w:tc>
        <w:tc>
          <w:tcPr>
            <w:tcW w:w="1080" w:type="dxa"/>
            <w:vAlign w:val="bottom"/>
          </w:tcPr>
          <w:p>
            <w:pPr>
              <w:jc w:val="right"/>
              <w:ind w:right="107"/>
              <w:spacing w:after="0" w:line="165" w:lineRule="exact"/>
              <w:rPr>
                <w:sz w:val="20"/>
                <w:szCs w:val="20"/>
                <w:color w:val="auto"/>
              </w:rPr>
            </w:pPr>
            <w:r>
              <w:rPr>
                <w:rFonts w:ascii="Calibri" w:cs="Calibri" w:eastAsia="Calibri" w:hAnsi="Calibri"/>
                <w:sz w:val="15"/>
                <w:szCs w:val="15"/>
                <w:color w:val="auto"/>
              </w:rPr>
              <w:t>(166)</w:t>
            </w:r>
          </w:p>
        </w:tc>
        <w:tc>
          <w:tcPr>
            <w:tcW w:w="15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(3,091)</w:t>
            </w:r>
          </w:p>
        </w:tc>
        <w:tc>
          <w:tcPr>
            <w:tcW w:w="980" w:type="dxa"/>
            <w:vAlign w:val="bottom"/>
          </w:tcPr>
          <w:p>
            <w:pPr>
              <w:jc w:val="right"/>
              <w:spacing w:after="0" w:line="165" w:lineRule="exact"/>
              <w:rPr>
                <w:sz w:val="20"/>
                <w:szCs w:val="20"/>
                <w:color w:val="auto"/>
              </w:rPr>
            </w:pPr>
            <w:r>
              <w:rPr>
                <w:rFonts w:ascii="Calibri" w:cs="Calibri" w:eastAsia="Calibri" w:hAnsi="Calibri"/>
                <w:sz w:val="15"/>
                <w:szCs w:val="15"/>
                <w:color w:val="auto"/>
              </w:rPr>
              <w:t>(649)</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4"/>
        </w:trPr>
        <w:tc>
          <w:tcPr>
            <w:tcW w:w="5240" w:type="dxa"/>
            <w:vAlign w:val="bottom"/>
          </w:tcPr>
          <w:p>
            <w:pPr>
              <w:ind w:left="60"/>
              <w:spacing w:after="0"/>
              <w:rPr>
                <w:sz w:val="20"/>
                <w:szCs w:val="20"/>
                <w:color w:val="auto"/>
              </w:rPr>
            </w:pPr>
            <w:r>
              <w:rPr>
                <w:rFonts w:ascii="Calibri" w:cs="Calibri" w:eastAsia="Calibri" w:hAnsi="Calibri"/>
                <w:sz w:val="15"/>
                <w:szCs w:val="15"/>
                <w:b w:val="1"/>
                <w:bCs w:val="1"/>
                <w:color w:val="auto"/>
              </w:rPr>
              <w:t>FINANCING ACTIVITIES</w:t>
            </w:r>
          </w:p>
        </w:tc>
        <w:tc>
          <w:tcPr>
            <w:tcW w:w="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194"/>
        </w:trPr>
        <w:tc>
          <w:tcPr>
            <w:tcW w:w="5240" w:type="dxa"/>
            <w:vAlign w:val="bottom"/>
          </w:tcPr>
          <w:p>
            <w:pPr>
              <w:ind w:left="340"/>
              <w:spacing w:after="0"/>
              <w:rPr>
                <w:sz w:val="20"/>
                <w:szCs w:val="20"/>
                <w:color w:val="auto"/>
              </w:rPr>
            </w:pPr>
            <w:r>
              <w:rPr>
                <w:rFonts w:ascii="Calibri" w:cs="Calibri" w:eastAsia="Calibri" w:hAnsi="Calibri"/>
                <w:sz w:val="15"/>
                <w:szCs w:val="15"/>
                <w:color w:val="auto"/>
              </w:rPr>
              <w:t>Proceeds on issuance of common shares, net</w:t>
            </w:r>
          </w:p>
        </w:tc>
        <w:tc>
          <w:tcPr>
            <w:tcW w:w="72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3,459</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8,057</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31,508</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Shares issued for cash - warrant exercise</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rPr>
              <w:t>8</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292</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362</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2,884</w:t>
            </w:r>
          </w:p>
        </w:tc>
      </w:tr>
      <w:tr>
        <w:trPr>
          <w:trHeight w:val="218"/>
        </w:trPr>
        <w:tc>
          <w:tcPr>
            <w:tcW w:w="5240" w:type="dxa"/>
            <w:vAlign w:val="bottom"/>
          </w:tcPr>
          <w:p>
            <w:pPr>
              <w:ind w:left="60"/>
              <w:spacing w:after="0"/>
              <w:rPr>
                <w:sz w:val="20"/>
                <w:szCs w:val="20"/>
                <w:color w:val="auto"/>
              </w:rPr>
            </w:pPr>
            <w:r>
              <w:rPr>
                <w:rFonts w:ascii="Calibri" w:cs="Calibri" w:eastAsia="Calibri" w:hAnsi="Calibri"/>
                <w:sz w:val="15"/>
                <w:szCs w:val="15"/>
                <w:color w:val="auto"/>
              </w:rPr>
              <w:t>Shares issued for cash - optons exercise</w:t>
            </w:r>
          </w:p>
        </w:tc>
        <w:tc>
          <w:tcPr>
            <w:tcW w:w="720" w:type="dxa"/>
            <w:vAlign w:val="bottom"/>
          </w:tcPr>
          <w:p>
            <w:pPr>
              <w:jc w:val="center"/>
              <w:spacing w:after="0"/>
              <w:rPr>
                <w:sz w:val="20"/>
                <w:szCs w:val="20"/>
                <w:color w:val="auto"/>
              </w:rPr>
            </w:pPr>
            <w:r>
              <w:rPr>
                <w:rFonts w:ascii="Calibri" w:cs="Calibri" w:eastAsia="Calibri" w:hAnsi="Calibri"/>
                <w:sz w:val="15"/>
                <w:szCs w:val="15"/>
                <w:i w:val="1"/>
                <w:iCs w:val="1"/>
                <w:color w:val="auto"/>
              </w:rPr>
              <w:t>8</w:t>
            </w: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1,108</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1,318</w:t>
            </w:r>
          </w:p>
        </w:tc>
      </w:tr>
      <w:tr>
        <w:trPr>
          <w:trHeight w:val="25"/>
        </w:trPr>
        <w:tc>
          <w:tcPr>
            <w:tcW w:w="5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65"/>
        </w:trPr>
        <w:tc>
          <w:tcPr>
            <w:tcW w:w="524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Net cash fows from fnancing actvites</w:t>
            </w:r>
          </w:p>
        </w:tc>
        <w:tc>
          <w:tcPr>
            <w:tcW w:w="720" w:type="dxa"/>
            <w:vAlign w:val="bottom"/>
          </w:tcPr>
          <w:p>
            <w:pPr>
              <w:spacing w:after="0"/>
              <w:rPr>
                <w:sz w:val="14"/>
                <w:szCs w:val="14"/>
                <w:color w:val="auto"/>
              </w:rPr>
            </w:pPr>
          </w:p>
        </w:tc>
        <w:tc>
          <w:tcPr>
            <w:tcW w:w="168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3,459</w:t>
            </w:r>
          </w:p>
        </w:tc>
        <w:tc>
          <w:tcPr>
            <w:tcW w:w="1080" w:type="dxa"/>
            <w:vAlign w:val="bottom"/>
          </w:tcPr>
          <w:p>
            <w:pPr>
              <w:jc w:val="right"/>
              <w:ind w:right="107"/>
              <w:spacing w:after="0" w:line="165" w:lineRule="exact"/>
              <w:rPr>
                <w:sz w:val="20"/>
                <w:szCs w:val="20"/>
                <w:color w:val="auto"/>
              </w:rPr>
            </w:pPr>
            <w:r>
              <w:rPr>
                <w:rFonts w:ascii="Calibri" w:cs="Calibri" w:eastAsia="Calibri" w:hAnsi="Calibri"/>
                <w:sz w:val="15"/>
                <w:szCs w:val="15"/>
                <w:color w:val="auto"/>
              </w:rPr>
              <w:t>1,400</w:t>
            </w:r>
          </w:p>
        </w:tc>
        <w:tc>
          <w:tcPr>
            <w:tcW w:w="15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8,419</w:t>
            </w:r>
          </w:p>
        </w:tc>
        <w:tc>
          <w:tcPr>
            <w:tcW w:w="980" w:type="dxa"/>
            <w:vAlign w:val="bottom"/>
          </w:tcPr>
          <w:p>
            <w:pPr>
              <w:jc w:val="right"/>
              <w:spacing w:after="0" w:line="165" w:lineRule="exact"/>
              <w:rPr>
                <w:sz w:val="20"/>
                <w:szCs w:val="20"/>
                <w:color w:val="auto"/>
              </w:rPr>
            </w:pPr>
            <w:r>
              <w:rPr>
                <w:rFonts w:ascii="Calibri" w:cs="Calibri" w:eastAsia="Calibri" w:hAnsi="Calibri"/>
                <w:sz w:val="15"/>
                <w:szCs w:val="15"/>
                <w:color w:val="auto"/>
              </w:rPr>
              <w:t>35,710</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80"/>
        </w:trPr>
        <w:tc>
          <w:tcPr>
            <w:tcW w:w="5240" w:type="dxa"/>
            <w:vAlign w:val="bottom"/>
          </w:tcPr>
          <w:p>
            <w:pPr>
              <w:ind w:left="60"/>
              <w:spacing w:after="0"/>
              <w:rPr>
                <w:sz w:val="20"/>
                <w:szCs w:val="20"/>
                <w:color w:val="auto"/>
              </w:rPr>
            </w:pPr>
            <w:r>
              <w:rPr>
                <w:rFonts w:ascii="Calibri" w:cs="Calibri" w:eastAsia="Calibri" w:hAnsi="Calibri"/>
                <w:sz w:val="15"/>
                <w:szCs w:val="15"/>
                <w:b w:val="1"/>
                <w:bCs w:val="1"/>
                <w:color w:val="auto"/>
              </w:rPr>
              <w:t>Efects of exchange rate changes on cash</w:t>
            </w:r>
          </w:p>
        </w:tc>
        <w:tc>
          <w:tcPr>
            <w:tcW w:w="720" w:type="dxa"/>
            <w:vAlign w:val="bottom"/>
          </w:tcPr>
          <w:p>
            <w:pPr>
              <w:spacing w:after="0"/>
              <w:rPr>
                <w:sz w:val="24"/>
                <w:szCs w:val="24"/>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93</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(19)</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135</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(21)</w:t>
            </w:r>
          </w:p>
        </w:tc>
      </w:tr>
      <w:tr>
        <w:trPr>
          <w:trHeight w:val="25"/>
        </w:trPr>
        <w:tc>
          <w:tcPr>
            <w:tcW w:w="5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80"/>
        </w:trPr>
        <w:tc>
          <w:tcPr>
            <w:tcW w:w="5240" w:type="dxa"/>
            <w:vAlign w:val="bottom"/>
          </w:tcPr>
          <w:p>
            <w:pPr>
              <w:ind w:left="60"/>
              <w:spacing w:after="0"/>
              <w:rPr>
                <w:sz w:val="20"/>
                <w:szCs w:val="20"/>
                <w:color w:val="auto"/>
              </w:rPr>
            </w:pPr>
            <w:r>
              <w:rPr>
                <w:rFonts w:ascii="Calibri" w:cs="Calibri" w:eastAsia="Calibri" w:hAnsi="Calibri"/>
                <w:sz w:val="15"/>
                <w:szCs w:val="15"/>
                <w:b w:val="1"/>
                <w:bCs w:val="1"/>
                <w:color w:val="auto"/>
              </w:rPr>
              <w:t>Change in cash</w:t>
            </w:r>
          </w:p>
        </w:tc>
        <w:tc>
          <w:tcPr>
            <w:tcW w:w="720" w:type="dxa"/>
            <w:vAlign w:val="bottom"/>
          </w:tcPr>
          <w:p>
            <w:pPr>
              <w:spacing w:after="0"/>
              <w:rPr>
                <w:sz w:val="24"/>
                <w:szCs w:val="24"/>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(7,426)</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(11,599)</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(31,130)</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(446)</w:t>
            </w:r>
          </w:p>
        </w:tc>
      </w:tr>
      <w:tr>
        <w:trPr>
          <w:trHeight w:val="194"/>
        </w:trPr>
        <w:tc>
          <w:tcPr>
            <w:tcW w:w="5240" w:type="dxa"/>
            <w:vAlign w:val="bottom"/>
          </w:tcPr>
          <w:p>
            <w:pPr>
              <w:ind w:left="60"/>
              <w:spacing w:after="0"/>
              <w:rPr>
                <w:sz w:val="20"/>
                <w:szCs w:val="20"/>
                <w:color w:val="auto"/>
              </w:rPr>
            </w:pPr>
            <w:r>
              <w:rPr>
                <w:rFonts w:ascii="Calibri" w:cs="Calibri" w:eastAsia="Calibri" w:hAnsi="Calibri"/>
                <w:sz w:val="15"/>
                <w:szCs w:val="15"/>
                <w:b w:val="1"/>
                <w:bCs w:val="1"/>
                <w:color w:val="auto"/>
              </w:rPr>
              <w:t>Cash, beginning of period</w:t>
            </w:r>
          </w:p>
        </w:tc>
        <w:tc>
          <w:tcPr>
            <w:tcW w:w="720" w:type="dxa"/>
            <w:vAlign w:val="bottom"/>
          </w:tcPr>
          <w:p>
            <w:pPr>
              <w:spacing w:after="0"/>
              <w:rPr>
                <w:sz w:val="16"/>
                <w:szCs w:val="16"/>
                <w:color w:val="auto"/>
              </w:rPr>
            </w:pPr>
          </w:p>
        </w:tc>
        <w:tc>
          <w:tcPr>
            <w:tcW w:w="168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29,937</w:t>
            </w:r>
          </w:p>
        </w:tc>
        <w:tc>
          <w:tcPr>
            <w:tcW w:w="1080" w:type="dxa"/>
            <w:vAlign w:val="bottom"/>
          </w:tcPr>
          <w:p>
            <w:pPr>
              <w:jc w:val="right"/>
              <w:ind w:right="107"/>
              <w:spacing w:after="0"/>
              <w:rPr>
                <w:sz w:val="20"/>
                <w:szCs w:val="20"/>
                <w:color w:val="auto"/>
              </w:rPr>
            </w:pPr>
            <w:r>
              <w:rPr>
                <w:rFonts w:ascii="Calibri" w:cs="Calibri" w:eastAsia="Calibri" w:hAnsi="Calibri"/>
                <w:sz w:val="15"/>
                <w:szCs w:val="15"/>
                <w:color w:val="auto"/>
              </w:rPr>
              <w:t>75,179</w:t>
            </w:r>
          </w:p>
        </w:tc>
        <w:tc>
          <w:tcPr>
            <w:tcW w:w="1560" w:type="dxa"/>
            <w:vAlign w:val="bottom"/>
          </w:tcPr>
          <w:p>
            <w:pPr>
              <w:jc w:val="right"/>
              <w:ind w:right="347"/>
              <w:spacing w:after="0"/>
              <w:rPr>
                <w:sz w:val="20"/>
                <w:szCs w:val="20"/>
                <w:color w:val="auto"/>
              </w:rPr>
            </w:pPr>
            <w:r>
              <w:rPr>
                <w:rFonts w:ascii="Calibri" w:cs="Calibri" w:eastAsia="Calibri" w:hAnsi="Calibri"/>
                <w:sz w:val="15"/>
                <w:szCs w:val="15"/>
                <w:b w:val="1"/>
                <w:bCs w:val="1"/>
                <w:color w:val="auto"/>
              </w:rPr>
              <w:t>53,641</w:t>
            </w:r>
          </w:p>
        </w:tc>
        <w:tc>
          <w:tcPr>
            <w:tcW w:w="980" w:type="dxa"/>
            <w:vAlign w:val="bottom"/>
          </w:tcPr>
          <w:p>
            <w:pPr>
              <w:jc w:val="right"/>
              <w:spacing w:after="0"/>
              <w:rPr>
                <w:sz w:val="20"/>
                <w:szCs w:val="20"/>
                <w:color w:val="auto"/>
              </w:rPr>
            </w:pPr>
            <w:r>
              <w:rPr>
                <w:rFonts w:ascii="Calibri" w:cs="Calibri" w:eastAsia="Calibri" w:hAnsi="Calibri"/>
                <w:sz w:val="15"/>
                <w:szCs w:val="15"/>
                <w:color w:val="auto"/>
              </w:rPr>
              <w:t>64,026</w:t>
            </w:r>
          </w:p>
        </w:tc>
      </w:tr>
      <w:tr>
        <w:trPr>
          <w:trHeight w:val="25"/>
        </w:trPr>
        <w:tc>
          <w:tcPr>
            <w:tcW w:w="5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80" w:type="dxa"/>
            <w:vAlign w:val="bottom"/>
            <w:tcBorders>
              <w:bottom w:val="single" w:sz="8" w:color="6D6D6D"/>
            </w:tcBorders>
          </w:tcPr>
          <w:p>
            <w:pPr>
              <w:spacing w:after="0"/>
              <w:rPr>
                <w:sz w:val="2"/>
                <w:szCs w:val="2"/>
                <w:color w:val="auto"/>
              </w:rPr>
            </w:pPr>
          </w:p>
        </w:tc>
        <w:tc>
          <w:tcPr>
            <w:tcW w:w="1080" w:type="dxa"/>
            <w:vAlign w:val="bottom"/>
            <w:tcBorders>
              <w:bottom w:val="single" w:sz="8" w:color="6D6D6D"/>
            </w:tcBorders>
          </w:tcPr>
          <w:p>
            <w:pPr>
              <w:spacing w:after="0"/>
              <w:rPr>
                <w:sz w:val="2"/>
                <w:szCs w:val="2"/>
                <w:color w:val="auto"/>
              </w:rPr>
            </w:pPr>
          </w:p>
        </w:tc>
        <w:tc>
          <w:tcPr>
            <w:tcW w:w="1560" w:type="dxa"/>
            <w:vAlign w:val="bottom"/>
            <w:tcBorders>
              <w:bottom w:val="single" w:sz="8" w:color="6D6D6D"/>
            </w:tcBorders>
          </w:tcPr>
          <w:p>
            <w:pPr>
              <w:spacing w:after="0"/>
              <w:rPr>
                <w:sz w:val="2"/>
                <w:szCs w:val="2"/>
                <w:color w:val="auto"/>
              </w:rPr>
            </w:pPr>
          </w:p>
        </w:tc>
        <w:tc>
          <w:tcPr>
            <w:tcW w:w="980" w:type="dxa"/>
            <w:vAlign w:val="bottom"/>
            <w:tcBorders>
              <w:bottom w:val="single" w:sz="8" w:color="6D6D6D"/>
            </w:tcBorders>
          </w:tcPr>
          <w:p>
            <w:pPr>
              <w:spacing w:after="0"/>
              <w:rPr>
                <w:sz w:val="2"/>
                <w:szCs w:val="2"/>
                <w:color w:val="auto"/>
              </w:rPr>
            </w:pPr>
          </w:p>
        </w:tc>
      </w:tr>
      <w:tr>
        <w:trPr>
          <w:trHeight w:val="165"/>
        </w:trPr>
        <w:tc>
          <w:tcPr>
            <w:tcW w:w="5240" w:type="dxa"/>
            <w:vAlign w:val="bottom"/>
          </w:tcPr>
          <w:p>
            <w:pPr>
              <w:ind w:left="60"/>
              <w:spacing w:after="0" w:line="165" w:lineRule="exact"/>
              <w:rPr>
                <w:sz w:val="20"/>
                <w:szCs w:val="20"/>
                <w:color w:val="auto"/>
              </w:rPr>
            </w:pPr>
            <w:r>
              <w:rPr>
                <w:rFonts w:ascii="Calibri" w:cs="Calibri" w:eastAsia="Calibri" w:hAnsi="Calibri"/>
                <w:sz w:val="15"/>
                <w:szCs w:val="15"/>
                <w:b w:val="1"/>
                <w:bCs w:val="1"/>
                <w:color w:val="auto"/>
              </w:rPr>
              <w:t>Cash, end of period</w:t>
            </w:r>
          </w:p>
        </w:tc>
        <w:tc>
          <w:tcPr>
            <w:tcW w:w="720" w:type="dxa"/>
            <w:vAlign w:val="bottom"/>
          </w:tcPr>
          <w:p>
            <w:pPr>
              <w:spacing w:after="0"/>
              <w:rPr>
                <w:sz w:val="14"/>
                <w:szCs w:val="14"/>
                <w:color w:val="auto"/>
              </w:rPr>
            </w:pPr>
          </w:p>
        </w:tc>
        <w:tc>
          <w:tcPr>
            <w:tcW w:w="168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22,511</w:t>
            </w:r>
          </w:p>
        </w:tc>
        <w:tc>
          <w:tcPr>
            <w:tcW w:w="1080" w:type="dxa"/>
            <w:vAlign w:val="bottom"/>
          </w:tcPr>
          <w:p>
            <w:pPr>
              <w:jc w:val="right"/>
              <w:ind w:right="107"/>
              <w:spacing w:after="0" w:line="165" w:lineRule="exact"/>
              <w:rPr>
                <w:sz w:val="20"/>
                <w:szCs w:val="20"/>
                <w:color w:val="auto"/>
              </w:rPr>
            </w:pPr>
            <w:r>
              <w:rPr>
                <w:rFonts w:ascii="Calibri" w:cs="Calibri" w:eastAsia="Calibri" w:hAnsi="Calibri"/>
                <w:sz w:val="15"/>
                <w:szCs w:val="15"/>
                <w:color w:val="auto"/>
              </w:rPr>
              <w:t>63,580</w:t>
            </w:r>
          </w:p>
        </w:tc>
        <w:tc>
          <w:tcPr>
            <w:tcW w:w="1560" w:type="dxa"/>
            <w:vAlign w:val="bottom"/>
          </w:tcPr>
          <w:p>
            <w:pPr>
              <w:jc w:val="right"/>
              <w:ind w:right="347"/>
              <w:spacing w:after="0" w:line="165" w:lineRule="exact"/>
              <w:rPr>
                <w:sz w:val="20"/>
                <w:szCs w:val="20"/>
                <w:color w:val="auto"/>
              </w:rPr>
            </w:pPr>
            <w:r>
              <w:rPr>
                <w:rFonts w:ascii="Calibri" w:cs="Calibri" w:eastAsia="Calibri" w:hAnsi="Calibri"/>
                <w:sz w:val="15"/>
                <w:szCs w:val="15"/>
                <w:b w:val="1"/>
                <w:bCs w:val="1"/>
                <w:color w:val="auto"/>
              </w:rPr>
              <w:t>22,511</w:t>
            </w:r>
          </w:p>
        </w:tc>
        <w:tc>
          <w:tcPr>
            <w:tcW w:w="980" w:type="dxa"/>
            <w:vAlign w:val="bottom"/>
          </w:tcPr>
          <w:p>
            <w:pPr>
              <w:jc w:val="right"/>
              <w:spacing w:after="0" w:line="165" w:lineRule="exact"/>
              <w:rPr>
                <w:sz w:val="20"/>
                <w:szCs w:val="20"/>
                <w:color w:val="auto"/>
              </w:rPr>
            </w:pPr>
            <w:r>
              <w:rPr>
                <w:rFonts w:ascii="Calibri" w:cs="Calibri" w:eastAsia="Calibri" w:hAnsi="Calibri"/>
                <w:sz w:val="15"/>
                <w:szCs w:val="15"/>
                <w:color w:val="auto"/>
              </w:rPr>
              <w:t>63,580</w:t>
            </w:r>
          </w:p>
        </w:tc>
      </w:tr>
      <w:tr>
        <w:trPr>
          <w:trHeight w:val="21"/>
        </w:trPr>
        <w:tc>
          <w:tcPr>
            <w:tcW w:w="5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Calibri" w:cs="Calibri" w:eastAsia="Calibri" w:hAnsi="Calibri"/>
          <w:sz w:val="16"/>
          <w:szCs w:val="16"/>
          <w:i w:val="1"/>
          <w:iCs w:val="1"/>
          <w:color w:val="auto"/>
        </w:rPr>
        <w:t>The accompanying notes are an integral part of these condensed interim consolidated fnancial statements.</w:t>
      </w:r>
    </w:p>
    <w:p>
      <w:pPr>
        <w:sectPr>
          <w:pgSz w:w="11900" w:h="16838" w:orient="portrait"/>
          <w:cols w:equalWidth="0" w:num="1">
            <w:col w:w="11260"/>
          </w:cols>
          <w:pgMar w:left="320" w:top="162" w:right="319" w:bottom="1440" w:gutter="0" w:footer="0" w:header="0"/>
        </w:sectPr>
      </w:pPr>
    </w:p>
    <w:bookmarkStart w:id="9" w:name="page10"/>
    <w:bookmarkEnd w:id="9"/>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1.</w:t>
      </w:r>
      <w:r>
        <w:rPr>
          <w:sz w:val="20"/>
          <w:szCs w:val="20"/>
          <w:color w:val="auto"/>
        </w:rPr>
        <w:tab/>
      </w:r>
      <w:r>
        <w:rPr>
          <w:rFonts w:ascii="Calibri" w:cs="Calibri" w:eastAsia="Calibri" w:hAnsi="Calibri"/>
          <w:sz w:val="15"/>
          <w:szCs w:val="15"/>
          <w:b w:val="1"/>
          <w:bCs w:val="1"/>
          <w:color w:val="2D5F91"/>
        </w:rPr>
        <w:t>CORPORATE INFORMATION</w:t>
      </w:r>
    </w:p>
    <w:p>
      <w:pPr>
        <w:spacing w:after="0" w:line="25"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Cybin Inc. (“Cybin”), was incorporated under the Business Corporatons Act (Britsh Columbia) on October 13, 2016. These condensed interim consolidated fnancial statements include the accounts of Cybin’s six subsidiaries (together, with Cybin, the “Company”): Cybin Corp., Natures Journey Inc. (“Journey”), Serenity Life Sciences Inc. (“Serenity”), Cybin US Holdings Inc. (“Cybin US”), Adelia Therapeutcs Inc. (“Adelia”) and Cybin IRL Limited (“Cybin IRL”). Cybin’s head ofce, principal address and registered address and records ofce is 100 King Street West, Suite 5600, Toronto, Ontario M5X 1C9.</w:t>
      </w:r>
    </w:p>
    <w:p>
      <w:pPr>
        <w:spacing w:after="0" w:line="159"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The Company is a biopharmaceutcal company focused on advancing psychedelic-based therapies, delivery mechanisms, novel compounds and protocols as potental treatments for various psychiatric and neurological conditons. The Company is developing technologies and delivery systems aimed at improving the pharmacokinetcs of its psychedelic-based molecules while retaining the therapeutc beneft. These new molecules and delivery systems are expected to be studied through clinical trials to confrm safety and efcacy.</w:t>
      </w:r>
    </w:p>
    <w:p>
      <w:pPr>
        <w:spacing w:after="0" w:line="159"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These condensed interim consolidated fnancial statements as at, and for the three and nine months ended, December 31, 2022 were approved and authorized for issue by the board of directors on February 13, 2023.</w:t>
      </w:r>
    </w:p>
    <w:p>
      <w:pPr>
        <w:spacing w:after="0" w:line="170"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COVID 19</w:t>
      </w:r>
    </w:p>
    <w:p>
      <w:pPr>
        <w:spacing w:after="0" w:line="158"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In March 2020, the outbreak of the novel strain of coronavirus, specifcally identfed as “COVID-19”, resulted in governments worldwide enactng emergency measures to combat the spread of the virus. These measures, which included the implementaton of travel bans, self-imposed quarantne periods and social distancing, caused material disrupton to businesses globally resultng in an economic slowdown. Global equity markets experienced signifcant volatlity and weakness. Governments and central banks reacted with signifcant monetary and fscal interventons designed to stabilize economic conditons. Although many of these measures have been amended or repealed, there remains a future risk of reinstated measures in response to the spread of COVID-19.</w:t>
      </w:r>
    </w:p>
    <w:p>
      <w:pPr>
        <w:spacing w:after="0" w:line="159"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The duraton and impact of any COVID-19 related outbreak is unknown at this tme, as is the efcacy of the government and central bank interventons. It is not possible to reliably estmate the length and severity of these developments and the impact on the fnancial results and conditon of the Company in future periods.</w:t>
      </w:r>
    </w:p>
    <w:p>
      <w:pPr>
        <w:spacing w:after="0" w:line="172"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The Company is not currently aware of any changes in laws, regulatons or guidelines, including tax and accountng requirements, arising from COVID-19 which would be reasonably antcipated to materially afect the Company’s business.</w:t>
      </w:r>
    </w:p>
    <w:p>
      <w:pPr>
        <w:spacing w:after="0" w:line="15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Stock exchange listng</w:t>
      </w:r>
    </w:p>
    <w:p>
      <w:pPr>
        <w:spacing w:after="0" w:line="158"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Cybin’s common shares (“Common Shares”) are listed for trading on the Neo Exchange Inc., and NYSE American LLC under the symbol “CYBN” and are quoted on the Frankfurt Stock Exchange under the symbol “R7E1”.</w:t>
      </w:r>
    </w:p>
    <w:p>
      <w:pPr>
        <w:spacing w:after="0" w:line="170"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Going Concern</w:t>
      </w:r>
    </w:p>
    <w:p>
      <w:pPr>
        <w:spacing w:after="0" w:line="146" w:lineRule="exact"/>
        <w:rPr>
          <w:sz w:val="20"/>
          <w:szCs w:val="20"/>
          <w:color w:val="auto"/>
        </w:rPr>
      </w:pPr>
    </w:p>
    <w:p>
      <w:pPr>
        <w:jc w:val="both"/>
        <w:ind w:left="280" w:right="20"/>
        <w:spacing w:after="0" w:line="228" w:lineRule="auto"/>
        <w:rPr>
          <w:sz w:val="20"/>
          <w:szCs w:val="20"/>
          <w:color w:val="auto"/>
        </w:rPr>
      </w:pPr>
      <w:r>
        <w:rPr>
          <w:rFonts w:ascii="Calibri" w:cs="Calibri" w:eastAsia="Calibri" w:hAnsi="Calibri"/>
          <w:sz w:val="16"/>
          <w:szCs w:val="16"/>
          <w:color w:val="auto"/>
        </w:rPr>
        <w:t>These condensed interim consolidated fnancial statements are prepared on a going concern basis, which contemplates that the Company will contnue in operaton for the foreseeable future and will be able to realize its assets and discharge its liabilites in the normal course of business. At present, the Company’s operatons do not generate cash fow. The Company has incurred losses since incepton and had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7 of 25</w:t>
      </w:r>
    </w:p>
    <w:p>
      <w:pPr>
        <w:sectPr>
          <w:pgSz w:w="11900" w:h="16838" w:orient="portrait"/>
          <w:cols w:equalWidth="0" w:num="1">
            <w:col w:w="11260"/>
          </w:cols>
          <w:pgMar w:left="320" w:top="162" w:right="319" w:bottom="1440" w:gutter="0" w:footer="0" w:header="0"/>
        </w:sectPr>
      </w:pPr>
    </w:p>
    <w:bookmarkStart w:id="10" w:name="page11"/>
    <w:bookmarkEnd w:id="10"/>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280" w:right="20"/>
        <w:spacing w:after="0" w:line="227" w:lineRule="auto"/>
        <w:rPr>
          <w:sz w:val="20"/>
          <w:szCs w:val="20"/>
          <w:color w:val="auto"/>
        </w:rPr>
      </w:pPr>
      <w:r>
        <w:rPr>
          <w:rFonts w:ascii="Calibri" w:cs="Calibri" w:eastAsia="Calibri" w:hAnsi="Calibri"/>
          <w:sz w:val="16"/>
          <w:szCs w:val="16"/>
          <w:color w:val="auto"/>
        </w:rPr>
        <w:t>accumulated defcit of $134,431 as at December 31, 2022 (March 31, 2022 - $100,661). As at December 31, 2022, the Company had a cash balance of $22,511 (March 31, 2022 - $53,641) and working capital of $25,737 (March 31, 2022 - $50,447). In order to contnue as a going concern and meet its corporate objectves, the Company is dependent on its ability to obtain additonal fnancing. There is no assurance that the Company will be able to obtain adequate fnancing in the future or that such fnancing will be on terms advantageous to the Company.</w:t>
      </w:r>
    </w:p>
    <w:p>
      <w:pPr>
        <w:spacing w:after="0" w:line="146" w:lineRule="exact"/>
        <w:rPr>
          <w:sz w:val="20"/>
          <w:szCs w:val="20"/>
          <w:color w:val="auto"/>
        </w:rPr>
      </w:pPr>
    </w:p>
    <w:p>
      <w:pPr>
        <w:jc w:val="both"/>
        <w:ind w:left="280" w:right="20"/>
        <w:spacing w:after="0" w:line="228" w:lineRule="auto"/>
        <w:rPr>
          <w:sz w:val="20"/>
          <w:szCs w:val="20"/>
          <w:color w:val="auto"/>
        </w:rPr>
      </w:pPr>
      <w:r>
        <w:rPr>
          <w:rFonts w:ascii="Calibri" w:cs="Calibri" w:eastAsia="Calibri" w:hAnsi="Calibri"/>
          <w:sz w:val="16"/>
          <w:szCs w:val="16"/>
          <w:color w:val="auto"/>
        </w:rPr>
        <w:t>These condensed interim consolidated fnancial statements do not refect the adjustments or reclassifcatons of assets and liabilites which would be necessary if the Company were unable to contnue as a going concern and therefore were required to realize its assets and liquidate its liabilites and commitments in the normal course of business operatons and at amounts diferent from those in the accompanying condensed interim consolidated fnancial statements.</w:t>
      </w:r>
    </w:p>
    <w:p>
      <w:pPr>
        <w:spacing w:after="0" w:line="375"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2.</w:t>
      </w:r>
      <w:r>
        <w:rPr>
          <w:sz w:val="20"/>
          <w:szCs w:val="20"/>
          <w:color w:val="auto"/>
        </w:rPr>
        <w:tab/>
      </w:r>
      <w:r>
        <w:rPr>
          <w:rFonts w:ascii="Calibri" w:cs="Calibri" w:eastAsia="Calibri" w:hAnsi="Calibri"/>
          <w:sz w:val="15"/>
          <w:szCs w:val="15"/>
          <w:b w:val="1"/>
          <w:bCs w:val="1"/>
          <w:color w:val="2D5F91"/>
        </w:rPr>
        <w:t>SIGNIFICANT ACCOUNTING POLICIES AND BASIS OF PREPARATION</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Statement of compliance</w:t>
      </w:r>
    </w:p>
    <w:p>
      <w:pPr>
        <w:spacing w:after="0" w:line="158" w:lineRule="exact"/>
        <w:rPr>
          <w:sz w:val="20"/>
          <w:szCs w:val="20"/>
          <w:color w:val="auto"/>
        </w:rPr>
      </w:pPr>
    </w:p>
    <w:p>
      <w:pPr>
        <w:jc w:val="both"/>
        <w:ind w:left="280" w:right="20"/>
        <w:spacing w:after="0" w:line="218" w:lineRule="auto"/>
        <w:rPr>
          <w:sz w:val="20"/>
          <w:szCs w:val="20"/>
          <w:color w:val="auto"/>
        </w:rPr>
      </w:pPr>
      <w:r>
        <w:rPr>
          <w:rFonts w:ascii="Calibri" w:cs="Calibri" w:eastAsia="Calibri" w:hAnsi="Calibri"/>
          <w:sz w:val="16"/>
          <w:szCs w:val="16"/>
          <w:color w:val="auto"/>
        </w:rPr>
        <w:t>These condensed interim consolidated fnancial statements for the three and nine months ended December 31, 2022 have been prepared in accordance with Internatonal Accountng Standard 34 “Interim Financial Reportng”. Accordingly, certain informaton and footnote disclosure normally included in annual fnancial statements prepared in accordance with Internatonal Financial Reportng Standards (“IFRS”) have been omited or condensed.</w:t>
      </w:r>
    </w:p>
    <w:p>
      <w:pPr>
        <w:spacing w:after="0" w:line="159" w:lineRule="exact"/>
        <w:rPr>
          <w:sz w:val="20"/>
          <w:szCs w:val="20"/>
          <w:color w:val="auto"/>
        </w:rPr>
      </w:pPr>
    </w:p>
    <w:p>
      <w:pPr>
        <w:jc w:val="both"/>
        <w:ind w:left="280"/>
        <w:spacing w:after="0" w:line="237" w:lineRule="auto"/>
        <w:rPr>
          <w:sz w:val="20"/>
          <w:szCs w:val="20"/>
          <w:color w:val="auto"/>
        </w:rPr>
      </w:pPr>
      <w:r>
        <w:rPr>
          <w:rFonts w:ascii="Calibri" w:cs="Calibri" w:eastAsia="Calibri" w:hAnsi="Calibri"/>
          <w:sz w:val="16"/>
          <w:szCs w:val="16"/>
          <w:color w:val="auto"/>
        </w:rPr>
        <w:t>The accountng policies adopted in the preparaton of the condensed interim consolidated fnancial statements are consistent with those set out in note 2 “Signifcant accountng policies and basis of preparaton” of the Company’s annual consolidated fnancial statements for the year ended March 31, 2022.</w:t>
      </w:r>
    </w:p>
    <w:p>
      <w:pPr>
        <w:spacing w:after="0" w:line="15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These condensed interim consolidated fnancial statements should be read in conjuncton with the consolidated fnancial statements for the year ended March 31, 2022.</w:t>
      </w:r>
    </w:p>
    <w:p>
      <w:pPr>
        <w:spacing w:after="0" w:line="205"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Basis of measurement</w:t>
      </w:r>
    </w:p>
    <w:p>
      <w:pPr>
        <w:spacing w:after="0" w:line="146" w:lineRule="exact"/>
        <w:rPr>
          <w:sz w:val="20"/>
          <w:szCs w:val="20"/>
          <w:color w:val="auto"/>
        </w:rPr>
      </w:pPr>
    </w:p>
    <w:p>
      <w:pPr>
        <w:jc w:val="both"/>
        <w:ind w:left="280" w:right="20"/>
        <w:spacing w:after="0" w:line="230" w:lineRule="auto"/>
        <w:rPr>
          <w:sz w:val="20"/>
          <w:szCs w:val="20"/>
          <w:color w:val="auto"/>
        </w:rPr>
      </w:pPr>
      <w:r>
        <w:rPr>
          <w:rFonts w:ascii="Calibri" w:cs="Calibri" w:eastAsia="Calibri" w:hAnsi="Calibri"/>
          <w:sz w:val="16"/>
          <w:szCs w:val="16"/>
          <w:color w:val="auto"/>
        </w:rPr>
        <w:t>These condensed interim consolidated fnancial statements have been prepared on a going concern basis, under the historical cost conventon, except for certain fnancial instruments classifed at fair value upon inital recogniton.</w:t>
      </w:r>
    </w:p>
    <w:p>
      <w:pPr>
        <w:spacing w:after="0" w:line="206" w:lineRule="exact"/>
        <w:rPr>
          <w:sz w:val="20"/>
          <w:szCs w:val="20"/>
          <w:color w:val="auto"/>
        </w:rPr>
      </w:pPr>
    </w:p>
    <w:p>
      <w:pPr>
        <w:spacing w:after="0"/>
        <w:rPr>
          <w:sz w:val="20"/>
          <w:szCs w:val="20"/>
          <w:color w:val="auto"/>
        </w:rPr>
      </w:pPr>
      <w:r>
        <w:rPr>
          <w:rFonts w:ascii="Calibri" w:cs="Calibri" w:eastAsia="Calibri" w:hAnsi="Calibri"/>
          <w:sz w:val="16"/>
          <w:szCs w:val="16"/>
          <w:b w:val="1"/>
          <w:bCs w:val="1"/>
          <w:i w:val="1"/>
          <w:iCs w:val="1"/>
          <w:u w:val="single" w:color="auto"/>
          <w:color w:val="auto"/>
        </w:rPr>
        <w:t>Consolidaton and Currency</w:t>
      </w:r>
    </w:p>
    <w:p>
      <w:pPr>
        <w:spacing w:after="0" w:line="146" w:lineRule="exact"/>
        <w:rPr>
          <w:sz w:val="20"/>
          <w:szCs w:val="20"/>
          <w:color w:val="auto"/>
        </w:rPr>
      </w:pPr>
    </w:p>
    <w:p>
      <w:pPr>
        <w:jc w:val="both"/>
        <w:ind w:left="280"/>
        <w:spacing w:after="0" w:line="230" w:lineRule="auto"/>
        <w:rPr>
          <w:sz w:val="20"/>
          <w:szCs w:val="20"/>
          <w:color w:val="auto"/>
        </w:rPr>
      </w:pPr>
      <w:r>
        <w:rPr>
          <w:rFonts w:ascii="Calibri" w:cs="Calibri" w:eastAsia="Calibri" w:hAnsi="Calibri"/>
          <w:sz w:val="16"/>
          <w:szCs w:val="16"/>
          <w:color w:val="auto"/>
        </w:rPr>
        <w:t>The functonal currency of a company is the currency of the primary economic environment in which the company operates. The presentaton currency for a company is the currency in which the company chooses to present its fnancial statements.</w:t>
      </w:r>
    </w:p>
    <w:p>
      <w:pPr>
        <w:spacing w:after="0" w:line="147" w:lineRule="exact"/>
        <w:rPr>
          <w:sz w:val="20"/>
          <w:szCs w:val="20"/>
          <w:color w:val="auto"/>
        </w:rPr>
      </w:pPr>
    </w:p>
    <w:p>
      <w:pPr>
        <w:jc w:val="both"/>
        <w:ind w:left="280" w:right="20"/>
        <w:spacing w:after="0" w:line="230" w:lineRule="auto"/>
        <w:rPr>
          <w:sz w:val="20"/>
          <w:szCs w:val="20"/>
          <w:color w:val="auto"/>
        </w:rPr>
      </w:pPr>
      <w:r>
        <w:rPr>
          <w:rFonts w:ascii="Calibri" w:cs="Calibri" w:eastAsia="Calibri" w:hAnsi="Calibri"/>
          <w:sz w:val="16"/>
          <w:szCs w:val="16"/>
          <w:color w:val="auto"/>
        </w:rPr>
        <w:t>These condensed interim consolidated fnancial statements are presented in Canadian dollars, the Company’s presentaton currency. The Company’s and its subsidiaries functonal currencies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8 of 25</w:t>
      </w:r>
    </w:p>
    <w:p>
      <w:pPr>
        <w:sectPr>
          <w:pgSz w:w="11900" w:h="16838" w:orient="portrait"/>
          <w:cols w:equalWidth="0" w:num="1">
            <w:col w:w="11260"/>
          </w:cols>
          <w:pgMar w:left="320" w:top="162" w:right="319" w:bottom="1440" w:gutter="0" w:footer="0" w:header="0"/>
        </w:sectPr>
      </w:pPr>
    </w:p>
    <w:bookmarkStart w:id="11" w:name="page12"/>
    <w:bookmarkEnd w:id="11"/>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2140" w:type="dxa"/>
            <w:vAlign w:val="bottom"/>
          </w:tcPr>
          <w:p>
            <w:pPr>
              <w:ind w:left="20"/>
              <w:spacing w:after="0"/>
              <w:rPr>
                <w:sz w:val="20"/>
                <w:szCs w:val="20"/>
                <w:color w:val="auto"/>
              </w:rPr>
            </w:pPr>
            <w:r>
              <w:rPr>
                <w:rFonts w:ascii="Calibri" w:cs="Calibri" w:eastAsia="Calibri" w:hAnsi="Calibri"/>
                <w:sz w:val="16"/>
                <w:szCs w:val="16"/>
                <w:b w:val="1"/>
                <w:bCs w:val="1"/>
                <w:color w:val="auto"/>
              </w:rPr>
              <w:t>Entty</w:t>
            </w:r>
          </w:p>
        </w:tc>
        <w:tc>
          <w:tcPr>
            <w:tcW w:w="3680" w:type="dxa"/>
            <w:vAlign w:val="bottom"/>
          </w:tcPr>
          <w:p>
            <w:pPr>
              <w:ind w:left="1380"/>
              <w:spacing w:after="0"/>
              <w:rPr>
                <w:sz w:val="20"/>
                <w:szCs w:val="20"/>
                <w:color w:val="auto"/>
              </w:rPr>
            </w:pPr>
            <w:r>
              <w:rPr>
                <w:rFonts w:ascii="Calibri" w:cs="Calibri" w:eastAsia="Calibri" w:hAnsi="Calibri"/>
                <w:sz w:val="16"/>
                <w:szCs w:val="16"/>
                <w:b w:val="1"/>
                <w:bCs w:val="1"/>
                <w:color w:val="auto"/>
              </w:rPr>
              <w:t>Currency</w:t>
            </w:r>
          </w:p>
        </w:tc>
        <w:tc>
          <w:tcPr>
            <w:tcW w:w="4720" w:type="dxa"/>
            <w:vAlign w:val="bottom"/>
          </w:tcPr>
          <w:p>
            <w:pPr>
              <w:ind w:left="1220"/>
              <w:spacing w:after="0"/>
              <w:rPr>
                <w:sz w:val="20"/>
                <w:szCs w:val="20"/>
                <w:color w:val="auto"/>
              </w:rPr>
            </w:pPr>
            <w:r>
              <w:rPr>
                <w:rFonts w:ascii="Calibri" w:cs="Calibri" w:eastAsia="Calibri" w:hAnsi="Calibri"/>
                <w:sz w:val="16"/>
                <w:szCs w:val="16"/>
                <w:b w:val="1"/>
                <w:bCs w:val="1"/>
                <w:color w:val="auto"/>
              </w:rPr>
              <w:t>Ownership</w:t>
            </w:r>
          </w:p>
        </w:tc>
      </w:tr>
      <w:tr>
        <w:trPr>
          <w:trHeight w:val="21"/>
        </w:trPr>
        <w:tc>
          <w:tcPr>
            <w:tcW w:w="214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4720" w:type="dxa"/>
            <w:vAlign w:val="bottom"/>
            <w:tcBorders>
              <w:bottom w:val="single" w:sz="8" w:color="auto"/>
            </w:tcBorders>
          </w:tcPr>
          <w:p>
            <w:pPr>
              <w:spacing w:after="0" w:line="20" w:lineRule="exact"/>
              <w:rPr>
                <w:sz w:val="1"/>
                <w:szCs w:val="1"/>
                <w:color w:val="auto"/>
              </w:rPr>
            </w:pPr>
          </w:p>
        </w:tc>
      </w:tr>
      <w:tr>
        <w:trPr>
          <w:trHeight w:val="185"/>
        </w:trPr>
        <w:tc>
          <w:tcPr>
            <w:tcW w:w="2140" w:type="dxa"/>
            <w:vAlign w:val="bottom"/>
          </w:tcPr>
          <w:p>
            <w:pPr>
              <w:ind w:left="20"/>
              <w:spacing w:after="0" w:line="185" w:lineRule="exact"/>
              <w:rPr>
                <w:sz w:val="20"/>
                <w:szCs w:val="20"/>
                <w:color w:val="auto"/>
              </w:rPr>
            </w:pPr>
            <w:r>
              <w:rPr>
                <w:rFonts w:ascii="Calibri" w:cs="Calibri" w:eastAsia="Calibri" w:hAnsi="Calibri"/>
                <w:sz w:val="16"/>
                <w:szCs w:val="16"/>
                <w:color w:val="auto"/>
              </w:rPr>
              <w:t>Cybin Corp.</w:t>
            </w:r>
          </w:p>
        </w:tc>
        <w:tc>
          <w:tcPr>
            <w:tcW w:w="3680" w:type="dxa"/>
            <w:vAlign w:val="bottom"/>
          </w:tcPr>
          <w:p>
            <w:pPr>
              <w:ind w:left="1380"/>
              <w:spacing w:after="0" w:line="185" w:lineRule="exact"/>
              <w:rPr>
                <w:sz w:val="20"/>
                <w:szCs w:val="20"/>
                <w:color w:val="auto"/>
              </w:rPr>
            </w:pPr>
            <w:r>
              <w:rPr>
                <w:rFonts w:ascii="Calibri" w:cs="Calibri" w:eastAsia="Calibri" w:hAnsi="Calibri"/>
                <w:sz w:val="16"/>
                <w:szCs w:val="16"/>
                <w:color w:val="auto"/>
              </w:rPr>
              <w:t>Canadian dollars</w:t>
            </w:r>
          </w:p>
        </w:tc>
        <w:tc>
          <w:tcPr>
            <w:tcW w:w="4720" w:type="dxa"/>
            <w:vAlign w:val="bottom"/>
          </w:tcPr>
          <w:p>
            <w:pPr>
              <w:ind w:left="1220"/>
              <w:spacing w:after="0" w:line="185" w:lineRule="exact"/>
              <w:rPr>
                <w:sz w:val="20"/>
                <w:szCs w:val="20"/>
                <w:color w:val="auto"/>
              </w:rPr>
            </w:pPr>
            <w:r>
              <w:rPr>
                <w:rFonts w:ascii="Calibri" w:cs="Calibri" w:eastAsia="Calibri" w:hAnsi="Calibri"/>
                <w:sz w:val="16"/>
                <w:szCs w:val="16"/>
                <w:color w:val="auto"/>
              </w:rPr>
              <w:t>100%</w:t>
            </w:r>
          </w:p>
        </w:tc>
      </w:tr>
      <w:tr>
        <w:trPr>
          <w:trHeight w:val="198"/>
        </w:trPr>
        <w:tc>
          <w:tcPr>
            <w:tcW w:w="2140" w:type="dxa"/>
            <w:vAlign w:val="bottom"/>
          </w:tcPr>
          <w:p>
            <w:pPr>
              <w:ind w:left="20"/>
              <w:spacing w:after="0"/>
              <w:rPr>
                <w:sz w:val="20"/>
                <w:szCs w:val="20"/>
                <w:color w:val="auto"/>
              </w:rPr>
            </w:pPr>
            <w:r>
              <w:rPr>
                <w:rFonts w:ascii="Calibri" w:cs="Calibri" w:eastAsia="Calibri" w:hAnsi="Calibri"/>
                <w:sz w:val="16"/>
                <w:szCs w:val="16"/>
                <w:color w:val="auto"/>
              </w:rPr>
              <w:t>Journey</w:t>
            </w:r>
          </w:p>
        </w:tc>
        <w:tc>
          <w:tcPr>
            <w:tcW w:w="3680" w:type="dxa"/>
            <w:vAlign w:val="bottom"/>
          </w:tcPr>
          <w:p>
            <w:pPr>
              <w:ind w:left="1380"/>
              <w:spacing w:after="0"/>
              <w:rPr>
                <w:sz w:val="20"/>
                <w:szCs w:val="20"/>
                <w:color w:val="auto"/>
              </w:rPr>
            </w:pPr>
            <w:r>
              <w:rPr>
                <w:rFonts w:ascii="Calibri" w:cs="Calibri" w:eastAsia="Calibri" w:hAnsi="Calibri"/>
                <w:sz w:val="16"/>
                <w:szCs w:val="16"/>
                <w:color w:val="auto"/>
              </w:rPr>
              <w:t>Canadian dollars</w:t>
            </w:r>
          </w:p>
        </w:tc>
        <w:tc>
          <w:tcPr>
            <w:tcW w:w="4720" w:type="dxa"/>
            <w:vAlign w:val="bottom"/>
          </w:tcPr>
          <w:p>
            <w:pPr>
              <w:ind w:left="1220"/>
              <w:spacing w:after="0"/>
              <w:rPr>
                <w:sz w:val="20"/>
                <w:szCs w:val="20"/>
                <w:color w:val="auto"/>
              </w:rPr>
            </w:pPr>
            <w:r>
              <w:rPr>
                <w:rFonts w:ascii="Calibri" w:cs="Calibri" w:eastAsia="Calibri" w:hAnsi="Calibri"/>
                <w:sz w:val="16"/>
                <w:szCs w:val="16"/>
                <w:color w:val="auto"/>
              </w:rPr>
              <w:t>100%</w:t>
            </w:r>
          </w:p>
        </w:tc>
      </w:tr>
      <w:tr>
        <w:trPr>
          <w:trHeight w:val="206"/>
        </w:trPr>
        <w:tc>
          <w:tcPr>
            <w:tcW w:w="2140" w:type="dxa"/>
            <w:vAlign w:val="bottom"/>
          </w:tcPr>
          <w:p>
            <w:pPr>
              <w:ind w:left="20"/>
              <w:spacing w:after="0"/>
              <w:rPr>
                <w:sz w:val="20"/>
                <w:szCs w:val="20"/>
                <w:color w:val="auto"/>
              </w:rPr>
            </w:pPr>
            <w:r>
              <w:rPr>
                <w:rFonts w:ascii="Calibri" w:cs="Calibri" w:eastAsia="Calibri" w:hAnsi="Calibri"/>
                <w:sz w:val="16"/>
                <w:szCs w:val="16"/>
                <w:color w:val="auto"/>
              </w:rPr>
              <w:t>Serenity</w:t>
            </w:r>
          </w:p>
        </w:tc>
        <w:tc>
          <w:tcPr>
            <w:tcW w:w="3680" w:type="dxa"/>
            <w:vAlign w:val="bottom"/>
          </w:tcPr>
          <w:p>
            <w:pPr>
              <w:ind w:left="1380"/>
              <w:spacing w:after="0"/>
              <w:rPr>
                <w:sz w:val="20"/>
                <w:szCs w:val="20"/>
                <w:color w:val="auto"/>
              </w:rPr>
            </w:pPr>
            <w:r>
              <w:rPr>
                <w:rFonts w:ascii="Calibri" w:cs="Calibri" w:eastAsia="Calibri" w:hAnsi="Calibri"/>
                <w:sz w:val="16"/>
                <w:szCs w:val="16"/>
                <w:color w:val="auto"/>
              </w:rPr>
              <w:t>Canadian dollars</w:t>
            </w:r>
          </w:p>
        </w:tc>
        <w:tc>
          <w:tcPr>
            <w:tcW w:w="4720" w:type="dxa"/>
            <w:vAlign w:val="bottom"/>
          </w:tcPr>
          <w:p>
            <w:pPr>
              <w:ind w:left="1220"/>
              <w:spacing w:after="0"/>
              <w:rPr>
                <w:sz w:val="20"/>
                <w:szCs w:val="20"/>
                <w:color w:val="auto"/>
              </w:rPr>
            </w:pPr>
            <w:r>
              <w:rPr>
                <w:rFonts w:ascii="Calibri" w:cs="Calibri" w:eastAsia="Calibri" w:hAnsi="Calibri"/>
                <w:sz w:val="16"/>
                <w:szCs w:val="16"/>
                <w:color w:val="auto"/>
              </w:rPr>
              <w:t>100%</w:t>
            </w:r>
          </w:p>
        </w:tc>
      </w:tr>
      <w:tr>
        <w:trPr>
          <w:trHeight w:val="219"/>
        </w:trPr>
        <w:tc>
          <w:tcPr>
            <w:tcW w:w="2140" w:type="dxa"/>
            <w:vAlign w:val="bottom"/>
          </w:tcPr>
          <w:p>
            <w:pPr>
              <w:ind w:left="20"/>
              <w:spacing w:after="0"/>
              <w:rPr>
                <w:sz w:val="20"/>
                <w:szCs w:val="20"/>
                <w:color w:val="auto"/>
              </w:rPr>
            </w:pPr>
            <w:r>
              <w:rPr>
                <w:rFonts w:ascii="Calibri" w:cs="Calibri" w:eastAsia="Calibri" w:hAnsi="Calibri"/>
                <w:sz w:val="16"/>
                <w:szCs w:val="16"/>
                <w:color w:val="auto"/>
              </w:rPr>
              <w:t>Cybin US</w:t>
            </w:r>
          </w:p>
        </w:tc>
        <w:tc>
          <w:tcPr>
            <w:tcW w:w="3680" w:type="dxa"/>
            <w:vAlign w:val="bottom"/>
          </w:tcPr>
          <w:p>
            <w:pPr>
              <w:ind w:left="1380"/>
              <w:spacing w:after="0"/>
              <w:rPr>
                <w:sz w:val="20"/>
                <w:szCs w:val="20"/>
                <w:color w:val="auto"/>
              </w:rPr>
            </w:pPr>
            <w:r>
              <w:rPr>
                <w:rFonts w:ascii="Calibri" w:cs="Calibri" w:eastAsia="Calibri" w:hAnsi="Calibri"/>
                <w:sz w:val="16"/>
                <w:szCs w:val="16"/>
                <w:color w:val="auto"/>
              </w:rPr>
              <w:t>Canadian dollars</w:t>
            </w:r>
          </w:p>
        </w:tc>
        <w:tc>
          <w:tcPr>
            <w:tcW w:w="4720" w:type="dxa"/>
            <w:vAlign w:val="bottom"/>
          </w:tcPr>
          <w:p>
            <w:pPr>
              <w:ind w:left="1220"/>
              <w:spacing w:after="0" w:line="219" w:lineRule="exact"/>
              <w:rPr>
                <w:sz w:val="20"/>
                <w:szCs w:val="20"/>
                <w:color w:val="auto"/>
              </w:rPr>
            </w:pPr>
            <w:r>
              <w:rPr>
                <w:rFonts w:ascii="Calibri" w:cs="Calibri" w:eastAsia="Calibri" w:hAnsi="Calibri"/>
                <w:sz w:val="16"/>
                <w:szCs w:val="16"/>
                <w:color w:val="auto"/>
              </w:rPr>
              <w:t>100%</w:t>
            </w:r>
            <w:r>
              <w:rPr>
                <w:rFonts w:ascii="Calibri" w:cs="Calibri" w:eastAsia="Calibri" w:hAnsi="Calibri"/>
                <w:sz w:val="21"/>
                <w:szCs w:val="21"/>
                <w:color w:val="auto"/>
                <w:vertAlign w:val="superscript"/>
              </w:rPr>
              <w:t>1</w:t>
            </w:r>
          </w:p>
        </w:tc>
      </w:tr>
      <w:tr>
        <w:trPr>
          <w:trHeight w:val="193"/>
        </w:trPr>
        <w:tc>
          <w:tcPr>
            <w:tcW w:w="2140" w:type="dxa"/>
            <w:vAlign w:val="bottom"/>
          </w:tcPr>
          <w:p>
            <w:pPr>
              <w:ind w:left="20"/>
              <w:spacing w:after="0" w:line="193" w:lineRule="exact"/>
              <w:rPr>
                <w:sz w:val="20"/>
                <w:szCs w:val="20"/>
                <w:color w:val="auto"/>
              </w:rPr>
            </w:pPr>
            <w:r>
              <w:rPr>
                <w:rFonts w:ascii="Calibri" w:cs="Calibri" w:eastAsia="Calibri" w:hAnsi="Calibri"/>
                <w:sz w:val="16"/>
                <w:szCs w:val="16"/>
                <w:color w:val="auto"/>
              </w:rPr>
              <w:t>Adelia</w:t>
            </w:r>
          </w:p>
        </w:tc>
        <w:tc>
          <w:tcPr>
            <w:tcW w:w="3680" w:type="dxa"/>
            <w:vAlign w:val="bottom"/>
          </w:tcPr>
          <w:p>
            <w:pPr>
              <w:ind w:left="1380"/>
              <w:spacing w:after="0" w:line="193" w:lineRule="exact"/>
              <w:rPr>
                <w:sz w:val="20"/>
                <w:szCs w:val="20"/>
                <w:color w:val="auto"/>
              </w:rPr>
            </w:pPr>
            <w:r>
              <w:rPr>
                <w:rFonts w:ascii="Calibri" w:cs="Calibri" w:eastAsia="Calibri" w:hAnsi="Calibri"/>
                <w:sz w:val="16"/>
                <w:szCs w:val="16"/>
                <w:color w:val="auto"/>
              </w:rPr>
              <w:t>U.S. dollars</w:t>
            </w:r>
          </w:p>
        </w:tc>
        <w:tc>
          <w:tcPr>
            <w:tcW w:w="4720" w:type="dxa"/>
            <w:vAlign w:val="bottom"/>
          </w:tcPr>
          <w:p>
            <w:pPr>
              <w:ind w:left="1220"/>
              <w:spacing w:after="0" w:line="193" w:lineRule="exact"/>
              <w:rPr>
                <w:sz w:val="20"/>
                <w:szCs w:val="20"/>
                <w:color w:val="auto"/>
              </w:rPr>
            </w:pPr>
            <w:r>
              <w:rPr>
                <w:rFonts w:ascii="Calibri" w:cs="Calibri" w:eastAsia="Calibri" w:hAnsi="Calibri"/>
                <w:sz w:val="16"/>
                <w:szCs w:val="16"/>
                <w:color w:val="auto"/>
              </w:rPr>
              <w:t>100%</w:t>
            </w:r>
          </w:p>
        </w:tc>
      </w:tr>
      <w:tr>
        <w:trPr>
          <w:trHeight w:val="200"/>
        </w:trPr>
        <w:tc>
          <w:tcPr>
            <w:tcW w:w="2140" w:type="dxa"/>
            <w:vAlign w:val="bottom"/>
          </w:tcPr>
          <w:p>
            <w:pPr>
              <w:ind w:left="20"/>
              <w:spacing w:after="0"/>
              <w:rPr>
                <w:sz w:val="20"/>
                <w:szCs w:val="20"/>
                <w:color w:val="auto"/>
              </w:rPr>
            </w:pPr>
            <w:r>
              <w:rPr>
                <w:rFonts w:ascii="Calibri" w:cs="Calibri" w:eastAsia="Calibri" w:hAnsi="Calibri"/>
                <w:sz w:val="16"/>
                <w:szCs w:val="16"/>
                <w:color w:val="auto"/>
              </w:rPr>
              <w:t>Cybin IRL</w:t>
            </w:r>
          </w:p>
        </w:tc>
        <w:tc>
          <w:tcPr>
            <w:tcW w:w="3680" w:type="dxa"/>
            <w:vAlign w:val="bottom"/>
          </w:tcPr>
          <w:p>
            <w:pPr>
              <w:ind w:left="1380"/>
              <w:spacing w:after="0"/>
              <w:rPr>
                <w:sz w:val="20"/>
                <w:szCs w:val="20"/>
                <w:color w:val="auto"/>
              </w:rPr>
            </w:pPr>
            <w:r>
              <w:rPr>
                <w:rFonts w:ascii="Calibri" w:cs="Calibri" w:eastAsia="Calibri" w:hAnsi="Calibri"/>
                <w:sz w:val="16"/>
                <w:szCs w:val="16"/>
                <w:color w:val="auto"/>
              </w:rPr>
              <w:t>U.S. dollars</w:t>
            </w:r>
          </w:p>
        </w:tc>
        <w:tc>
          <w:tcPr>
            <w:tcW w:w="4720" w:type="dxa"/>
            <w:vAlign w:val="bottom"/>
          </w:tcPr>
          <w:p>
            <w:pPr>
              <w:ind w:left="1220"/>
              <w:spacing w:after="0"/>
              <w:rPr>
                <w:sz w:val="20"/>
                <w:szCs w:val="20"/>
                <w:color w:val="auto"/>
              </w:rPr>
            </w:pPr>
            <w:r>
              <w:rPr>
                <w:rFonts w:ascii="Calibri" w:cs="Calibri" w:eastAsia="Calibri" w:hAnsi="Calibri"/>
                <w:sz w:val="16"/>
                <w:szCs w:val="16"/>
                <w:color w:val="auto"/>
              </w:rPr>
              <w:t>100%</w:t>
            </w:r>
          </w:p>
        </w:tc>
      </w:tr>
    </w:tbl>
    <w:p>
      <w:pPr>
        <w:ind w:left="10820"/>
        <w:spacing w:after="0" w:line="211" w:lineRule="auto"/>
        <w:rPr>
          <w:sz w:val="20"/>
          <w:szCs w:val="20"/>
          <w:color w:val="auto"/>
        </w:rPr>
      </w:pPr>
      <w:r>
        <w:rPr>
          <w:rFonts w:ascii="Calibri" w:cs="Calibri" w:eastAsia="Calibri" w:hAnsi="Calibri"/>
          <w:sz w:val="16"/>
          <w:szCs w:val="16"/>
          <w:color w:val="auto"/>
          <w:vertAlign w:val="superscript"/>
        </w:rPr>
        <w:t>1</w:t>
      </w:r>
      <w:r>
        <w:rPr>
          <w:rFonts w:ascii="Calibri" w:cs="Calibri" w:eastAsia="Calibri" w:hAnsi="Calibri"/>
          <w:sz w:val="13"/>
          <w:szCs w:val="13"/>
          <w:color w:val="auto"/>
        </w:rPr>
        <w:t xml:space="preserve"> For</w:t>
      </w:r>
    </w:p>
    <w:p>
      <w:pPr>
        <w:ind w:left="280"/>
        <w:spacing w:after="0" w:line="195" w:lineRule="auto"/>
        <w:rPr>
          <w:sz w:val="20"/>
          <w:szCs w:val="20"/>
          <w:color w:val="auto"/>
        </w:rPr>
      </w:pPr>
      <w:r>
        <w:rPr>
          <w:rFonts w:ascii="Calibri" w:cs="Calibri" w:eastAsia="Calibri" w:hAnsi="Calibri"/>
          <w:sz w:val="13"/>
          <w:szCs w:val="13"/>
          <w:color w:val="auto"/>
        </w:rPr>
        <w:t>accountng purposes, Cybin US is a wholly-owned subsidiary of Cybin. Certain Former Adelia Shareholders (as defned below) hold Class B Shares (defned below) in Cybin US.</w:t>
      </w:r>
    </w:p>
    <w:p>
      <w:pPr>
        <w:spacing w:after="0" w:line="7"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Signifcant accountng policies</w:t>
      </w:r>
    </w:p>
    <w:p>
      <w:pPr>
        <w:spacing w:after="0" w:line="146" w:lineRule="exact"/>
        <w:rPr>
          <w:sz w:val="20"/>
          <w:szCs w:val="20"/>
          <w:color w:val="auto"/>
        </w:rPr>
      </w:pPr>
    </w:p>
    <w:p>
      <w:pPr>
        <w:jc w:val="both"/>
        <w:ind w:left="280" w:right="20"/>
        <w:spacing w:after="0" w:line="237" w:lineRule="auto"/>
        <w:rPr>
          <w:sz w:val="20"/>
          <w:szCs w:val="20"/>
          <w:color w:val="auto"/>
        </w:rPr>
      </w:pPr>
      <w:r>
        <w:rPr>
          <w:rFonts w:ascii="Calibri" w:cs="Calibri" w:eastAsia="Calibri" w:hAnsi="Calibri"/>
          <w:sz w:val="16"/>
          <w:szCs w:val="16"/>
          <w:color w:val="auto"/>
        </w:rPr>
        <w:t>These condensed interim consolidated fnancial statements have been prepared using the same accountng policies and methods as those used in the Company’s annual consolidated fnancial statements for the year ended March 31, 2022.</w:t>
      </w:r>
    </w:p>
    <w:p>
      <w:pPr>
        <w:spacing w:after="0" w:line="170"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Use of signifcant estmates and assumptons</w:t>
      </w:r>
    </w:p>
    <w:p>
      <w:pPr>
        <w:spacing w:after="0" w:line="158"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The preparaton of fnancial statements in accordance with IAS 34 requires the use of certain signifcant estmates and assumptons. It also requires management to exercise judgment when applying the Company’s accountng policies. The critcal accountng estmates and judgments have been set out in note 3 of the Company’s annual consolidated fnancial statements for the year ended March 31, 2022.</w:t>
      </w:r>
    </w:p>
    <w:p>
      <w:pPr>
        <w:spacing w:after="0" w:line="205"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u w:val="single" w:color="auto"/>
          <w:color w:val="auto"/>
        </w:rPr>
        <w:t>New standards and interpretatons not yet adopted</w:t>
      </w:r>
    </w:p>
    <w:p>
      <w:pPr>
        <w:spacing w:after="0" w:line="146" w:lineRule="exact"/>
        <w:rPr>
          <w:sz w:val="20"/>
          <w:szCs w:val="20"/>
          <w:color w:val="auto"/>
        </w:rPr>
      </w:pPr>
    </w:p>
    <w:p>
      <w:pPr>
        <w:jc w:val="both"/>
        <w:ind w:left="280"/>
        <w:spacing w:after="0" w:line="228" w:lineRule="auto"/>
        <w:rPr>
          <w:sz w:val="20"/>
          <w:szCs w:val="20"/>
          <w:color w:val="auto"/>
        </w:rPr>
      </w:pPr>
      <w:r>
        <w:rPr>
          <w:rFonts w:ascii="Calibri" w:cs="Calibri" w:eastAsia="Calibri" w:hAnsi="Calibri"/>
          <w:sz w:val="16"/>
          <w:szCs w:val="16"/>
          <w:color w:val="auto"/>
        </w:rPr>
        <w:t>A number of new standards, amendments to standards and interpretatons are not yet efectve at December 31, 2022, and have not been applied in preparing these condensed interim consolidated fnancial statements. Management has determined that none of these will have a signifcant efect on the condensed interim consolidated fnancial statements of the Company.</w:t>
      </w:r>
    </w:p>
    <w:p>
      <w:pPr>
        <w:spacing w:after="0" w:line="157"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3.</w:t>
      </w:r>
      <w:r>
        <w:rPr>
          <w:sz w:val="20"/>
          <w:szCs w:val="20"/>
          <w:color w:val="auto"/>
        </w:rPr>
        <w:tab/>
      </w:r>
      <w:r>
        <w:rPr>
          <w:rFonts w:ascii="Calibri" w:cs="Calibri" w:eastAsia="Calibri" w:hAnsi="Calibri"/>
          <w:sz w:val="15"/>
          <w:szCs w:val="15"/>
          <w:b w:val="1"/>
          <w:bCs w:val="1"/>
          <w:color w:val="2D5F91"/>
        </w:rPr>
        <w:t>INVESTMENTS</w:t>
      </w:r>
    </w:p>
    <w:p>
      <w:pPr>
        <w:spacing w:after="0" w:line="219" w:lineRule="exact"/>
        <w:rPr>
          <w:sz w:val="20"/>
          <w:szCs w:val="20"/>
          <w:color w:val="auto"/>
        </w:rPr>
      </w:pPr>
    </w:p>
    <w:p>
      <w:pPr>
        <w:jc w:val="both"/>
        <w:ind w:left="280"/>
        <w:spacing w:after="0" w:line="230" w:lineRule="auto"/>
        <w:rPr>
          <w:sz w:val="20"/>
          <w:szCs w:val="20"/>
          <w:color w:val="auto"/>
        </w:rPr>
      </w:pPr>
      <w:r>
        <w:rPr>
          <w:rFonts w:ascii="Calibri" w:cs="Calibri" w:eastAsia="Calibri" w:hAnsi="Calibri"/>
          <w:sz w:val="16"/>
          <w:szCs w:val="16"/>
          <w:color w:val="auto"/>
        </w:rPr>
        <w:t>On June 8, 2021, the Company entered into a subscripton agreement with RxLive Limited (“RxLive”) whereby the Company purchased $250 of 10.0% unsecured convertble redeemable debentures (the “Rx Debentures”). RxLive is a UK-based online platorm that connects pharmacists and patents through a secure app that allows for pharmacist consultatons, inital or renewal prescripton fulflment and delivery of prescripton medicaton. The Rx Debentures matured and became due on June 8, 2022. The Rx Debentures were to be exchangeable or convertble into units at a price of equal to 80% of the ofering price of any equity fnancing completed by 1301376 B.C. Ltd. (“Finco”) concurrent with a go-public transacton. Each unit was to consist of one common share of Finco (a “Finco Share”) and one Finco Share purchase warrant, with each warrant being exercisable to acquire one Finco Share at a price equal to 125% of the conversion price (the “Rx Conversion Feature”). As a result of the transacton, the Company recorded a hybrid fnancial instrument representng the Rx Debentures and the Rx Conversion Feature (the “Rx Hybrid Instrument”). The inital fair value of the Rx Hybrid Instrument was $250 determined by the sum of the fair values of the Rx Debenture and Rx Conversion Feature derived respectvely using the discounted cash fow approach and the Black-Scholes model.</w:t>
      </w:r>
    </w:p>
    <w:p>
      <w:pPr>
        <w:spacing w:after="0" w:line="207" w:lineRule="exact"/>
        <w:rPr>
          <w:sz w:val="20"/>
          <w:szCs w:val="20"/>
          <w:color w:val="auto"/>
        </w:rPr>
      </w:pPr>
    </w:p>
    <w:p>
      <w:pPr>
        <w:jc w:val="both"/>
        <w:ind w:left="280"/>
        <w:spacing w:after="0" w:line="230" w:lineRule="auto"/>
        <w:rPr>
          <w:sz w:val="20"/>
          <w:szCs w:val="20"/>
          <w:color w:val="auto"/>
        </w:rPr>
      </w:pPr>
      <w:r>
        <w:rPr>
          <w:rFonts w:ascii="Calibri" w:cs="Calibri" w:eastAsia="Calibri" w:hAnsi="Calibri"/>
          <w:sz w:val="16"/>
          <w:szCs w:val="16"/>
          <w:color w:val="auto"/>
        </w:rPr>
        <w:t>The go-public transacton did not occur, and the Rx Debentures did not convert into units prior to the inital maturity date. As a result, the maturity date of the Rx Debentures was amended to December 31, 2022. Furthermore, the Rx Debentures were amended to be convertble into units at a price of equal to 70% of the ofering price of any equity fnancing. The Rx Debentures were not repaid or converted into units on or before December 31, 2022. The Company is currently in negotatons with RxLive regarding the Rx Debentures.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9 of 25</w:t>
      </w:r>
    </w:p>
    <w:p>
      <w:pPr>
        <w:sectPr>
          <w:pgSz w:w="11900" w:h="16838" w:orient="portrait"/>
          <w:cols w:equalWidth="0" w:num="1">
            <w:col w:w="11260"/>
          </w:cols>
          <w:pgMar w:left="320" w:top="162" w:right="319" w:bottom="1440" w:gutter="0" w:footer="0" w:header="0"/>
        </w:sectPr>
      </w:pPr>
    </w:p>
    <w:bookmarkStart w:id="12" w:name="page13"/>
    <w:bookmarkEnd w:id="1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80"/>
        <w:spacing w:after="0" w:line="230" w:lineRule="auto"/>
        <w:rPr>
          <w:sz w:val="20"/>
          <w:szCs w:val="20"/>
          <w:color w:val="auto"/>
        </w:rPr>
      </w:pPr>
      <w:r>
        <w:rPr>
          <w:rFonts w:ascii="Calibri" w:cs="Calibri" w:eastAsia="Calibri" w:hAnsi="Calibri"/>
          <w:sz w:val="16"/>
          <w:szCs w:val="16"/>
          <w:color w:val="auto"/>
        </w:rPr>
        <w:t>Company expects to reach an agreement with RxLive by March 31, 2023. As at December 31, 2022, the amount of $125 was determined to represent the fair value of the Rx Debentures.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0" w:type="dxa"/>
            <w:vAlign w:val="bottom"/>
          </w:tcPr>
          <w:p>
            <w:pPr>
              <w:jc w:val="right"/>
              <w:spacing w:after="0"/>
              <w:rPr>
                <w:sz w:val="20"/>
                <w:szCs w:val="20"/>
                <w:color w:val="auto"/>
              </w:rPr>
            </w:pPr>
            <w:r>
              <w:rPr>
                <w:rFonts w:ascii="Calibri" w:cs="Calibri" w:eastAsia="Calibri" w:hAnsi="Calibri"/>
                <w:sz w:val="16"/>
                <w:szCs w:val="16"/>
                <w:b w:val="1"/>
                <w:bCs w:val="1"/>
                <w:color w:val="2D5F91"/>
                <w:w w:val="80"/>
              </w:rPr>
              <w:t>4.</w:t>
            </w:r>
          </w:p>
        </w:tc>
        <w:tc>
          <w:tcPr>
            <w:tcW w:w="3800" w:type="dxa"/>
            <w:vAlign w:val="bottom"/>
            <w:gridSpan w:val="2"/>
          </w:tcPr>
          <w:p>
            <w:pPr>
              <w:ind w:left="60"/>
              <w:spacing w:after="0"/>
              <w:rPr>
                <w:sz w:val="20"/>
                <w:szCs w:val="20"/>
                <w:color w:val="auto"/>
              </w:rPr>
            </w:pPr>
            <w:r>
              <w:rPr>
                <w:rFonts w:ascii="Calibri" w:cs="Calibri" w:eastAsia="Calibri" w:hAnsi="Calibri"/>
                <w:sz w:val="16"/>
                <w:szCs w:val="16"/>
                <w:b w:val="1"/>
                <w:bCs w:val="1"/>
                <w:color w:val="2D5F91"/>
              </w:rPr>
              <w:t>EQUIPMENT</w:t>
            </w:r>
          </w:p>
        </w:tc>
        <w:tc>
          <w:tcPr>
            <w:tcW w:w="2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352"/>
        </w:trPr>
        <w:tc>
          <w:tcPr>
            <w:tcW w:w="200" w:type="dxa"/>
            <w:vAlign w:val="bottom"/>
          </w:tcPr>
          <w:p>
            <w:pPr>
              <w:spacing w:after="0"/>
              <w:rPr>
                <w:sz w:val="24"/>
                <w:szCs w:val="24"/>
                <w:color w:val="auto"/>
              </w:rPr>
            </w:pPr>
          </w:p>
        </w:tc>
        <w:tc>
          <w:tcPr>
            <w:tcW w:w="3800" w:type="dxa"/>
            <w:vAlign w:val="bottom"/>
            <w:gridSpan w:val="2"/>
          </w:tcPr>
          <w:p>
            <w:pPr>
              <w:ind w:left="80"/>
              <w:spacing w:after="0"/>
              <w:rPr>
                <w:sz w:val="20"/>
                <w:szCs w:val="20"/>
                <w:color w:val="auto"/>
              </w:rPr>
            </w:pPr>
            <w:r>
              <w:rPr>
                <w:rFonts w:ascii="Calibri" w:cs="Calibri" w:eastAsia="Calibri" w:hAnsi="Calibri"/>
                <w:sz w:val="16"/>
                <w:szCs w:val="16"/>
                <w:color w:val="auto"/>
              </w:rPr>
              <w:t>Equipment consists as follows:</w:t>
            </w:r>
          </w:p>
        </w:tc>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0"/>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b w:val="1"/>
                <w:bCs w:val="1"/>
                <w:color w:val="auto"/>
              </w:rPr>
              <w:t>Cost</w:t>
            </w:r>
          </w:p>
        </w:tc>
        <w:tc>
          <w:tcPr>
            <w:tcW w:w="28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Lab Equipment</w:t>
            </w:r>
          </w:p>
        </w:tc>
        <w:tc>
          <w:tcPr>
            <w:tcW w:w="720" w:type="dxa"/>
            <w:vAlign w:val="bottom"/>
          </w:tcPr>
          <w:p>
            <w:pPr>
              <w:spacing w:after="0"/>
              <w:rPr>
                <w:sz w:val="24"/>
                <w:szCs w:val="24"/>
                <w:color w:val="auto"/>
              </w:rPr>
            </w:pPr>
          </w:p>
        </w:tc>
        <w:tc>
          <w:tcPr>
            <w:tcW w:w="2180" w:type="dxa"/>
            <w:vAlign w:val="bottom"/>
          </w:tcPr>
          <w:p>
            <w:pPr>
              <w:jc w:val="right"/>
              <w:ind w:right="659"/>
              <w:spacing w:after="0"/>
              <w:rPr>
                <w:sz w:val="20"/>
                <w:szCs w:val="20"/>
                <w:color w:val="auto"/>
              </w:rPr>
            </w:pPr>
            <w:r>
              <w:rPr>
                <w:rFonts w:ascii="Calibri" w:cs="Calibri" w:eastAsia="Calibri" w:hAnsi="Calibri"/>
                <w:sz w:val="16"/>
                <w:szCs w:val="16"/>
                <w:b w:val="1"/>
                <w:bCs w:val="1"/>
                <w:color w:val="auto"/>
                <w:w w:val="99"/>
              </w:rPr>
              <w:t>Computer Equipment</w:t>
            </w:r>
          </w:p>
        </w:tc>
        <w:tc>
          <w:tcPr>
            <w:tcW w:w="1120" w:type="dxa"/>
            <w:vAlign w:val="bottom"/>
            <w:gridSpan w:val="2"/>
          </w:tcPr>
          <w:p>
            <w:pPr>
              <w:jc w:val="right"/>
              <w:ind w:right="60"/>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8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w:t>
            </w:r>
          </w:p>
        </w:tc>
        <w:tc>
          <w:tcPr>
            <w:tcW w:w="720" w:type="dxa"/>
            <w:vAlign w:val="bottom"/>
          </w:tcPr>
          <w:p>
            <w:pPr>
              <w:spacing w:after="0"/>
              <w:rPr>
                <w:sz w:val="17"/>
                <w:szCs w:val="17"/>
                <w:color w:val="auto"/>
              </w:rPr>
            </w:pPr>
          </w:p>
        </w:tc>
        <w:tc>
          <w:tcPr>
            <w:tcW w:w="2180" w:type="dxa"/>
            <w:vAlign w:val="bottom"/>
          </w:tcPr>
          <w:p>
            <w:pPr>
              <w:jc w:val="right"/>
              <w:ind w:right="659"/>
              <w:spacing w:after="0"/>
              <w:rPr>
                <w:sz w:val="20"/>
                <w:szCs w:val="20"/>
                <w:color w:val="auto"/>
              </w:rPr>
            </w:pPr>
            <w:r>
              <w:rPr>
                <w:rFonts w:ascii="Calibri" w:cs="Calibri" w:eastAsia="Calibri" w:hAnsi="Calibri"/>
                <w:sz w:val="16"/>
                <w:szCs w:val="16"/>
                <w:b w:val="1"/>
                <w:bCs w:val="1"/>
                <w:color w:val="auto"/>
              </w:rPr>
              <w:t>$</w:t>
            </w:r>
          </w:p>
        </w:tc>
        <w:tc>
          <w:tcPr>
            <w:tcW w:w="1120" w:type="dxa"/>
            <w:vAlign w:val="bottom"/>
            <w:gridSpan w:val="2"/>
          </w:tcPr>
          <w:p>
            <w:pPr>
              <w:jc w:val="right"/>
              <w:ind w:right="60"/>
              <w:spacing w:after="0"/>
              <w:rPr>
                <w:sz w:val="20"/>
                <w:szCs w:val="20"/>
                <w:color w:val="auto"/>
              </w:rPr>
            </w:pPr>
            <w:r>
              <w:rPr>
                <w:rFonts w:ascii="Calibri" w:cs="Calibri" w:eastAsia="Calibri" w:hAnsi="Calibri"/>
                <w:sz w:val="16"/>
                <w:szCs w:val="16"/>
                <w:b w:val="1"/>
                <w:bCs w:val="1"/>
                <w:color w:val="auto"/>
              </w:rPr>
              <w:t>$</w:t>
            </w: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5"/>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2022</w:t>
            </w:r>
          </w:p>
        </w:tc>
        <w:tc>
          <w:tcPr>
            <w:tcW w:w="2880" w:type="dxa"/>
            <w:vAlign w:val="bottom"/>
          </w:tcPr>
          <w:p>
            <w:pPr>
              <w:jc w:val="right"/>
              <w:ind w:right="119"/>
              <w:spacing w:after="0" w:line="185" w:lineRule="exact"/>
              <w:rPr>
                <w:sz w:val="20"/>
                <w:szCs w:val="20"/>
                <w:color w:val="auto"/>
              </w:rPr>
            </w:pPr>
            <w:r>
              <w:rPr>
                <w:rFonts w:ascii="Calibri" w:cs="Calibri" w:eastAsia="Calibri" w:hAnsi="Calibri"/>
                <w:sz w:val="16"/>
                <w:szCs w:val="16"/>
                <w:b w:val="1"/>
                <w:bCs w:val="1"/>
                <w:color w:val="auto"/>
              </w:rPr>
              <w:t>475</w:t>
            </w:r>
          </w:p>
        </w:tc>
        <w:tc>
          <w:tcPr>
            <w:tcW w:w="720" w:type="dxa"/>
            <w:vAlign w:val="bottom"/>
          </w:tcPr>
          <w:p>
            <w:pPr>
              <w:spacing w:after="0"/>
              <w:rPr>
                <w:sz w:val="16"/>
                <w:szCs w:val="16"/>
                <w:color w:val="auto"/>
              </w:rPr>
            </w:pPr>
          </w:p>
        </w:tc>
        <w:tc>
          <w:tcPr>
            <w:tcW w:w="2180" w:type="dxa"/>
            <w:vAlign w:val="bottom"/>
          </w:tcPr>
          <w:p>
            <w:pPr>
              <w:jc w:val="right"/>
              <w:ind w:right="659"/>
              <w:spacing w:after="0" w:line="185" w:lineRule="exact"/>
              <w:rPr>
                <w:sz w:val="20"/>
                <w:szCs w:val="20"/>
                <w:color w:val="auto"/>
              </w:rPr>
            </w:pPr>
            <w:r>
              <w:rPr>
                <w:rFonts w:ascii="Calibri" w:cs="Calibri" w:eastAsia="Calibri" w:hAnsi="Calibri"/>
                <w:sz w:val="16"/>
                <w:szCs w:val="16"/>
                <w:b w:val="1"/>
                <w:bCs w:val="1"/>
                <w:color w:val="auto"/>
              </w:rPr>
              <w:t>238</w:t>
            </w:r>
          </w:p>
        </w:tc>
        <w:tc>
          <w:tcPr>
            <w:tcW w:w="1120" w:type="dxa"/>
            <w:vAlign w:val="bottom"/>
            <w:gridSpan w:val="2"/>
          </w:tcPr>
          <w:p>
            <w:pPr>
              <w:jc w:val="right"/>
              <w:ind w:right="60"/>
              <w:spacing w:after="0" w:line="185" w:lineRule="exact"/>
              <w:rPr>
                <w:sz w:val="20"/>
                <w:szCs w:val="20"/>
                <w:color w:val="auto"/>
              </w:rPr>
            </w:pPr>
            <w:r>
              <w:rPr>
                <w:rFonts w:ascii="Calibri" w:cs="Calibri" w:eastAsia="Calibri" w:hAnsi="Calibri"/>
                <w:sz w:val="16"/>
                <w:szCs w:val="16"/>
                <w:b w:val="1"/>
                <w:bCs w:val="1"/>
                <w:color w:val="auto"/>
              </w:rPr>
              <w:t>713</w:t>
            </w:r>
          </w:p>
        </w:tc>
      </w:tr>
      <w:tr>
        <w:trPr>
          <w:trHeight w:val="198"/>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color w:val="auto"/>
              </w:rPr>
              <w:t>Additons</w:t>
            </w:r>
          </w:p>
        </w:tc>
        <w:tc>
          <w:tcPr>
            <w:tcW w:w="2880" w:type="dxa"/>
            <w:vAlign w:val="bottom"/>
          </w:tcPr>
          <w:p>
            <w:pPr>
              <w:jc w:val="right"/>
              <w:ind w:right="119"/>
              <w:spacing w:after="0"/>
              <w:rPr>
                <w:sz w:val="20"/>
                <w:szCs w:val="20"/>
                <w:color w:val="auto"/>
              </w:rPr>
            </w:pPr>
            <w:r>
              <w:rPr>
                <w:rFonts w:ascii="Calibri" w:cs="Calibri" w:eastAsia="Calibri" w:hAnsi="Calibri"/>
                <w:sz w:val="16"/>
                <w:szCs w:val="16"/>
                <w:color w:val="auto"/>
              </w:rPr>
              <w:t>142</w:t>
            </w:r>
          </w:p>
        </w:tc>
        <w:tc>
          <w:tcPr>
            <w:tcW w:w="720" w:type="dxa"/>
            <w:vAlign w:val="bottom"/>
          </w:tcPr>
          <w:p>
            <w:pPr>
              <w:spacing w:after="0"/>
              <w:rPr>
                <w:sz w:val="17"/>
                <w:szCs w:val="17"/>
                <w:color w:val="auto"/>
              </w:rPr>
            </w:pPr>
          </w:p>
        </w:tc>
        <w:tc>
          <w:tcPr>
            <w:tcW w:w="2180" w:type="dxa"/>
            <w:vAlign w:val="bottom"/>
          </w:tcPr>
          <w:p>
            <w:pPr>
              <w:jc w:val="right"/>
              <w:ind w:right="659"/>
              <w:spacing w:after="0"/>
              <w:rPr>
                <w:sz w:val="20"/>
                <w:szCs w:val="20"/>
                <w:color w:val="auto"/>
              </w:rPr>
            </w:pPr>
            <w:r>
              <w:rPr>
                <w:rFonts w:ascii="Calibri" w:cs="Calibri" w:eastAsia="Calibri" w:hAnsi="Calibri"/>
                <w:sz w:val="16"/>
                <w:szCs w:val="16"/>
                <w:color w:val="auto"/>
              </w:rPr>
              <w:t>—</w:t>
            </w:r>
          </w:p>
        </w:tc>
        <w:tc>
          <w:tcPr>
            <w:tcW w:w="11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142</w:t>
            </w:r>
          </w:p>
        </w:tc>
      </w:tr>
      <w:tr>
        <w:trPr>
          <w:trHeight w:val="20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880" w:type="dxa"/>
            <w:vAlign w:val="bottom"/>
          </w:tcPr>
          <w:p>
            <w:pPr>
              <w:jc w:val="right"/>
              <w:ind w:right="119"/>
              <w:spacing w:after="0"/>
              <w:rPr>
                <w:sz w:val="20"/>
                <w:szCs w:val="20"/>
                <w:color w:val="auto"/>
              </w:rPr>
            </w:pPr>
            <w:r>
              <w:rPr>
                <w:rFonts w:ascii="Calibri" w:cs="Calibri" w:eastAsia="Calibri" w:hAnsi="Calibri"/>
                <w:sz w:val="16"/>
                <w:szCs w:val="16"/>
                <w:color w:val="auto"/>
              </w:rPr>
              <w:t>47</w:t>
            </w:r>
          </w:p>
        </w:tc>
        <w:tc>
          <w:tcPr>
            <w:tcW w:w="720" w:type="dxa"/>
            <w:vAlign w:val="bottom"/>
          </w:tcPr>
          <w:p>
            <w:pPr>
              <w:spacing w:after="0"/>
              <w:rPr>
                <w:sz w:val="17"/>
                <w:szCs w:val="17"/>
                <w:color w:val="auto"/>
              </w:rPr>
            </w:pPr>
          </w:p>
        </w:tc>
        <w:tc>
          <w:tcPr>
            <w:tcW w:w="2180" w:type="dxa"/>
            <w:vAlign w:val="bottom"/>
          </w:tcPr>
          <w:p>
            <w:pPr>
              <w:jc w:val="right"/>
              <w:ind w:right="659"/>
              <w:spacing w:after="0"/>
              <w:rPr>
                <w:sz w:val="20"/>
                <w:szCs w:val="20"/>
                <w:color w:val="auto"/>
              </w:rPr>
            </w:pPr>
            <w:r>
              <w:rPr>
                <w:rFonts w:ascii="Calibri" w:cs="Calibri" w:eastAsia="Calibri" w:hAnsi="Calibri"/>
                <w:sz w:val="16"/>
                <w:szCs w:val="16"/>
                <w:color w:val="auto"/>
              </w:rPr>
              <w:t>1</w:t>
            </w:r>
          </w:p>
        </w:tc>
        <w:tc>
          <w:tcPr>
            <w:tcW w:w="11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48</w:t>
            </w: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2022</w:t>
            </w:r>
          </w:p>
        </w:tc>
        <w:tc>
          <w:tcPr>
            <w:tcW w:w="2880" w:type="dxa"/>
            <w:vAlign w:val="bottom"/>
            <w:tcBorders>
              <w:bottom w:val="single" w:sz="8" w:color="auto"/>
            </w:tcBorders>
          </w:tcPr>
          <w:p>
            <w:pPr>
              <w:jc w:val="right"/>
              <w:ind w:right="119"/>
              <w:spacing w:after="0" w:line="192" w:lineRule="exact"/>
              <w:rPr>
                <w:sz w:val="20"/>
                <w:szCs w:val="20"/>
                <w:color w:val="auto"/>
              </w:rPr>
            </w:pPr>
            <w:r>
              <w:rPr>
                <w:rFonts w:ascii="Calibri" w:cs="Calibri" w:eastAsia="Calibri" w:hAnsi="Calibri"/>
                <w:sz w:val="16"/>
                <w:szCs w:val="16"/>
                <w:b w:val="1"/>
                <w:bCs w:val="1"/>
                <w:color w:val="auto"/>
              </w:rPr>
              <w:t>664</w:t>
            </w: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659"/>
              <w:spacing w:after="0" w:line="192" w:lineRule="exact"/>
              <w:rPr>
                <w:sz w:val="20"/>
                <w:szCs w:val="20"/>
                <w:color w:val="auto"/>
              </w:rPr>
            </w:pPr>
            <w:r>
              <w:rPr>
                <w:rFonts w:ascii="Calibri" w:cs="Calibri" w:eastAsia="Calibri" w:hAnsi="Calibri"/>
                <w:sz w:val="16"/>
                <w:szCs w:val="16"/>
                <w:b w:val="1"/>
                <w:bCs w:val="1"/>
                <w:color w:val="auto"/>
              </w:rPr>
              <w:t>239</w:t>
            </w:r>
          </w:p>
        </w:tc>
        <w:tc>
          <w:tcPr>
            <w:tcW w:w="1120" w:type="dxa"/>
            <w:vAlign w:val="bottom"/>
            <w:tcBorders>
              <w:bottom w:val="single" w:sz="8" w:color="auto"/>
            </w:tcBorders>
            <w:gridSpan w:val="2"/>
          </w:tcPr>
          <w:p>
            <w:pPr>
              <w:jc w:val="right"/>
              <w:ind w:right="60"/>
              <w:spacing w:after="0" w:line="192" w:lineRule="exact"/>
              <w:rPr>
                <w:sz w:val="20"/>
                <w:szCs w:val="20"/>
                <w:color w:val="auto"/>
              </w:rPr>
            </w:pPr>
            <w:r>
              <w:rPr>
                <w:rFonts w:ascii="Calibri" w:cs="Calibri" w:eastAsia="Calibri" w:hAnsi="Calibri"/>
                <w:sz w:val="16"/>
                <w:szCs w:val="16"/>
                <w:b w:val="1"/>
                <w:bCs w:val="1"/>
                <w:color w:val="auto"/>
              </w:rPr>
              <w:t>903</w:t>
            </w:r>
          </w:p>
        </w:tc>
      </w:tr>
      <w:tr>
        <w:trPr>
          <w:trHeight w:val="40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Depreciaton</w:t>
            </w:r>
          </w:p>
        </w:tc>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85"/>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2022</w:t>
            </w:r>
          </w:p>
        </w:tc>
        <w:tc>
          <w:tcPr>
            <w:tcW w:w="2880" w:type="dxa"/>
            <w:vAlign w:val="bottom"/>
          </w:tcPr>
          <w:p>
            <w:pPr>
              <w:jc w:val="right"/>
              <w:ind w:right="119"/>
              <w:spacing w:after="0" w:line="185" w:lineRule="exact"/>
              <w:rPr>
                <w:sz w:val="20"/>
                <w:szCs w:val="20"/>
                <w:color w:val="auto"/>
              </w:rPr>
            </w:pPr>
            <w:r>
              <w:rPr>
                <w:rFonts w:ascii="Calibri" w:cs="Calibri" w:eastAsia="Calibri" w:hAnsi="Calibri"/>
                <w:sz w:val="16"/>
                <w:szCs w:val="16"/>
                <w:b w:val="1"/>
                <w:bCs w:val="1"/>
                <w:color w:val="auto"/>
              </w:rPr>
              <w:t>139</w:t>
            </w:r>
          </w:p>
        </w:tc>
        <w:tc>
          <w:tcPr>
            <w:tcW w:w="720" w:type="dxa"/>
            <w:vAlign w:val="bottom"/>
          </w:tcPr>
          <w:p>
            <w:pPr>
              <w:spacing w:after="0"/>
              <w:rPr>
                <w:sz w:val="16"/>
                <w:szCs w:val="16"/>
                <w:color w:val="auto"/>
              </w:rPr>
            </w:pPr>
          </w:p>
        </w:tc>
        <w:tc>
          <w:tcPr>
            <w:tcW w:w="2180" w:type="dxa"/>
            <w:vAlign w:val="bottom"/>
          </w:tcPr>
          <w:p>
            <w:pPr>
              <w:jc w:val="right"/>
              <w:ind w:right="659"/>
              <w:spacing w:after="0" w:line="185" w:lineRule="exact"/>
              <w:rPr>
                <w:sz w:val="20"/>
                <w:szCs w:val="20"/>
                <w:color w:val="auto"/>
              </w:rPr>
            </w:pPr>
            <w:r>
              <w:rPr>
                <w:rFonts w:ascii="Calibri" w:cs="Calibri" w:eastAsia="Calibri" w:hAnsi="Calibri"/>
                <w:sz w:val="16"/>
                <w:szCs w:val="16"/>
                <w:b w:val="1"/>
                <w:bCs w:val="1"/>
                <w:color w:val="auto"/>
              </w:rPr>
              <w:t>83</w:t>
            </w:r>
          </w:p>
        </w:tc>
        <w:tc>
          <w:tcPr>
            <w:tcW w:w="1120" w:type="dxa"/>
            <w:vAlign w:val="bottom"/>
            <w:gridSpan w:val="2"/>
          </w:tcPr>
          <w:p>
            <w:pPr>
              <w:jc w:val="right"/>
              <w:ind w:right="60"/>
              <w:spacing w:after="0" w:line="185" w:lineRule="exact"/>
              <w:rPr>
                <w:sz w:val="20"/>
                <w:szCs w:val="20"/>
                <w:color w:val="auto"/>
              </w:rPr>
            </w:pPr>
            <w:r>
              <w:rPr>
                <w:rFonts w:ascii="Calibri" w:cs="Calibri" w:eastAsia="Calibri" w:hAnsi="Calibri"/>
                <w:sz w:val="16"/>
                <w:szCs w:val="16"/>
                <w:b w:val="1"/>
                <w:bCs w:val="1"/>
                <w:color w:val="auto"/>
              </w:rPr>
              <w:t>222</w:t>
            </w:r>
          </w:p>
        </w:tc>
      </w:tr>
      <w:tr>
        <w:trPr>
          <w:trHeight w:val="198"/>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color w:val="auto"/>
              </w:rPr>
              <w:t>Depreciaton charge</w:t>
            </w:r>
          </w:p>
        </w:tc>
        <w:tc>
          <w:tcPr>
            <w:tcW w:w="2880" w:type="dxa"/>
            <w:vAlign w:val="bottom"/>
          </w:tcPr>
          <w:p>
            <w:pPr>
              <w:jc w:val="right"/>
              <w:ind w:right="119"/>
              <w:spacing w:after="0"/>
              <w:rPr>
                <w:sz w:val="20"/>
                <w:szCs w:val="20"/>
                <w:color w:val="auto"/>
              </w:rPr>
            </w:pPr>
            <w:r>
              <w:rPr>
                <w:rFonts w:ascii="Calibri" w:cs="Calibri" w:eastAsia="Calibri" w:hAnsi="Calibri"/>
                <w:sz w:val="16"/>
                <w:szCs w:val="16"/>
                <w:color w:val="auto"/>
              </w:rPr>
              <w:t>101</w:t>
            </w:r>
          </w:p>
        </w:tc>
        <w:tc>
          <w:tcPr>
            <w:tcW w:w="720" w:type="dxa"/>
            <w:vAlign w:val="bottom"/>
          </w:tcPr>
          <w:p>
            <w:pPr>
              <w:spacing w:after="0"/>
              <w:rPr>
                <w:sz w:val="17"/>
                <w:szCs w:val="17"/>
                <w:color w:val="auto"/>
              </w:rPr>
            </w:pPr>
          </w:p>
        </w:tc>
        <w:tc>
          <w:tcPr>
            <w:tcW w:w="2180" w:type="dxa"/>
            <w:vAlign w:val="bottom"/>
          </w:tcPr>
          <w:p>
            <w:pPr>
              <w:jc w:val="right"/>
              <w:ind w:right="659"/>
              <w:spacing w:after="0"/>
              <w:rPr>
                <w:sz w:val="20"/>
                <w:szCs w:val="20"/>
                <w:color w:val="auto"/>
              </w:rPr>
            </w:pPr>
            <w:r>
              <w:rPr>
                <w:rFonts w:ascii="Calibri" w:cs="Calibri" w:eastAsia="Calibri" w:hAnsi="Calibri"/>
                <w:sz w:val="16"/>
                <w:szCs w:val="16"/>
                <w:color w:val="auto"/>
              </w:rPr>
              <w:t>60</w:t>
            </w:r>
          </w:p>
        </w:tc>
        <w:tc>
          <w:tcPr>
            <w:tcW w:w="11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161</w:t>
            </w:r>
          </w:p>
        </w:tc>
      </w:tr>
      <w:tr>
        <w:trPr>
          <w:trHeight w:val="20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880" w:type="dxa"/>
            <w:vAlign w:val="bottom"/>
          </w:tcPr>
          <w:p>
            <w:pPr>
              <w:jc w:val="right"/>
              <w:ind w:right="119"/>
              <w:spacing w:after="0"/>
              <w:rPr>
                <w:sz w:val="20"/>
                <w:szCs w:val="20"/>
                <w:color w:val="auto"/>
              </w:rPr>
            </w:pPr>
            <w:r>
              <w:rPr>
                <w:rFonts w:ascii="Calibri" w:cs="Calibri" w:eastAsia="Calibri" w:hAnsi="Calibri"/>
                <w:sz w:val="16"/>
                <w:szCs w:val="16"/>
                <w:color w:val="auto"/>
              </w:rPr>
              <w:t>15</w:t>
            </w:r>
          </w:p>
        </w:tc>
        <w:tc>
          <w:tcPr>
            <w:tcW w:w="720" w:type="dxa"/>
            <w:vAlign w:val="bottom"/>
          </w:tcPr>
          <w:p>
            <w:pPr>
              <w:spacing w:after="0"/>
              <w:rPr>
                <w:sz w:val="17"/>
                <w:szCs w:val="17"/>
                <w:color w:val="auto"/>
              </w:rPr>
            </w:pPr>
          </w:p>
        </w:tc>
        <w:tc>
          <w:tcPr>
            <w:tcW w:w="2180" w:type="dxa"/>
            <w:vAlign w:val="bottom"/>
          </w:tcPr>
          <w:p>
            <w:pPr>
              <w:jc w:val="right"/>
              <w:ind w:right="659"/>
              <w:spacing w:after="0"/>
              <w:rPr>
                <w:sz w:val="20"/>
                <w:szCs w:val="20"/>
                <w:color w:val="auto"/>
              </w:rPr>
            </w:pPr>
            <w:r>
              <w:rPr>
                <w:rFonts w:ascii="Calibri" w:cs="Calibri" w:eastAsia="Calibri" w:hAnsi="Calibri"/>
                <w:sz w:val="16"/>
                <w:szCs w:val="16"/>
                <w:color w:val="auto"/>
              </w:rPr>
              <w:t>—</w:t>
            </w:r>
          </w:p>
        </w:tc>
        <w:tc>
          <w:tcPr>
            <w:tcW w:w="112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15</w:t>
            </w: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2022</w:t>
            </w:r>
          </w:p>
        </w:tc>
        <w:tc>
          <w:tcPr>
            <w:tcW w:w="2880" w:type="dxa"/>
            <w:vAlign w:val="bottom"/>
            <w:tcBorders>
              <w:bottom w:val="single" w:sz="8" w:color="auto"/>
            </w:tcBorders>
          </w:tcPr>
          <w:p>
            <w:pPr>
              <w:jc w:val="right"/>
              <w:ind w:right="119"/>
              <w:spacing w:after="0" w:line="192" w:lineRule="exact"/>
              <w:rPr>
                <w:sz w:val="20"/>
                <w:szCs w:val="20"/>
                <w:color w:val="auto"/>
              </w:rPr>
            </w:pPr>
            <w:r>
              <w:rPr>
                <w:rFonts w:ascii="Calibri" w:cs="Calibri" w:eastAsia="Calibri" w:hAnsi="Calibri"/>
                <w:sz w:val="16"/>
                <w:szCs w:val="16"/>
                <w:b w:val="1"/>
                <w:bCs w:val="1"/>
                <w:color w:val="auto"/>
              </w:rPr>
              <w:t>255</w:t>
            </w: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659"/>
              <w:spacing w:after="0" w:line="192" w:lineRule="exact"/>
              <w:rPr>
                <w:sz w:val="20"/>
                <w:szCs w:val="20"/>
                <w:color w:val="auto"/>
              </w:rPr>
            </w:pPr>
            <w:r>
              <w:rPr>
                <w:rFonts w:ascii="Calibri" w:cs="Calibri" w:eastAsia="Calibri" w:hAnsi="Calibri"/>
                <w:sz w:val="16"/>
                <w:szCs w:val="16"/>
                <w:b w:val="1"/>
                <w:bCs w:val="1"/>
                <w:color w:val="auto"/>
              </w:rPr>
              <w:t>143</w:t>
            </w:r>
          </w:p>
        </w:tc>
        <w:tc>
          <w:tcPr>
            <w:tcW w:w="1120" w:type="dxa"/>
            <w:vAlign w:val="bottom"/>
            <w:tcBorders>
              <w:bottom w:val="single" w:sz="8" w:color="auto"/>
            </w:tcBorders>
            <w:gridSpan w:val="2"/>
          </w:tcPr>
          <w:p>
            <w:pPr>
              <w:jc w:val="right"/>
              <w:ind w:right="60"/>
              <w:spacing w:after="0" w:line="192" w:lineRule="exact"/>
              <w:rPr>
                <w:sz w:val="20"/>
                <w:szCs w:val="20"/>
                <w:color w:val="auto"/>
              </w:rPr>
            </w:pPr>
            <w:r>
              <w:rPr>
                <w:rFonts w:ascii="Calibri" w:cs="Calibri" w:eastAsia="Calibri" w:hAnsi="Calibri"/>
                <w:sz w:val="16"/>
                <w:szCs w:val="16"/>
                <w:b w:val="1"/>
                <w:bCs w:val="1"/>
                <w:color w:val="auto"/>
              </w:rPr>
              <w:t>398</w:t>
            </w:r>
          </w:p>
        </w:tc>
      </w:tr>
      <w:tr>
        <w:trPr>
          <w:trHeight w:val="217"/>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r>
      <w:tr>
        <w:trPr>
          <w:trHeight w:val="192"/>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2022</w:t>
            </w:r>
          </w:p>
        </w:tc>
        <w:tc>
          <w:tcPr>
            <w:tcW w:w="2880" w:type="dxa"/>
            <w:vAlign w:val="bottom"/>
            <w:tcBorders>
              <w:bottom w:val="single" w:sz="8" w:color="auto"/>
            </w:tcBorders>
          </w:tcPr>
          <w:p>
            <w:pPr>
              <w:jc w:val="right"/>
              <w:ind w:right="119"/>
              <w:spacing w:after="0" w:line="192" w:lineRule="exact"/>
              <w:rPr>
                <w:sz w:val="20"/>
                <w:szCs w:val="20"/>
                <w:color w:val="auto"/>
              </w:rPr>
            </w:pPr>
            <w:r>
              <w:rPr>
                <w:rFonts w:ascii="Calibri" w:cs="Calibri" w:eastAsia="Calibri" w:hAnsi="Calibri"/>
                <w:sz w:val="16"/>
                <w:szCs w:val="16"/>
                <w:b w:val="1"/>
                <w:bCs w:val="1"/>
                <w:color w:val="auto"/>
              </w:rPr>
              <w:t>336</w:t>
            </w: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right"/>
              <w:ind w:right="659"/>
              <w:spacing w:after="0" w:line="192" w:lineRule="exact"/>
              <w:rPr>
                <w:sz w:val="20"/>
                <w:szCs w:val="20"/>
                <w:color w:val="auto"/>
              </w:rPr>
            </w:pPr>
            <w:r>
              <w:rPr>
                <w:rFonts w:ascii="Calibri" w:cs="Calibri" w:eastAsia="Calibri" w:hAnsi="Calibri"/>
                <w:sz w:val="16"/>
                <w:szCs w:val="16"/>
                <w:b w:val="1"/>
                <w:bCs w:val="1"/>
                <w:color w:val="auto"/>
              </w:rPr>
              <w:t>155</w:t>
            </w:r>
          </w:p>
        </w:tc>
        <w:tc>
          <w:tcPr>
            <w:tcW w:w="1120" w:type="dxa"/>
            <w:vAlign w:val="bottom"/>
            <w:tcBorders>
              <w:bottom w:val="single" w:sz="8" w:color="auto"/>
            </w:tcBorders>
            <w:gridSpan w:val="2"/>
          </w:tcPr>
          <w:p>
            <w:pPr>
              <w:jc w:val="right"/>
              <w:ind w:right="60"/>
              <w:spacing w:after="0" w:line="192" w:lineRule="exact"/>
              <w:rPr>
                <w:sz w:val="20"/>
                <w:szCs w:val="20"/>
                <w:color w:val="auto"/>
              </w:rPr>
            </w:pPr>
            <w:r>
              <w:rPr>
                <w:rFonts w:ascii="Calibri" w:cs="Calibri" w:eastAsia="Calibri" w:hAnsi="Calibri"/>
                <w:sz w:val="16"/>
                <w:szCs w:val="16"/>
                <w:b w:val="1"/>
                <w:bCs w:val="1"/>
                <w:color w:val="auto"/>
              </w:rPr>
              <w:t>491</w:t>
            </w:r>
          </w:p>
        </w:tc>
      </w:tr>
      <w:tr>
        <w:trPr>
          <w:trHeight w:val="198"/>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December 31, 2022</w:t>
            </w:r>
          </w:p>
        </w:tc>
        <w:tc>
          <w:tcPr>
            <w:tcW w:w="2880" w:type="dxa"/>
            <w:vAlign w:val="bottom"/>
            <w:tcBorders>
              <w:bottom w:val="single" w:sz="8" w:color="auto"/>
            </w:tcBorders>
          </w:tcPr>
          <w:p>
            <w:pPr>
              <w:jc w:val="right"/>
              <w:ind w:right="119"/>
              <w:spacing w:after="0" w:line="193" w:lineRule="exact"/>
              <w:rPr>
                <w:sz w:val="20"/>
                <w:szCs w:val="20"/>
                <w:color w:val="auto"/>
              </w:rPr>
            </w:pPr>
            <w:r>
              <w:rPr>
                <w:rFonts w:ascii="Calibri" w:cs="Calibri" w:eastAsia="Calibri" w:hAnsi="Calibri"/>
                <w:sz w:val="16"/>
                <w:szCs w:val="16"/>
                <w:b w:val="1"/>
                <w:bCs w:val="1"/>
                <w:color w:val="auto"/>
              </w:rPr>
              <w:t>409</w:t>
            </w:r>
          </w:p>
        </w:tc>
        <w:tc>
          <w:tcPr>
            <w:tcW w:w="7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ind w:right="659"/>
              <w:spacing w:after="0" w:line="193" w:lineRule="exact"/>
              <w:rPr>
                <w:sz w:val="20"/>
                <w:szCs w:val="20"/>
                <w:color w:val="auto"/>
              </w:rPr>
            </w:pPr>
            <w:r>
              <w:rPr>
                <w:rFonts w:ascii="Calibri" w:cs="Calibri" w:eastAsia="Calibri" w:hAnsi="Calibri"/>
                <w:sz w:val="16"/>
                <w:szCs w:val="16"/>
                <w:b w:val="1"/>
                <w:bCs w:val="1"/>
                <w:color w:val="auto"/>
              </w:rPr>
              <w:t>96</w:t>
            </w:r>
          </w:p>
        </w:tc>
        <w:tc>
          <w:tcPr>
            <w:tcW w:w="1120" w:type="dxa"/>
            <w:vAlign w:val="bottom"/>
            <w:tcBorders>
              <w:bottom w:val="single" w:sz="8" w:color="auto"/>
            </w:tcBorders>
            <w:gridSpan w:val="2"/>
          </w:tcPr>
          <w:p>
            <w:pPr>
              <w:jc w:val="right"/>
              <w:ind w:right="60"/>
              <w:spacing w:after="0" w:line="193" w:lineRule="exact"/>
              <w:rPr>
                <w:sz w:val="20"/>
                <w:szCs w:val="20"/>
                <w:color w:val="auto"/>
              </w:rPr>
            </w:pPr>
            <w:r>
              <w:rPr>
                <w:rFonts w:ascii="Calibri" w:cs="Calibri" w:eastAsia="Calibri" w:hAnsi="Calibri"/>
                <w:sz w:val="16"/>
                <w:szCs w:val="16"/>
                <w:b w:val="1"/>
                <w:bCs w:val="1"/>
                <w:color w:val="auto"/>
              </w:rPr>
              <w:t>505</w:t>
            </w:r>
          </w:p>
        </w:tc>
      </w:tr>
      <w:tr>
        <w:trPr>
          <w:trHeight w:val="415"/>
        </w:trPr>
        <w:tc>
          <w:tcPr>
            <w:tcW w:w="200" w:type="dxa"/>
            <w:vAlign w:val="bottom"/>
          </w:tcPr>
          <w:p>
            <w:pPr>
              <w:jc w:val="right"/>
              <w:spacing w:after="0"/>
              <w:rPr>
                <w:sz w:val="20"/>
                <w:szCs w:val="20"/>
                <w:color w:val="auto"/>
              </w:rPr>
            </w:pPr>
            <w:r>
              <w:rPr>
                <w:rFonts w:ascii="Calibri" w:cs="Calibri" w:eastAsia="Calibri" w:hAnsi="Calibri"/>
                <w:sz w:val="16"/>
                <w:szCs w:val="16"/>
                <w:b w:val="1"/>
                <w:bCs w:val="1"/>
                <w:color w:val="2D5F91"/>
                <w:w w:val="80"/>
              </w:rPr>
              <w:t>5.</w:t>
            </w:r>
          </w:p>
        </w:tc>
        <w:tc>
          <w:tcPr>
            <w:tcW w:w="3800" w:type="dxa"/>
            <w:vAlign w:val="bottom"/>
            <w:gridSpan w:val="2"/>
          </w:tcPr>
          <w:p>
            <w:pPr>
              <w:ind w:left="60"/>
              <w:spacing w:after="0"/>
              <w:rPr>
                <w:sz w:val="20"/>
                <w:szCs w:val="20"/>
                <w:color w:val="auto"/>
              </w:rPr>
            </w:pPr>
            <w:r>
              <w:rPr>
                <w:rFonts w:ascii="Calibri" w:cs="Calibri" w:eastAsia="Calibri" w:hAnsi="Calibri"/>
                <w:sz w:val="16"/>
                <w:szCs w:val="16"/>
                <w:b w:val="1"/>
                <w:bCs w:val="1"/>
                <w:color w:val="2D5F91"/>
              </w:rPr>
              <w:t>INTANGIBLE ASSETS</w:t>
            </w:r>
          </w:p>
        </w:tc>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5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880" w:type="dxa"/>
            <w:vAlign w:val="bottom"/>
          </w:tcPr>
          <w:p>
            <w:pPr>
              <w:jc w:val="right"/>
              <w:ind w:right="839"/>
              <w:spacing w:after="0"/>
              <w:rPr>
                <w:sz w:val="20"/>
                <w:szCs w:val="20"/>
                <w:color w:val="auto"/>
              </w:rPr>
            </w:pPr>
            <w:r>
              <w:rPr>
                <w:rFonts w:ascii="Calibri" w:cs="Calibri" w:eastAsia="Calibri" w:hAnsi="Calibri"/>
                <w:sz w:val="16"/>
                <w:szCs w:val="16"/>
                <w:b w:val="1"/>
                <w:bCs w:val="1"/>
                <w:color w:val="auto"/>
              </w:rPr>
              <w:t>IP Research &amp;</w:t>
            </w: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5"/>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60"/>
              <w:spacing w:after="0"/>
              <w:rPr>
                <w:sz w:val="20"/>
                <w:szCs w:val="20"/>
                <w:color w:val="auto"/>
              </w:rPr>
            </w:pPr>
            <w:r>
              <w:rPr>
                <w:rFonts w:ascii="Calibri" w:cs="Calibri" w:eastAsia="Calibri" w:hAnsi="Calibri"/>
                <w:sz w:val="16"/>
                <w:szCs w:val="16"/>
                <w:b w:val="1"/>
                <w:bCs w:val="1"/>
                <w:color w:val="auto"/>
              </w:rPr>
              <w:t>Cost</w:t>
            </w:r>
          </w:p>
        </w:tc>
        <w:tc>
          <w:tcPr>
            <w:tcW w:w="2880" w:type="dxa"/>
            <w:vAlign w:val="bottom"/>
          </w:tcPr>
          <w:p>
            <w:pPr>
              <w:jc w:val="right"/>
              <w:ind w:right="839"/>
              <w:spacing w:after="0" w:line="193" w:lineRule="exact"/>
              <w:rPr>
                <w:sz w:val="20"/>
                <w:szCs w:val="20"/>
                <w:color w:val="auto"/>
              </w:rPr>
            </w:pPr>
            <w:r>
              <w:rPr>
                <w:rFonts w:ascii="Calibri" w:cs="Calibri" w:eastAsia="Calibri" w:hAnsi="Calibri"/>
                <w:sz w:val="16"/>
                <w:szCs w:val="16"/>
                <w:b w:val="1"/>
                <w:bCs w:val="1"/>
                <w:color w:val="auto"/>
              </w:rPr>
              <w:t>Development</w:t>
            </w:r>
          </w:p>
        </w:tc>
        <w:tc>
          <w:tcPr>
            <w:tcW w:w="720" w:type="dxa"/>
            <w:vAlign w:val="bottom"/>
          </w:tcPr>
          <w:p>
            <w:pPr>
              <w:jc w:val="right"/>
              <w:spacing w:after="0"/>
              <w:rPr>
                <w:sz w:val="20"/>
                <w:szCs w:val="20"/>
                <w:color w:val="auto"/>
              </w:rPr>
            </w:pPr>
            <w:r>
              <w:rPr>
                <w:rFonts w:ascii="Calibri" w:cs="Calibri" w:eastAsia="Calibri" w:hAnsi="Calibri"/>
                <w:sz w:val="16"/>
                <w:szCs w:val="16"/>
                <w:b w:val="1"/>
                <w:bCs w:val="1"/>
                <w:color w:val="auto"/>
              </w:rPr>
              <w:t>Patents</w:t>
            </w:r>
          </w:p>
        </w:tc>
        <w:tc>
          <w:tcPr>
            <w:tcW w:w="218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Sofware</w:t>
            </w:r>
          </w:p>
        </w:tc>
        <w:tc>
          <w:tcPr>
            <w:tcW w:w="1120" w:type="dxa"/>
            <w:vAlign w:val="bottom"/>
            <w:gridSpan w:val="2"/>
          </w:tcPr>
          <w:p>
            <w:pPr>
              <w:jc w:val="right"/>
              <w:ind w:right="140"/>
              <w:spacing w:after="0"/>
              <w:rPr>
                <w:sz w:val="20"/>
                <w:szCs w:val="20"/>
                <w:color w:val="auto"/>
              </w:rPr>
            </w:pPr>
            <w:r>
              <w:rPr>
                <w:rFonts w:ascii="Calibri" w:cs="Calibri" w:eastAsia="Calibri" w:hAnsi="Calibri"/>
                <w:sz w:val="16"/>
                <w:szCs w:val="16"/>
                <w:b w:val="1"/>
                <w:bCs w:val="1"/>
                <w:color w:val="auto"/>
              </w:rPr>
              <w:t>Total</w:t>
            </w:r>
          </w:p>
        </w:tc>
      </w:tr>
      <w:tr>
        <w:trPr>
          <w:trHeight w:val="20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880" w:type="dxa"/>
            <w:vAlign w:val="bottom"/>
          </w:tcPr>
          <w:p>
            <w:pPr>
              <w:jc w:val="right"/>
              <w:ind w:right="839"/>
              <w:spacing w:after="0"/>
              <w:rPr>
                <w:sz w:val="20"/>
                <w:szCs w:val="20"/>
                <w:color w:val="auto"/>
              </w:rPr>
            </w:pPr>
            <w:r>
              <w:rPr>
                <w:rFonts w:ascii="Calibri" w:cs="Calibri" w:eastAsia="Calibri" w:hAnsi="Calibri"/>
                <w:sz w:val="16"/>
                <w:szCs w:val="16"/>
                <w:b w:val="1"/>
                <w:bCs w:val="1"/>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2180" w:type="dxa"/>
            <w:vAlign w:val="bottom"/>
          </w:tcPr>
          <w:p>
            <w:pPr>
              <w:jc w:val="right"/>
              <w:ind w:right="539"/>
              <w:spacing w:after="0"/>
              <w:rPr>
                <w:sz w:val="20"/>
                <w:szCs w:val="20"/>
                <w:color w:val="auto"/>
              </w:rPr>
            </w:pPr>
            <w:r>
              <w:rPr>
                <w:rFonts w:ascii="Calibri" w:cs="Calibri" w:eastAsia="Calibri" w:hAnsi="Calibri"/>
                <w:sz w:val="16"/>
                <w:szCs w:val="16"/>
                <w:b w:val="1"/>
                <w:bCs w:val="1"/>
                <w:color w:val="auto"/>
              </w:rPr>
              <w:t>$</w:t>
            </w:r>
          </w:p>
        </w:tc>
        <w:tc>
          <w:tcPr>
            <w:tcW w:w="10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c>
          <w:tcPr>
            <w:tcW w:w="8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5"/>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Balance as at March 31, 2022</w:t>
            </w:r>
          </w:p>
        </w:tc>
        <w:tc>
          <w:tcPr>
            <w:tcW w:w="2880" w:type="dxa"/>
            <w:vAlign w:val="bottom"/>
          </w:tcPr>
          <w:p>
            <w:pPr>
              <w:jc w:val="right"/>
              <w:ind w:right="839"/>
              <w:spacing w:after="0" w:line="185" w:lineRule="exact"/>
              <w:rPr>
                <w:sz w:val="20"/>
                <w:szCs w:val="20"/>
                <w:color w:val="auto"/>
              </w:rPr>
            </w:pPr>
            <w:r>
              <w:rPr>
                <w:rFonts w:ascii="Calibri" w:cs="Calibri" w:eastAsia="Calibri" w:hAnsi="Calibri"/>
                <w:sz w:val="16"/>
                <w:szCs w:val="16"/>
                <w:b w:val="1"/>
                <w:bCs w:val="1"/>
                <w:color w:val="auto"/>
              </w:rPr>
              <w:t>1,566</w:t>
            </w:r>
          </w:p>
        </w:tc>
        <w:tc>
          <w:tcPr>
            <w:tcW w:w="7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443</w:t>
            </w:r>
          </w:p>
        </w:tc>
        <w:tc>
          <w:tcPr>
            <w:tcW w:w="2180" w:type="dxa"/>
            <w:vAlign w:val="bottom"/>
          </w:tcPr>
          <w:p>
            <w:pPr>
              <w:jc w:val="right"/>
              <w:ind w:right="539"/>
              <w:spacing w:after="0" w:line="185" w:lineRule="exact"/>
              <w:rPr>
                <w:sz w:val="20"/>
                <w:szCs w:val="20"/>
                <w:color w:val="auto"/>
              </w:rPr>
            </w:pPr>
            <w:r>
              <w:rPr>
                <w:rFonts w:ascii="Calibri" w:cs="Calibri" w:eastAsia="Calibri" w:hAnsi="Calibri"/>
                <w:sz w:val="16"/>
                <w:szCs w:val="16"/>
                <w:b w:val="1"/>
                <w:bCs w:val="1"/>
                <w:color w:val="auto"/>
              </w:rPr>
              <w:t>74</w:t>
            </w:r>
          </w:p>
        </w:tc>
        <w:tc>
          <w:tcPr>
            <w:tcW w:w="104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2,083</w:t>
            </w:r>
          </w:p>
        </w:tc>
        <w:tc>
          <w:tcPr>
            <w:tcW w:w="80" w:type="dxa"/>
            <w:vAlign w:val="bottom"/>
          </w:tcPr>
          <w:p>
            <w:pPr>
              <w:spacing w:after="0"/>
              <w:rPr>
                <w:sz w:val="16"/>
                <w:szCs w:val="16"/>
                <w:color w:val="auto"/>
              </w:rPr>
            </w:pPr>
          </w:p>
        </w:tc>
      </w:tr>
      <w:tr>
        <w:trPr>
          <w:trHeight w:val="198"/>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60"/>
              <w:spacing w:after="0"/>
              <w:rPr>
                <w:sz w:val="20"/>
                <w:szCs w:val="20"/>
                <w:color w:val="auto"/>
              </w:rPr>
            </w:pPr>
            <w:r>
              <w:rPr>
                <w:rFonts w:ascii="Calibri" w:cs="Calibri" w:eastAsia="Calibri" w:hAnsi="Calibri"/>
                <w:sz w:val="16"/>
                <w:szCs w:val="16"/>
                <w:color w:val="auto"/>
              </w:rPr>
              <w:t>Additons</w:t>
            </w:r>
          </w:p>
        </w:tc>
        <w:tc>
          <w:tcPr>
            <w:tcW w:w="2880" w:type="dxa"/>
            <w:vAlign w:val="bottom"/>
          </w:tcPr>
          <w:p>
            <w:pPr>
              <w:jc w:val="right"/>
              <w:ind w:right="839"/>
              <w:spacing w:after="0"/>
              <w:rPr>
                <w:sz w:val="20"/>
                <w:szCs w:val="20"/>
                <w:color w:val="auto"/>
              </w:rPr>
            </w:pPr>
            <w:r>
              <w:rPr>
                <w:rFonts w:ascii="Calibri" w:cs="Calibri" w:eastAsia="Calibri" w:hAnsi="Calibri"/>
                <w:sz w:val="16"/>
                <w:szCs w:val="16"/>
                <w:color w:val="auto"/>
              </w:rPr>
              <w:t>1,342</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1,607</w:t>
            </w:r>
          </w:p>
        </w:tc>
        <w:tc>
          <w:tcPr>
            <w:tcW w:w="218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2,949</w:t>
            </w:r>
          </w:p>
        </w:tc>
        <w:tc>
          <w:tcPr>
            <w:tcW w:w="8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60"/>
              <w:spacing w:after="0"/>
              <w:rPr>
                <w:sz w:val="20"/>
                <w:szCs w:val="20"/>
                <w:color w:val="auto"/>
              </w:rPr>
            </w:pPr>
            <w:r>
              <w:rPr>
                <w:rFonts w:ascii="Calibri" w:cs="Calibri" w:eastAsia="Calibri" w:hAnsi="Calibri"/>
                <w:sz w:val="16"/>
                <w:szCs w:val="16"/>
                <w:color w:val="auto"/>
              </w:rPr>
              <w:t>Efect of foreign exchange</w:t>
            </w:r>
          </w:p>
        </w:tc>
        <w:tc>
          <w:tcPr>
            <w:tcW w:w="2880" w:type="dxa"/>
            <w:vAlign w:val="bottom"/>
          </w:tcPr>
          <w:p>
            <w:pPr>
              <w:jc w:val="right"/>
              <w:ind w:right="839"/>
              <w:spacing w:after="0"/>
              <w:rPr>
                <w:sz w:val="20"/>
                <w:szCs w:val="20"/>
                <w:color w:val="auto"/>
              </w:rPr>
            </w:pPr>
            <w:r>
              <w:rPr>
                <w:rFonts w:ascii="Calibri" w:cs="Calibri" w:eastAsia="Calibri" w:hAnsi="Calibri"/>
                <w:sz w:val="16"/>
                <w:szCs w:val="16"/>
                <w:color w:val="auto"/>
              </w:rPr>
              <w:t>170</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91</w:t>
            </w:r>
          </w:p>
        </w:tc>
        <w:tc>
          <w:tcPr>
            <w:tcW w:w="218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261</w:t>
            </w:r>
          </w:p>
        </w:tc>
        <w:tc>
          <w:tcPr>
            <w:tcW w:w="80" w:type="dxa"/>
            <w:vAlign w:val="bottom"/>
          </w:tcPr>
          <w:p>
            <w:pPr>
              <w:spacing w:after="0"/>
              <w:rPr>
                <w:sz w:val="17"/>
                <w:szCs w:val="17"/>
                <w:color w:val="auto"/>
              </w:rPr>
            </w:pP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Balance as at December 31, 2022</w:t>
            </w:r>
          </w:p>
        </w:tc>
        <w:tc>
          <w:tcPr>
            <w:tcW w:w="2880" w:type="dxa"/>
            <w:vAlign w:val="bottom"/>
            <w:tcBorders>
              <w:bottom w:val="single" w:sz="8" w:color="auto"/>
            </w:tcBorders>
          </w:tcPr>
          <w:p>
            <w:pPr>
              <w:jc w:val="right"/>
              <w:ind w:right="839"/>
              <w:spacing w:after="0" w:line="192" w:lineRule="exact"/>
              <w:rPr>
                <w:sz w:val="20"/>
                <w:szCs w:val="20"/>
                <w:color w:val="auto"/>
              </w:rPr>
            </w:pPr>
            <w:r>
              <w:rPr>
                <w:rFonts w:ascii="Calibri" w:cs="Calibri" w:eastAsia="Calibri" w:hAnsi="Calibri"/>
                <w:sz w:val="16"/>
                <w:szCs w:val="16"/>
                <w:b w:val="1"/>
                <w:bCs w:val="1"/>
                <w:color w:val="auto"/>
              </w:rPr>
              <w:t>3,078</w:t>
            </w:r>
          </w:p>
        </w:tc>
        <w:tc>
          <w:tcPr>
            <w:tcW w:w="7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2,141</w:t>
            </w:r>
          </w:p>
        </w:tc>
        <w:tc>
          <w:tcPr>
            <w:tcW w:w="2180" w:type="dxa"/>
            <w:vAlign w:val="bottom"/>
            <w:tcBorders>
              <w:bottom w:val="single" w:sz="8" w:color="auto"/>
            </w:tcBorders>
          </w:tcPr>
          <w:p>
            <w:pPr>
              <w:jc w:val="right"/>
              <w:ind w:right="539"/>
              <w:spacing w:after="0" w:line="192" w:lineRule="exact"/>
              <w:rPr>
                <w:sz w:val="20"/>
                <w:szCs w:val="20"/>
                <w:color w:val="auto"/>
              </w:rPr>
            </w:pPr>
            <w:r>
              <w:rPr>
                <w:rFonts w:ascii="Calibri" w:cs="Calibri" w:eastAsia="Calibri" w:hAnsi="Calibri"/>
                <w:sz w:val="16"/>
                <w:szCs w:val="16"/>
                <w:b w:val="1"/>
                <w:bCs w:val="1"/>
                <w:color w:val="auto"/>
              </w:rPr>
              <w:t>74</w:t>
            </w:r>
          </w:p>
        </w:tc>
        <w:tc>
          <w:tcPr>
            <w:tcW w:w="10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5,293</w:t>
            </w:r>
          </w:p>
        </w:tc>
        <w:tc>
          <w:tcPr>
            <w:tcW w:w="80" w:type="dxa"/>
            <w:vAlign w:val="bottom"/>
          </w:tcPr>
          <w:p>
            <w:pPr>
              <w:spacing w:after="0"/>
              <w:rPr>
                <w:sz w:val="16"/>
                <w:szCs w:val="16"/>
                <w:color w:val="auto"/>
              </w:rPr>
            </w:pPr>
          </w:p>
        </w:tc>
      </w:tr>
      <w:tr>
        <w:trPr>
          <w:trHeight w:val="402"/>
        </w:trPr>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b w:val="1"/>
                <w:bCs w:val="1"/>
                <w:color w:val="auto"/>
              </w:rPr>
              <w:t>Accumulated Amortzaton</w:t>
            </w:r>
          </w:p>
        </w:tc>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r>
      <w:tr>
        <w:trPr>
          <w:trHeight w:val="185"/>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Borders>
              <w:top w:val="single" w:sz="8" w:color="auto"/>
            </w:tcBorders>
          </w:tcPr>
          <w:p>
            <w:pPr>
              <w:ind w:left="20"/>
              <w:spacing w:after="0" w:line="185" w:lineRule="exact"/>
              <w:rPr>
                <w:sz w:val="20"/>
                <w:szCs w:val="20"/>
                <w:color w:val="auto"/>
              </w:rPr>
            </w:pPr>
            <w:r>
              <w:rPr>
                <w:rFonts w:ascii="Calibri" w:cs="Calibri" w:eastAsia="Calibri" w:hAnsi="Calibri"/>
                <w:sz w:val="16"/>
                <w:szCs w:val="16"/>
                <w:b w:val="1"/>
                <w:bCs w:val="1"/>
                <w:color w:val="auto"/>
              </w:rPr>
              <w:t>Balance as at March 31, 2022</w:t>
            </w:r>
          </w:p>
        </w:tc>
        <w:tc>
          <w:tcPr>
            <w:tcW w:w="2880" w:type="dxa"/>
            <w:vAlign w:val="bottom"/>
            <w:tcBorders>
              <w:top w:val="single" w:sz="8" w:color="auto"/>
            </w:tcBorders>
          </w:tcPr>
          <w:p>
            <w:pPr>
              <w:jc w:val="right"/>
              <w:ind w:right="839"/>
              <w:spacing w:after="0" w:line="185" w:lineRule="exact"/>
              <w:rPr>
                <w:sz w:val="20"/>
                <w:szCs w:val="20"/>
                <w:color w:val="auto"/>
              </w:rPr>
            </w:pPr>
            <w:r>
              <w:rPr>
                <w:rFonts w:ascii="Calibri" w:cs="Calibri" w:eastAsia="Calibri" w:hAnsi="Calibri"/>
                <w:sz w:val="16"/>
                <w:szCs w:val="16"/>
                <w:b w:val="1"/>
                <w:bCs w:val="1"/>
                <w:color w:val="auto"/>
              </w:rPr>
              <w:t>—</w:t>
            </w:r>
          </w:p>
        </w:tc>
        <w:tc>
          <w:tcPr>
            <w:tcW w:w="720" w:type="dxa"/>
            <w:vAlign w:val="bottom"/>
            <w:tcBorders>
              <w:top w:val="single" w:sz="8" w:color="auto"/>
            </w:tcBorders>
          </w:tcPr>
          <w:p>
            <w:pPr>
              <w:jc w:val="right"/>
              <w:spacing w:after="0" w:line="185" w:lineRule="exact"/>
              <w:rPr>
                <w:sz w:val="20"/>
                <w:szCs w:val="20"/>
                <w:color w:val="auto"/>
              </w:rPr>
            </w:pPr>
            <w:r>
              <w:rPr>
                <w:rFonts w:ascii="Calibri" w:cs="Calibri" w:eastAsia="Calibri" w:hAnsi="Calibri"/>
                <w:sz w:val="16"/>
                <w:szCs w:val="16"/>
                <w:b w:val="1"/>
                <w:bCs w:val="1"/>
                <w:color w:val="auto"/>
              </w:rPr>
              <w:t>—</w:t>
            </w:r>
          </w:p>
        </w:tc>
        <w:tc>
          <w:tcPr>
            <w:tcW w:w="2180" w:type="dxa"/>
            <w:vAlign w:val="bottom"/>
            <w:tcBorders>
              <w:top w:val="single" w:sz="8" w:color="auto"/>
            </w:tcBorders>
          </w:tcPr>
          <w:p>
            <w:pPr>
              <w:jc w:val="right"/>
              <w:ind w:right="539"/>
              <w:spacing w:after="0" w:line="185" w:lineRule="exact"/>
              <w:rPr>
                <w:sz w:val="20"/>
                <w:szCs w:val="20"/>
                <w:color w:val="auto"/>
              </w:rPr>
            </w:pPr>
            <w:r>
              <w:rPr>
                <w:rFonts w:ascii="Calibri" w:cs="Calibri" w:eastAsia="Calibri" w:hAnsi="Calibri"/>
                <w:sz w:val="16"/>
                <w:szCs w:val="16"/>
                <w:b w:val="1"/>
                <w:bCs w:val="1"/>
                <w:color w:val="auto"/>
              </w:rPr>
              <w:t>—</w:t>
            </w:r>
          </w:p>
        </w:tc>
        <w:tc>
          <w:tcPr>
            <w:tcW w:w="1040" w:type="dxa"/>
            <w:vAlign w:val="bottom"/>
            <w:tcBorders>
              <w:top w:val="single" w:sz="8" w:color="auto"/>
            </w:tcBorders>
          </w:tcPr>
          <w:p>
            <w:pPr>
              <w:jc w:val="right"/>
              <w:spacing w:after="0" w:line="185" w:lineRule="exact"/>
              <w:rPr>
                <w:sz w:val="20"/>
                <w:szCs w:val="20"/>
                <w:color w:val="auto"/>
              </w:rPr>
            </w:pPr>
            <w:r>
              <w:rPr>
                <w:rFonts w:ascii="Calibri" w:cs="Calibri" w:eastAsia="Calibri" w:hAnsi="Calibri"/>
                <w:sz w:val="16"/>
                <w:szCs w:val="16"/>
                <w:b w:val="1"/>
                <w:bCs w:val="1"/>
                <w:color w:val="auto"/>
              </w:rPr>
              <w:t>—</w:t>
            </w:r>
          </w:p>
        </w:tc>
        <w:tc>
          <w:tcPr>
            <w:tcW w:w="80" w:type="dxa"/>
            <w:vAlign w:val="bottom"/>
          </w:tcPr>
          <w:p>
            <w:pPr>
              <w:spacing w:after="0"/>
              <w:rPr>
                <w:sz w:val="16"/>
                <w:szCs w:val="16"/>
                <w:color w:val="auto"/>
              </w:rPr>
            </w:pPr>
          </w:p>
        </w:tc>
      </w:tr>
      <w:tr>
        <w:trPr>
          <w:trHeight w:val="198"/>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color w:val="auto"/>
              </w:rPr>
              <w:t>Amortzaton charge</w:t>
            </w:r>
          </w:p>
        </w:tc>
        <w:tc>
          <w:tcPr>
            <w:tcW w:w="2880" w:type="dxa"/>
            <w:vAlign w:val="bottom"/>
          </w:tcPr>
          <w:p>
            <w:pPr>
              <w:jc w:val="right"/>
              <w:ind w:right="839"/>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10</w:t>
            </w:r>
          </w:p>
        </w:tc>
        <w:tc>
          <w:tcPr>
            <w:tcW w:w="2180" w:type="dxa"/>
            <w:vAlign w:val="bottom"/>
          </w:tcPr>
          <w:p>
            <w:pPr>
              <w:jc w:val="right"/>
              <w:ind w:right="539"/>
              <w:spacing w:after="0"/>
              <w:rPr>
                <w:sz w:val="20"/>
                <w:szCs w:val="20"/>
                <w:color w:val="auto"/>
              </w:rPr>
            </w:pPr>
            <w:r>
              <w:rPr>
                <w:rFonts w:ascii="Calibri" w:cs="Calibri" w:eastAsia="Calibri" w:hAnsi="Calibri"/>
                <w:sz w:val="16"/>
                <w:szCs w:val="16"/>
                <w:color w:val="auto"/>
              </w:rPr>
              <w:t>12</w:t>
            </w:r>
          </w:p>
        </w:tc>
        <w:tc>
          <w:tcPr>
            <w:tcW w:w="1040" w:type="dxa"/>
            <w:vAlign w:val="bottom"/>
          </w:tcPr>
          <w:p>
            <w:pPr>
              <w:jc w:val="right"/>
              <w:spacing w:after="0"/>
              <w:rPr>
                <w:sz w:val="20"/>
                <w:szCs w:val="20"/>
                <w:color w:val="auto"/>
              </w:rPr>
            </w:pPr>
            <w:r>
              <w:rPr>
                <w:rFonts w:ascii="Calibri" w:cs="Calibri" w:eastAsia="Calibri" w:hAnsi="Calibri"/>
                <w:sz w:val="16"/>
                <w:szCs w:val="16"/>
                <w:color w:val="auto"/>
              </w:rPr>
              <w:t>22</w:t>
            </w:r>
          </w:p>
        </w:tc>
        <w:tc>
          <w:tcPr>
            <w:tcW w:w="80" w:type="dxa"/>
            <w:vAlign w:val="bottom"/>
          </w:tcPr>
          <w:p>
            <w:pPr>
              <w:spacing w:after="0"/>
              <w:rPr>
                <w:sz w:val="17"/>
                <w:szCs w:val="17"/>
                <w:color w:val="auto"/>
              </w:rPr>
            </w:pPr>
          </w:p>
        </w:tc>
      </w:tr>
      <w:tr>
        <w:trPr>
          <w:trHeight w:val="206"/>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Calibri" w:cs="Calibri" w:eastAsia="Calibri" w:hAnsi="Calibri"/>
                <w:sz w:val="16"/>
                <w:szCs w:val="16"/>
                <w:color w:val="auto"/>
              </w:rPr>
              <w:t>Efect of foreign exchange</w:t>
            </w:r>
          </w:p>
        </w:tc>
        <w:tc>
          <w:tcPr>
            <w:tcW w:w="2880" w:type="dxa"/>
            <w:vAlign w:val="bottom"/>
          </w:tcPr>
          <w:p>
            <w:pPr>
              <w:jc w:val="right"/>
              <w:ind w:right="839"/>
              <w:spacing w:after="0"/>
              <w:rPr>
                <w:sz w:val="20"/>
                <w:szCs w:val="20"/>
                <w:color w:val="auto"/>
              </w:rPr>
            </w:pPr>
            <w:r>
              <w:rPr>
                <w:rFonts w:ascii="Calibri" w:cs="Calibri" w:eastAsia="Calibri" w:hAnsi="Calibri"/>
                <w:sz w:val="16"/>
                <w:szCs w:val="16"/>
                <w:color w:val="auto"/>
              </w:rPr>
              <w:t>—</w:t>
            </w:r>
          </w:p>
        </w:tc>
        <w:tc>
          <w:tcPr>
            <w:tcW w:w="720" w:type="dxa"/>
            <w:vAlign w:val="bottom"/>
          </w:tcPr>
          <w:p>
            <w:pPr>
              <w:jc w:val="right"/>
              <w:spacing w:after="0"/>
              <w:rPr>
                <w:sz w:val="20"/>
                <w:szCs w:val="20"/>
                <w:color w:val="auto"/>
              </w:rPr>
            </w:pPr>
            <w:r>
              <w:rPr>
                <w:rFonts w:ascii="Calibri" w:cs="Calibri" w:eastAsia="Calibri" w:hAnsi="Calibri"/>
                <w:sz w:val="16"/>
                <w:szCs w:val="16"/>
                <w:color w:val="auto"/>
              </w:rPr>
              <w:t>—</w:t>
            </w:r>
          </w:p>
        </w:tc>
        <w:tc>
          <w:tcPr>
            <w:tcW w:w="218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20" w:type="dxa"/>
            <w:vAlign w:val="bottom"/>
            <w:gridSpan w:val="2"/>
          </w:tcPr>
          <w:p>
            <w:pPr>
              <w:jc w:val="right"/>
              <w:ind w:right="140"/>
              <w:spacing w:after="0"/>
              <w:rPr>
                <w:sz w:val="20"/>
                <w:szCs w:val="20"/>
                <w:color w:val="auto"/>
              </w:rPr>
            </w:pPr>
            <w:r>
              <w:rPr>
                <w:rFonts w:ascii="Calibri" w:cs="Calibri" w:eastAsia="Calibri" w:hAnsi="Calibri"/>
                <w:sz w:val="16"/>
                <w:szCs w:val="16"/>
                <w:color w:val="auto"/>
              </w:rPr>
              <w:t>—</w:t>
            </w:r>
          </w:p>
        </w:tc>
      </w:tr>
      <w:tr>
        <w:trPr>
          <w:trHeight w:val="21"/>
        </w:trPr>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2"/>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Balance as at December 31, 2022</w:t>
            </w:r>
          </w:p>
        </w:tc>
        <w:tc>
          <w:tcPr>
            <w:tcW w:w="2880" w:type="dxa"/>
            <w:vAlign w:val="bottom"/>
            <w:tcBorders>
              <w:bottom w:val="single" w:sz="8" w:color="auto"/>
            </w:tcBorders>
          </w:tcPr>
          <w:p>
            <w:pPr>
              <w:jc w:val="right"/>
              <w:ind w:right="839"/>
              <w:spacing w:after="0" w:line="192" w:lineRule="exact"/>
              <w:rPr>
                <w:sz w:val="20"/>
                <w:szCs w:val="20"/>
                <w:color w:val="auto"/>
              </w:rPr>
            </w:pPr>
            <w:r>
              <w:rPr>
                <w:rFonts w:ascii="Calibri" w:cs="Calibri" w:eastAsia="Calibri" w:hAnsi="Calibri"/>
                <w:sz w:val="16"/>
                <w:szCs w:val="16"/>
                <w:b w:val="1"/>
                <w:bCs w:val="1"/>
                <w:color w:val="auto"/>
              </w:rPr>
              <w:t>—</w:t>
            </w:r>
          </w:p>
        </w:tc>
        <w:tc>
          <w:tcPr>
            <w:tcW w:w="7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10</w:t>
            </w:r>
          </w:p>
        </w:tc>
        <w:tc>
          <w:tcPr>
            <w:tcW w:w="2180" w:type="dxa"/>
            <w:vAlign w:val="bottom"/>
            <w:tcBorders>
              <w:bottom w:val="single" w:sz="8" w:color="auto"/>
            </w:tcBorders>
          </w:tcPr>
          <w:p>
            <w:pPr>
              <w:jc w:val="right"/>
              <w:ind w:right="539"/>
              <w:spacing w:after="0" w:line="192" w:lineRule="exact"/>
              <w:rPr>
                <w:sz w:val="20"/>
                <w:szCs w:val="20"/>
                <w:color w:val="auto"/>
              </w:rPr>
            </w:pPr>
            <w:r>
              <w:rPr>
                <w:rFonts w:ascii="Calibri" w:cs="Calibri" w:eastAsia="Calibri" w:hAnsi="Calibri"/>
                <w:sz w:val="16"/>
                <w:szCs w:val="16"/>
                <w:b w:val="1"/>
                <w:bCs w:val="1"/>
                <w:color w:val="auto"/>
              </w:rPr>
              <w:t>12</w:t>
            </w:r>
          </w:p>
        </w:tc>
        <w:tc>
          <w:tcPr>
            <w:tcW w:w="10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22</w:t>
            </w:r>
          </w:p>
        </w:tc>
        <w:tc>
          <w:tcPr>
            <w:tcW w:w="80" w:type="dxa"/>
            <w:vAlign w:val="bottom"/>
          </w:tcPr>
          <w:p>
            <w:pPr>
              <w:spacing w:after="0"/>
              <w:rPr>
                <w:sz w:val="16"/>
                <w:szCs w:val="16"/>
                <w:color w:val="auto"/>
              </w:rPr>
            </w:pPr>
          </w:p>
        </w:tc>
      </w:tr>
      <w:tr>
        <w:trPr>
          <w:trHeight w:val="217"/>
        </w:trPr>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192"/>
        </w:trPr>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2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Net book value as at March 31, 2022</w:t>
            </w:r>
          </w:p>
        </w:tc>
        <w:tc>
          <w:tcPr>
            <w:tcW w:w="2880" w:type="dxa"/>
            <w:vAlign w:val="bottom"/>
            <w:tcBorders>
              <w:bottom w:val="single" w:sz="8" w:color="auto"/>
            </w:tcBorders>
          </w:tcPr>
          <w:p>
            <w:pPr>
              <w:jc w:val="right"/>
              <w:ind w:right="839"/>
              <w:spacing w:after="0" w:line="192" w:lineRule="exact"/>
              <w:rPr>
                <w:sz w:val="20"/>
                <w:szCs w:val="20"/>
                <w:color w:val="auto"/>
              </w:rPr>
            </w:pPr>
            <w:r>
              <w:rPr>
                <w:rFonts w:ascii="Calibri" w:cs="Calibri" w:eastAsia="Calibri" w:hAnsi="Calibri"/>
                <w:sz w:val="16"/>
                <w:szCs w:val="16"/>
                <w:b w:val="1"/>
                <w:bCs w:val="1"/>
                <w:color w:val="auto"/>
              </w:rPr>
              <w:t>1,566</w:t>
            </w:r>
          </w:p>
        </w:tc>
        <w:tc>
          <w:tcPr>
            <w:tcW w:w="7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443</w:t>
            </w:r>
          </w:p>
        </w:tc>
        <w:tc>
          <w:tcPr>
            <w:tcW w:w="2180" w:type="dxa"/>
            <w:vAlign w:val="bottom"/>
            <w:tcBorders>
              <w:bottom w:val="single" w:sz="8" w:color="auto"/>
            </w:tcBorders>
          </w:tcPr>
          <w:p>
            <w:pPr>
              <w:jc w:val="right"/>
              <w:ind w:right="539"/>
              <w:spacing w:after="0" w:line="192" w:lineRule="exact"/>
              <w:rPr>
                <w:sz w:val="20"/>
                <w:szCs w:val="20"/>
                <w:color w:val="auto"/>
              </w:rPr>
            </w:pPr>
            <w:r>
              <w:rPr>
                <w:rFonts w:ascii="Calibri" w:cs="Calibri" w:eastAsia="Calibri" w:hAnsi="Calibri"/>
                <w:sz w:val="16"/>
                <w:szCs w:val="16"/>
                <w:b w:val="1"/>
                <w:bCs w:val="1"/>
                <w:color w:val="auto"/>
              </w:rPr>
              <w:t>74</w:t>
            </w:r>
          </w:p>
        </w:tc>
        <w:tc>
          <w:tcPr>
            <w:tcW w:w="10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2,083</w:t>
            </w:r>
          </w:p>
        </w:tc>
        <w:tc>
          <w:tcPr>
            <w:tcW w:w="80" w:type="dxa"/>
            <w:vAlign w:val="bottom"/>
          </w:tcPr>
          <w:p>
            <w:pPr>
              <w:spacing w:after="0"/>
              <w:rPr>
                <w:sz w:val="16"/>
                <w:szCs w:val="16"/>
                <w:color w:val="auto"/>
              </w:rPr>
            </w:pPr>
          </w:p>
        </w:tc>
      </w:tr>
      <w:tr>
        <w:trPr>
          <w:trHeight w:val="198"/>
        </w:trPr>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Net book value as at December 31, 2022</w:t>
            </w:r>
          </w:p>
        </w:tc>
        <w:tc>
          <w:tcPr>
            <w:tcW w:w="2880" w:type="dxa"/>
            <w:vAlign w:val="bottom"/>
            <w:tcBorders>
              <w:bottom w:val="single" w:sz="8" w:color="auto"/>
            </w:tcBorders>
          </w:tcPr>
          <w:p>
            <w:pPr>
              <w:jc w:val="right"/>
              <w:ind w:right="839"/>
              <w:spacing w:after="0" w:line="193" w:lineRule="exact"/>
              <w:rPr>
                <w:sz w:val="20"/>
                <w:szCs w:val="20"/>
                <w:color w:val="auto"/>
              </w:rPr>
            </w:pPr>
            <w:r>
              <w:rPr>
                <w:rFonts w:ascii="Calibri" w:cs="Calibri" w:eastAsia="Calibri" w:hAnsi="Calibri"/>
                <w:sz w:val="16"/>
                <w:szCs w:val="16"/>
                <w:b w:val="1"/>
                <w:bCs w:val="1"/>
                <w:color w:val="auto"/>
              </w:rPr>
              <w:t>3,078</w:t>
            </w:r>
          </w:p>
        </w:tc>
        <w:tc>
          <w:tcPr>
            <w:tcW w:w="72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2,131</w:t>
            </w:r>
          </w:p>
        </w:tc>
        <w:tc>
          <w:tcPr>
            <w:tcW w:w="2180" w:type="dxa"/>
            <w:vAlign w:val="bottom"/>
            <w:tcBorders>
              <w:bottom w:val="single" w:sz="8" w:color="auto"/>
            </w:tcBorders>
          </w:tcPr>
          <w:p>
            <w:pPr>
              <w:jc w:val="right"/>
              <w:ind w:right="539"/>
              <w:spacing w:after="0" w:line="193" w:lineRule="exact"/>
              <w:rPr>
                <w:sz w:val="20"/>
                <w:szCs w:val="20"/>
                <w:color w:val="auto"/>
              </w:rPr>
            </w:pPr>
            <w:r>
              <w:rPr>
                <w:rFonts w:ascii="Calibri" w:cs="Calibri" w:eastAsia="Calibri" w:hAnsi="Calibri"/>
                <w:sz w:val="16"/>
                <w:szCs w:val="16"/>
                <w:b w:val="1"/>
                <w:bCs w:val="1"/>
                <w:color w:val="auto"/>
              </w:rPr>
              <w:t>62</w:t>
            </w:r>
          </w:p>
        </w:tc>
        <w:tc>
          <w:tcPr>
            <w:tcW w:w="10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5,271</w:t>
            </w:r>
          </w:p>
        </w:tc>
        <w:tc>
          <w:tcPr>
            <w:tcW w:w="80" w:type="dxa"/>
            <w:vAlign w:val="bottom"/>
          </w:tcPr>
          <w:p>
            <w:pPr>
              <w:spacing w:after="0"/>
              <w:rPr>
                <w:sz w:val="17"/>
                <w:szCs w:val="17"/>
                <w:color w:val="auto"/>
              </w:rPr>
            </w:pPr>
          </w:p>
        </w:tc>
      </w:tr>
    </w:tbl>
    <w:p>
      <w:pPr>
        <w:spacing w:after="0" w:line="223" w:lineRule="exact"/>
        <w:rPr>
          <w:sz w:val="20"/>
          <w:szCs w:val="20"/>
          <w:color w:val="auto"/>
        </w:rPr>
      </w:pPr>
    </w:p>
    <w:p>
      <w:pPr>
        <w:ind w:left="280" w:right="20"/>
        <w:spacing w:after="0" w:line="237" w:lineRule="auto"/>
        <w:rPr>
          <w:sz w:val="20"/>
          <w:szCs w:val="20"/>
          <w:color w:val="auto"/>
        </w:rPr>
      </w:pPr>
      <w:r>
        <w:rPr>
          <w:rFonts w:ascii="Calibri" w:cs="Calibri" w:eastAsia="Calibri" w:hAnsi="Calibri"/>
          <w:sz w:val="16"/>
          <w:szCs w:val="16"/>
          <w:color w:val="auto"/>
        </w:rPr>
        <w:t>On July 11, 2022, the Company completed the acquisiton of a Phase 1 N,N-dimethyltryptamine (“DMT”) study (the “Asset Acquisiton”) from Entheon Biomedical Corp. to accelerate the clinical development path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10 of 25</w:t>
      </w:r>
    </w:p>
    <w:p>
      <w:pPr>
        <w:sectPr>
          <w:pgSz w:w="11900" w:h="16838" w:orient="portrait"/>
          <w:cols w:equalWidth="0" w:num="1">
            <w:col w:w="11260"/>
          </w:cols>
          <w:pgMar w:left="320" w:top="162" w:right="319" w:bottom="1440" w:gutter="0" w:footer="0" w:header="0"/>
        </w:sectPr>
      </w:pPr>
    </w:p>
    <w:bookmarkStart w:id="13" w:name="page14"/>
    <w:bookmarkEnd w:id="13"/>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3"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3"/>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629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83" w:right="20"/>
        <w:spacing w:after="0" w:line="237" w:lineRule="auto"/>
        <w:rPr>
          <w:sz w:val="20"/>
          <w:szCs w:val="20"/>
          <w:color w:val="auto"/>
        </w:rPr>
      </w:pPr>
      <w:r>
        <w:rPr>
          <w:rFonts w:ascii="Calibri" w:cs="Calibri" w:eastAsia="Calibri" w:hAnsi="Calibri"/>
          <w:sz w:val="16"/>
          <w:szCs w:val="16"/>
          <w:color w:val="auto"/>
        </w:rPr>
        <w:t>CYB004, Cybin’s proprietary deuterated DMT molecule for the potental treatment of anxiety disorders. The Company paid $1,000 for the Asset Acquisiton, and assumed liabilites of $342.</w:t>
      </w:r>
    </w:p>
    <w:p>
      <w:pPr>
        <w:spacing w:after="0" w:line="172" w:lineRule="exact"/>
        <w:rPr>
          <w:sz w:val="20"/>
          <w:szCs w:val="20"/>
          <w:color w:val="auto"/>
        </w:rPr>
      </w:pPr>
    </w:p>
    <w:p>
      <w:pPr>
        <w:jc w:val="both"/>
        <w:ind w:left="283"/>
        <w:spacing w:after="0" w:line="238" w:lineRule="auto"/>
        <w:rPr>
          <w:sz w:val="20"/>
          <w:szCs w:val="20"/>
          <w:color w:val="auto"/>
        </w:rPr>
      </w:pPr>
      <w:r>
        <w:rPr>
          <w:rFonts w:ascii="Calibri" w:cs="Calibri" w:eastAsia="Calibri" w:hAnsi="Calibri"/>
          <w:sz w:val="16"/>
          <w:szCs w:val="16"/>
          <w:color w:val="auto"/>
        </w:rPr>
        <w:t>During the nine-month period ended December 31, the Company entered into multple licensing agreements that provide Cybin with additonal access to IP from over 15 more patents or patent applicatons, including the acquisiton of an exclusive license to a targeted class of tryptamine-based molecules from Mindset Pharma Inc. (“Mindset”), for which it paid a one-tme license fee of $680 (US$500). The licensing agreements collectvely provide the Company with access to a broad range of preclinical molecule combinatons for its library of psychedelic derivatve drug development candidates. In additon to the exclusive license with Mindset, the Company spent an additonal $650 on a licensing agreement and $277 on expanding its IP portolio.</w:t>
      </w:r>
    </w:p>
    <w:p>
      <w:pPr>
        <w:spacing w:after="0" w:line="157" w:lineRule="exact"/>
        <w:rPr>
          <w:sz w:val="20"/>
          <w:szCs w:val="20"/>
          <w:color w:val="auto"/>
        </w:rPr>
      </w:pPr>
    </w:p>
    <w:tbl>
      <w:tblPr>
        <w:tblLayout w:type="fixed"/>
        <w:tblInd w:w="3" w:type="dxa"/>
        <w:tblCellMar>
          <w:top w:w="0" w:type="dxa"/>
          <w:left w:w="0" w:type="dxa"/>
          <w:bottom w:w="0" w:type="dxa"/>
          <w:right w:w="0" w:type="dxa"/>
        </w:tblCellMar>
      </w:tblPr>
      <w:tr>
        <w:trPr>
          <w:trHeight w:val="195"/>
        </w:trPr>
        <w:tc>
          <w:tcPr>
            <w:tcW w:w="9460" w:type="dxa"/>
            <w:vAlign w:val="bottom"/>
            <w:gridSpan w:val="2"/>
          </w:tcPr>
          <w:p>
            <w:pPr>
              <w:spacing w:after="0"/>
              <w:rPr>
                <w:sz w:val="20"/>
                <w:szCs w:val="20"/>
                <w:color w:val="auto"/>
              </w:rPr>
            </w:pPr>
            <w:r>
              <w:rPr>
                <w:rFonts w:ascii="Calibri" w:cs="Calibri" w:eastAsia="Calibri" w:hAnsi="Calibri"/>
                <w:sz w:val="16"/>
                <w:szCs w:val="16"/>
                <w:b w:val="1"/>
                <w:bCs w:val="1"/>
                <w:color w:val="2D5F91"/>
              </w:rPr>
              <w:t>6.  GOODWILL</w:t>
            </w:r>
          </w:p>
        </w:tc>
        <w:tc>
          <w:tcPr>
            <w:tcW w:w="1580" w:type="dxa"/>
            <w:vAlign w:val="bottom"/>
          </w:tcPr>
          <w:p>
            <w:pPr>
              <w:spacing w:after="0"/>
              <w:rPr>
                <w:sz w:val="16"/>
                <w:szCs w:val="16"/>
                <w:color w:val="auto"/>
              </w:rPr>
            </w:pPr>
          </w:p>
        </w:tc>
      </w:tr>
      <w:tr>
        <w:trPr>
          <w:trHeight w:val="230"/>
        </w:trPr>
        <w:tc>
          <w:tcPr>
            <w:tcW w:w="140" w:type="dxa"/>
            <w:vAlign w:val="bottom"/>
          </w:tcPr>
          <w:p>
            <w:pPr>
              <w:spacing w:after="0"/>
              <w:rPr>
                <w:sz w:val="20"/>
                <w:szCs w:val="20"/>
                <w:color w:val="auto"/>
              </w:rPr>
            </w:pPr>
          </w:p>
        </w:tc>
        <w:tc>
          <w:tcPr>
            <w:tcW w:w="9320" w:type="dxa"/>
            <w:vAlign w:val="bottom"/>
          </w:tcPr>
          <w:p>
            <w:pPr>
              <w:ind w:left="100"/>
              <w:spacing w:after="0"/>
              <w:rPr>
                <w:sz w:val="20"/>
                <w:szCs w:val="20"/>
                <w:color w:val="auto"/>
              </w:rPr>
            </w:pPr>
            <w:r>
              <w:rPr>
                <w:rFonts w:ascii="Calibri" w:cs="Calibri" w:eastAsia="Calibri" w:hAnsi="Calibri"/>
                <w:sz w:val="16"/>
                <w:szCs w:val="16"/>
                <w:b w:val="1"/>
                <w:bCs w:val="1"/>
                <w:color w:val="auto"/>
              </w:rPr>
              <w:t>Cost</w:t>
            </w:r>
          </w:p>
        </w:tc>
        <w:tc>
          <w:tcPr>
            <w:tcW w:w="158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140" w:type="dxa"/>
            <w:vAlign w:val="bottom"/>
          </w:tcPr>
          <w:p>
            <w:pPr>
              <w:spacing w:after="0" w:line="20" w:lineRule="exact"/>
              <w:rPr>
                <w:sz w:val="1"/>
                <w:szCs w:val="1"/>
                <w:color w:val="auto"/>
              </w:rPr>
            </w:pPr>
          </w:p>
        </w:tc>
        <w:tc>
          <w:tcPr>
            <w:tcW w:w="93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85"/>
        </w:trPr>
        <w:tc>
          <w:tcPr>
            <w:tcW w:w="140" w:type="dxa"/>
            <w:vAlign w:val="bottom"/>
          </w:tcPr>
          <w:p>
            <w:pPr>
              <w:spacing w:after="0"/>
              <w:rPr>
                <w:sz w:val="16"/>
                <w:szCs w:val="16"/>
                <w:color w:val="auto"/>
              </w:rPr>
            </w:pPr>
          </w:p>
        </w:tc>
        <w:tc>
          <w:tcPr>
            <w:tcW w:w="9320" w:type="dxa"/>
            <w:vAlign w:val="bottom"/>
          </w:tcPr>
          <w:p>
            <w:pPr>
              <w:ind w:left="100"/>
              <w:spacing w:after="0" w:line="185" w:lineRule="exact"/>
              <w:rPr>
                <w:sz w:val="20"/>
                <w:szCs w:val="20"/>
                <w:color w:val="auto"/>
              </w:rPr>
            </w:pPr>
            <w:r>
              <w:rPr>
                <w:rFonts w:ascii="Calibri" w:cs="Calibri" w:eastAsia="Calibri" w:hAnsi="Calibri"/>
                <w:sz w:val="16"/>
                <w:szCs w:val="16"/>
                <w:color w:val="auto"/>
              </w:rPr>
              <w:t>Balance as at March 31, 2022</w:t>
            </w:r>
          </w:p>
        </w:tc>
        <w:tc>
          <w:tcPr>
            <w:tcW w:w="1580" w:type="dxa"/>
            <w:vAlign w:val="bottom"/>
          </w:tcPr>
          <w:p>
            <w:pPr>
              <w:jc w:val="right"/>
              <w:spacing w:after="0" w:line="185" w:lineRule="exact"/>
              <w:rPr>
                <w:sz w:val="20"/>
                <w:szCs w:val="20"/>
                <w:color w:val="auto"/>
              </w:rPr>
            </w:pPr>
            <w:r>
              <w:rPr>
                <w:rFonts w:ascii="Calibri" w:cs="Calibri" w:eastAsia="Calibri" w:hAnsi="Calibri"/>
                <w:sz w:val="16"/>
                <w:szCs w:val="16"/>
                <w:color w:val="auto"/>
              </w:rPr>
              <w:t>22,892</w:t>
            </w:r>
          </w:p>
        </w:tc>
      </w:tr>
      <w:tr>
        <w:trPr>
          <w:trHeight w:val="198"/>
        </w:trPr>
        <w:tc>
          <w:tcPr>
            <w:tcW w:w="140" w:type="dxa"/>
            <w:vAlign w:val="bottom"/>
          </w:tcPr>
          <w:p>
            <w:pPr>
              <w:spacing w:after="0"/>
              <w:rPr>
                <w:sz w:val="17"/>
                <w:szCs w:val="17"/>
                <w:color w:val="auto"/>
              </w:rPr>
            </w:pPr>
          </w:p>
        </w:tc>
        <w:tc>
          <w:tcPr>
            <w:tcW w:w="9320" w:type="dxa"/>
            <w:vAlign w:val="bottom"/>
          </w:tcPr>
          <w:p>
            <w:pPr>
              <w:ind w:left="100"/>
              <w:spacing w:after="0"/>
              <w:rPr>
                <w:sz w:val="20"/>
                <w:szCs w:val="20"/>
                <w:color w:val="auto"/>
              </w:rPr>
            </w:pPr>
            <w:r>
              <w:rPr>
                <w:rFonts w:ascii="Calibri" w:cs="Calibri" w:eastAsia="Calibri" w:hAnsi="Calibri"/>
                <w:sz w:val="16"/>
                <w:szCs w:val="16"/>
                <w:color w:val="auto"/>
              </w:rPr>
              <w:t>Efect of foreign exchange</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1,920</w:t>
            </w:r>
          </w:p>
        </w:tc>
      </w:tr>
      <w:tr>
        <w:trPr>
          <w:trHeight w:val="21"/>
        </w:trPr>
        <w:tc>
          <w:tcPr>
            <w:tcW w:w="140" w:type="dxa"/>
            <w:vAlign w:val="bottom"/>
          </w:tcPr>
          <w:p>
            <w:pPr>
              <w:spacing w:after="0" w:line="20" w:lineRule="exact"/>
              <w:rPr>
                <w:sz w:val="1"/>
                <w:szCs w:val="1"/>
                <w:color w:val="auto"/>
              </w:rPr>
            </w:pPr>
          </w:p>
        </w:tc>
        <w:tc>
          <w:tcPr>
            <w:tcW w:w="9320" w:type="dxa"/>
            <w:vAlign w:val="bottom"/>
            <w:tcBorders>
              <w:bottom w:val="single" w:sz="8" w:color="929292"/>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92"/>
        </w:trPr>
        <w:tc>
          <w:tcPr>
            <w:tcW w:w="140" w:type="dxa"/>
            <w:vAlign w:val="bottom"/>
          </w:tcPr>
          <w:p>
            <w:pPr>
              <w:spacing w:after="0"/>
              <w:rPr>
                <w:sz w:val="16"/>
                <w:szCs w:val="16"/>
                <w:color w:val="auto"/>
              </w:rPr>
            </w:pPr>
          </w:p>
        </w:tc>
        <w:tc>
          <w:tcPr>
            <w:tcW w:w="9320" w:type="dxa"/>
            <w:vAlign w:val="bottom"/>
            <w:tcBorders>
              <w:bottom w:val="single" w:sz="8" w:color="auto"/>
            </w:tcBorders>
          </w:tcPr>
          <w:p>
            <w:pPr>
              <w:ind w:left="40"/>
              <w:spacing w:after="0" w:line="192" w:lineRule="exact"/>
              <w:rPr>
                <w:sz w:val="20"/>
                <w:szCs w:val="20"/>
                <w:color w:val="auto"/>
              </w:rPr>
            </w:pPr>
            <w:r>
              <w:rPr>
                <w:rFonts w:ascii="Calibri" w:cs="Calibri" w:eastAsia="Calibri" w:hAnsi="Calibri"/>
                <w:sz w:val="16"/>
                <w:szCs w:val="16"/>
                <w:b w:val="1"/>
                <w:bCs w:val="1"/>
                <w:color w:val="auto"/>
              </w:rPr>
              <w:t>Balance as at December 31, 2022</w:t>
            </w:r>
          </w:p>
        </w:tc>
        <w:tc>
          <w:tcPr>
            <w:tcW w:w="15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24,812</w:t>
            </w:r>
          </w:p>
        </w:tc>
      </w:tr>
    </w:tbl>
    <w:p>
      <w:pPr>
        <w:spacing w:after="0" w:line="223" w:lineRule="exact"/>
        <w:rPr>
          <w:sz w:val="20"/>
          <w:szCs w:val="20"/>
          <w:color w:val="auto"/>
        </w:rPr>
      </w:pPr>
    </w:p>
    <w:p>
      <w:pPr>
        <w:ind w:left="283" w:right="8420" w:hanging="283"/>
        <w:spacing w:after="0" w:line="429" w:lineRule="auto"/>
        <w:tabs>
          <w:tab w:leader="none" w:pos="257" w:val="left"/>
        </w:tabs>
        <w:numPr>
          <w:ilvl w:val="0"/>
          <w:numId w:val="1"/>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 xml:space="preserve">CONTINGENT CONSIDERATION PAYABLE </w:t>
      </w:r>
      <w:r>
        <w:rPr>
          <w:rFonts w:ascii="Calibri" w:cs="Calibri" w:eastAsia="Calibri" w:hAnsi="Calibri"/>
          <w:sz w:val="16"/>
          <w:szCs w:val="16"/>
          <w:b w:val="1"/>
          <w:bCs w:val="1"/>
          <w:color w:val="000000"/>
        </w:rPr>
        <w:t>Former Adelia Shareholders</w:t>
      </w:r>
    </w:p>
    <w:p>
      <w:pPr>
        <w:spacing w:after="0" w:line="17" w:lineRule="exact"/>
        <w:rPr>
          <w:sz w:val="20"/>
          <w:szCs w:val="20"/>
          <w:color w:val="auto"/>
        </w:rPr>
      </w:pPr>
    </w:p>
    <w:p>
      <w:pPr>
        <w:jc w:val="both"/>
        <w:ind w:left="283" w:right="20"/>
        <w:spacing w:after="0" w:line="257" w:lineRule="auto"/>
        <w:rPr>
          <w:sz w:val="20"/>
          <w:szCs w:val="20"/>
          <w:color w:val="auto"/>
        </w:rPr>
      </w:pPr>
      <w:r>
        <w:rPr>
          <w:rFonts w:ascii="Calibri" w:cs="Calibri" w:eastAsia="Calibri" w:hAnsi="Calibri"/>
          <w:sz w:val="15"/>
          <w:szCs w:val="15"/>
          <w:color w:val="auto"/>
        </w:rPr>
        <w:t>The Company had commitments to the former shareholders of Adelia (“Former Adelia Shareholders”) based on the achievement of certain milestones (the “Milestones”) as set out in the contributon agreement entered in connecton with Cybin’s acquisiton of Adelia (the “Contributon Agreement”). These Milestones were paid in class B common shares of Cybin US (“Class B Shares”) at a price per Class B Share equal to ten tmes the current trading price of the Common Shares on the relevant pricing date (note 8). The fnal Milestone was achieved on August 31, 2022. The Company does not have any further commitments to the Former Adelia Shareholders as it relates to the issuance of Class B Shares for the achievement of Milestones, other than the exchange of such shares into Common Shares in accordance with their terms.</w:t>
      </w:r>
    </w:p>
    <w:p>
      <w:pPr>
        <w:spacing w:after="0" w:line="145"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The following table presents the change in the carrying value of the contngent consideraton for the nine-month period ended December 31, 2022:</w:t>
      </w:r>
    </w:p>
    <w:p>
      <w:pPr>
        <w:spacing w:after="0" w:line="229"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6100" w:type="dxa"/>
            <w:vAlign w:val="bottom"/>
          </w:tcPr>
          <w:p>
            <w:pPr>
              <w:spacing w:after="0"/>
              <w:rPr>
                <w:sz w:val="16"/>
                <w:szCs w:val="16"/>
                <w:color w:val="auto"/>
              </w:rPr>
            </w:pPr>
          </w:p>
        </w:tc>
        <w:tc>
          <w:tcPr>
            <w:tcW w:w="442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610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r>
      <w:tr>
        <w:trPr>
          <w:trHeight w:val="185"/>
        </w:trPr>
        <w:tc>
          <w:tcPr>
            <w:tcW w:w="6100" w:type="dxa"/>
            <w:vAlign w:val="bottom"/>
          </w:tcPr>
          <w:p>
            <w:pPr>
              <w:ind w:left="20"/>
              <w:spacing w:after="0" w:line="185" w:lineRule="exact"/>
              <w:rPr>
                <w:sz w:val="20"/>
                <w:szCs w:val="20"/>
                <w:color w:val="auto"/>
              </w:rPr>
            </w:pPr>
            <w:r>
              <w:rPr>
                <w:rFonts w:ascii="Calibri" w:cs="Calibri" w:eastAsia="Calibri" w:hAnsi="Calibri"/>
                <w:sz w:val="16"/>
                <w:szCs w:val="16"/>
                <w:color w:val="auto"/>
              </w:rPr>
              <w:t>Balance as at March 31, 2022</w:t>
            </w:r>
          </w:p>
        </w:tc>
        <w:tc>
          <w:tcPr>
            <w:tcW w:w="4420" w:type="dxa"/>
            <w:vAlign w:val="bottom"/>
          </w:tcPr>
          <w:p>
            <w:pPr>
              <w:jc w:val="right"/>
              <w:spacing w:after="0" w:line="185" w:lineRule="exact"/>
              <w:rPr>
                <w:sz w:val="20"/>
                <w:szCs w:val="20"/>
                <w:color w:val="auto"/>
              </w:rPr>
            </w:pPr>
            <w:r>
              <w:rPr>
                <w:rFonts w:ascii="Calibri" w:cs="Calibri" w:eastAsia="Calibri" w:hAnsi="Calibri"/>
                <w:sz w:val="16"/>
                <w:szCs w:val="16"/>
                <w:color w:val="auto"/>
              </w:rPr>
              <w:t>2,646</w:t>
            </w:r>
          </w:p>
        </w:tc>
      </w:tr>
      <w:tr>
        <w:trPr>
          <w:trHeight w:val="247"/>
        </w:trPr>
        <w:tc>
          <w:tcPr>
            <w:tcW w:w="6100" w:type="dxa"/>
            <w:vAlign w:val="bottom"/>
          </w:tcPr>
          <w:p>
            <w:pPr>
              <w:ind w:left="20"/>
              <w:spacing w:after="0"/>
              <w:rPr>
                <w:sz w:val="20"/>
                <w:szCs w:val="20"/>
                <w:color w:val="auto"/>
              </w:rPr>
            </w:pPr>
            <w:r>
              <w:rPr>
                <w:rFonts w:ascii="Calibri" w:cs="Calibri" w:eastAsia="Calibri" w:hAnsi="Calibri"/>
                <w:sz w:val="16"/>
                <w:szCs w:val="16"/>
                <w:color w:val="auto"/>
              </w:rPr>
              <w:t>Milestone achieved</w:t>
            </w:r>
          </w:p>
        </w:tc>
        <w:tc>
          <w:tcPr>
            <w:tcW w:w="4420" w:type="dxa"/>
            <w:vAlign w:val="bottom"/>
          </w:tcPr>
          <w:p>
            <w:pPr>
              <w:jc w:val="right"/>
              <w:spacing w:after="0"/>
              <w:rPr>
                <w:sz w:val="20"/>
                <w:szCs w:val="20"/>
                <w:color w:val="auto"/>
              </w:rPr>
            </w:pPr>
            <w:r>
              <w:rPr>
                <w:rFonts w:ascii="Calibri" w:cs="Calibri" w:eastAsia="Calibri" w:hAnsi="Calibri"/>
                <w:sz w:val="16"/>
                <w:szCs w:val="16"/>
                <w:color w:val="auto"/>
              </w:rPr>
              <w:t>(2,988)</w:t>
            </w:r>
          </w:p>
        </w:tc>
      </w:tr>
      <w:tr>
        <w:trPr>
          <w:trHeight w:val="230"/>
        </w:trPr>
        <w:tc>
          <w:tcPr>
            <w:tcW w:w="6100" w:type="dxa"/>
            <w:vAlign w:val="bottom"/>
          </w:tcPr>
          <w:p>
            <w:pPr>
              <w:ind w:left="20"/>
              <w:spacing w:after="0"/>
              <w:rPr>
                <w:sz w:val="20"/>
                <w:szCs w:val="20"/>
                <w:color w:val="auto"/>
              </w:rPr>
            </w:pPr>
            <w:r>
              <w:rPr>
                <w:rFonts w:ascii="Calibri" w:cs="Calibri" w:eastAsia="Calibri" w:hAnsi="Calibri"/>
                <w:sz w:val="16"/>
                <w:szCs w:val="16"/>
                <w:color w:val="auto"/>
              </w:rPr>
              <w:t>Change in fair value</w:t>
            </w:r>
          </w:p>
        </w:tc>
        <w:tc>
          <w:tcPr>
            <w:tcW w:w="4420" w:type="dxa"/>
            <w:vAlign w:val="bottom"/>
          </w:tcPr>
          <w:p>
            <w:pPr>
              <w:jc w:val="right"/>
              <w:spacing w:after="0"/>
              <w:rPr>
                <w:sz w:val="20"/>
                <w:szCs w:val="20"/>
                <w:color w:val="auto"/>
              </w:rPr>
            </w:pPr>
            <w:r>
              <w:rPr>
                <w:rFonts w:ascii="Calibri" w:cs="Calibri" w:eastAsia="Calibri" w:hAnsi="Calibri"/>
                <w:sz w:val="16"/>
                <w:szCs w:val="16"/>
                <w:color w:val="auto"/>
              </w:rPr>
              <w:t>329</w:t>
            </w:r>
          </w:p>
        </w:tc>
      </w:tr>
      <w:tr>
        <w:trPr>
          <w:trHeight w:val="206"/>
        </w:trPr>
        <w:tc>
          <w:tcPr>
            <w:tcW w:w="6100" w:type="dxa"/>
            <w:vAlign w:val="bottom"/>
          </w:tcPr>
          <w:p>
            <w:pPr>
              <w:ind w:left="20"/>
              <w:spacing w:after="0"/>
              <w:rPr>
                <w:sz w:val="20"/>
                <w:szCs w:val="20"/>
                <w:color w:val="auto"/>
              </w:rPr>
            </w:pPr>
            <w:r>
              <w:rPr>
                <w:rFonts w:ascii="Calibri" w:cs="Calibri" w:eastAsia="Calibri" w:hAnsi="Calibri"/>
                <w:sz w:val="16"/>
                <w:szCs w:val="16"/>
                <w:color w:val="auto"/>
              </w:rPr>
              <w:t>Accreton expense</w:t>
            </w:r>
          </w:p>
        </w:tc>
        <w:tc>
          <w:tcPr>
            <w:tcW w:w="4420" w:type="dxa"/>
            <w:vAlign w:val="bottom"/>
          </w:tcPr>
          <w:p>
            <w:pPr>
              <w:jc w:val="right"/>
              <w:spacing w:after="0"/>
              <w:rPr>
                <w:sz w:val="20"/>
                <w:szCs w:val="20"/>
                <w:color w:val="auto"/>
              </w:rPr>
            </w:pPr>
            <w:r>
              <w:rPr>
                <w:rFonts w:ascii="Calibri" w:cs="Calibri" w:eastAsia="Calibri" w:hAnsi="Calibri"/>
                <w:sz w:val="16"/>
                <w:szCs w:val="16"/>
                <w:color w:val="auto"/>
              </w:rPr>
              <w:t>13</w:t>
            </w:r>
          </w:p>
        </w:tc>
      </w:tr>
      <w:tr>
        <w:trPr>
          <w:trHeight w:val="45"/>
        </w:trPr>
        <w:tc>
          <w:tcPr>
            <w:tcW w:w="610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r>
        <w:trPr>
          <w:trHeight w:val="185"/>
        </w:trPr>
        <w:tc>
          <w:tcPr>
            <w:tcW w:w="6100" w:type="dxa"/>
            <w:vAlign w:val="bottom"/>
          </w:tcPr>
          <w:p>
            <w:pPr>
              <w:ind w:left="20"/>
              <w:spacing w:after="0" w:line="185" w:lineRule="exact"/>
              <w:rPr>
                <w:sz w:val="20"/>
                <w:szCs w:val="20"/>
                <w:color w:val="auto"/>
              </w:rPr>
            </w:pPr>
            <w:r>
              <w:rPr>
                <w:rFonts w:ascii="Calibri" w:cs="Calibri" w:eastAsia="Calibri" w:hAnsi="Calibri"/>
                <w:sz w:val="16"/>
                <w:szCs w:val="16"/>
                <w:b w:val="1"/>
                <w:bCs w:val="1"/>
                <w:color w:val="auto"/>
              </w:rPr>
              <w:t>Balance as at December 31, 2022</w:t>
            </w:r>
          </w:p>
        </w:tc>
        <w:tc>
          <w:tcPr>
            <w:tcW w:w="442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w:t>
            </w:r>
          </w:p>
        </w:tc>
      </w:tr>
      <w:tr>
        <w:trPr>
          <w:trHeight w:val="37"/>
        </w:trPr>
        <w:tc>
          <w:tcPr>
            <w:tcW w:w="6100" w:type="dxa"/>
            <w:vAlign w:val="bottom"/>
            <w:tcBorders>
              <w:bottom w:val="single" w:sz="8" w:color="auto"/>
            </w:tcBorders>
          </w:tcPr>
          <w:p>
            <w:pPr>
              <w:spacing w:after="0"/>
              <w:rPr>
                <w:sz w:val="3"/>
                <w:szCs w:val="3"/>
                <w:color w:val="auto"/>
              </w:rPr>
            </w:pPr>
          </w:p>
        </w:tc>
        <w:tc>
          <w:tcPr>
            <w:tcW w:w="442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11 of 25</w:t>
      </w:r>
    </w:p>
    <w:p>
      <w:pPr>
        <w:sectPr>
          <w:pgSz w:w="11900" w:h="16838" w:orient="portrait"/>
          <w:cols w:equalWidth="0" w:num="1">
            <w:col w:w="11263"/>
          </w:cols>
          <w:pgMar w:left="317" w:top="162" w:right="319" w:bottom="1440" w:gutter="0" w:footer="0" w:header="0"/>
        </w:sectPr>
      </w:pPr>
    </w:p>
    <w:bookmarkStart w:id="14" w:name="page15"/>
    <w:bookmarkEnd w:id="14"/>
    <w:p>
      <w:pPr>
        <w:ind w:left="540"/>
        <w:spacing w:after="0"/>
        <w:rPr>
          <w:sz w:val="20"/>
          <w:szCs w:val="20"/>
          <w:color w:val="auto"/>
        </w:rPr>
      </w:pPr>
      <w:r>
        <w:rPr>
          <w:rFonts w:ascii="Calibri" w:cs="Calibri" w:eastAsia="Calibri" w:hAnsi="Calibri"/>
          <w:sz w:val="19"/>
          <w:szCs w:val="19"/>
          <w:b w:val="1"/>
          <w:bCs w:val="1"/>
          <w:color w:val="auto"/>
        </w:rPr>
        <w:t>CYBIN INC.</w:t>
      </w:r>
    </w:p>
    <w:p>
      <w:pPr>
        <w:ind w:left="540"/>
        <w:spacing w:after="0" w:line="238" w:lineRule="auto"/>
        <w:rPr>
          <w:sz w:val="20"/>
          <w:szCs w:val="20"/>
          <w:color w:val="auto"/>
        </w:rPr>
      </w:pPr>
      <w:r>
        <w:rPr>
          <w:rFonts w:ascii="Calibri" w:cs="Calibri" w:eastAsia="Calibri" w:hAnsi="Calibri"/>
          <w:sz w:val="19"/>
          <w:szCs w:val="19"/>
          <w:b w:val="1"/>
          <w:bCs w:val="1"/>
          <w:color w:val="auto"/>
        </w:rPr>
        <w:t>NOTES TO THE CONDENSED INTERIM CONSOLIDATED FINANCIAL STATEMENTS</w:t>
      </w:r>
    </w:p>
    <w:p>
      <w:pPr>
        <w:ind w:left="540"/>
        <w:spacing w:after="0" w:line="234" w:lineRule="auto"/>
        <w:rPr>
          <w:sz w:val="20"/>
          <w:szCs w:val="20"/>
          <w:color w:val="auto"/>
        </w:rPr>
      </w:pPr>
      <w:r>
        <w:rPr>
          <w:rFonts w:ascii="Calibri" w:cs="Calibri" w:eastAsia="Calibri" w:hAnsi="Calibri"/>
          <w:sz w:val="18"/>
          <w:szCs w:val="18"/>
          <w:b w:val="1"/>
          <w:bCs w:val="1"/>
          <w:color w:val="auto"/>
        </w:rPr>
        <w:t>For the three and nine months ended December 31, 2022 and December 31, 2021</w:t>
      </w:r>
    </w:p>
    <w:p>
      <w:pPr>
        <w:spacing w:after="0" w:line="7" w:lineRule="exact"/>
        <w:rPr>
          <w:sz w:val="20"/>
          <w:szCs w:val="20"/>
          <w:color w:val="auto"/>
        </w:rPr>
      </w:pPr>
    </w:p>
    <w:p>
      <w:pPr>
        <w:ind w:left="540"/>
        <w:spacing w:after="0"/>
        <w:rPr>
          <w:sz w:val="20"/>
          <w:szCs w:val="20"/>
          <w:color w:val="auto"/>
        </w:rPr>
      </w:pPr>
      <w:r>
        <w:rPr>
          <w:rFonts w:ascii="Calibri" w:cs="Calibri" w:eastAsia="Calibri" w:hAnsi="Calibri"/>
          <w:sz w:val="16"/>
          <w:szCs w:val="16"/>
          <w:b w:val="1"/>
          <w:bCs w:val="1"/>
          <w:color w:val="auto"/>
        </w:rPr>
        <w:t>(All amounts expressed in thousands of Canadian dollars, except share and per share amounts and those amounts indicated as being in US dollars, which</w:t>
      </w:r>
    </w:p>
    <w:p>
      <w:pPr>
        <w:ind w:left="540"/>
        <w:spacing w:after="0" w:line="238" w:lineRule="auto"/>
        <w:rPr>
          <w:sz w:val="20"/>
          <w:szCs w:val="20"/>
          <w:color w:val="auto"/>
        </w:rPr>
      </w:pPr>
      <w:r>
        <w:rPr>
          <w:rFonts w:ascii="Calibri" w:cs="Calibri" w:eastAsia="Calibri" w:hAnsi="Calibri"/>
          <w:sz w:val="16"/>
          <w:szCs w:val="16"/>
          <w:b w:val="1"/>
          <w:bCs w:val="1"/>
          <w:color w:val="auto"/>
        </w:rPr>
        <w:t>are in thousands of US dollars)</w:t>
      </w:r>
    </w:p>
    <w:p>
      <w:pPr>
        <w:ind w:left="54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wp:posOffset>
            </wp:positionV>
            <wp:extent cx="714629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240" w:val="left"/>
        </w:tabs>
        <w:rPr>
          <w:sz w:val="20"/>
          <w:szCs w:val="20"/>
          <w:color w:val="auto"/>
        </w:rPr>
      </w:pPr>
      <w:r>
        <w:rPr>
          <w:rFonts w:ascii="Calibri" w:cs="Calibri" w:eastAsia="Calibri" w:hAnsi="Calibri"/>
          <w:sz w:val="16"/>
          <w:szCs w:val="16"/>
          <w:b w:val="1"/>
          <w:bCs w:val="1"/>
          <w:color w:val="2D5F91"/>
        </w:rPr>
        <w:t>8.</w:t>
      </w:r>
      <w:r>
        <w:rPr>
          <w:sz w:val="20"/>
          <w:szCs w:val="20"/>
          <w:color w:val="auto"/>
        </w:rPr>
        <w:tab/>
      </w:r>
      <w:r>
        <w:rPr>
          <w:rFonts w:ascii="Calibri" w:cs="Calibri" w:eastAsia="Calibri" w:hAnsi="Calibri"/>
          <w:sz w:val="15"/>
          <w:szCs w:val="15"/>
          <w:b w:val="1"/>
          <w:bCs w:val="1"/>
          <w:color w:val="2D5F91"/>
        </w:rPr>
        <w:t>SHARE CAPITAL</w:t>
      </w:r>
    </w:p>
    <w:p>
      <w:pPr>
        <w:spacing w:after="0" w:line="168" w:lineRule="exact"/>
        <w:rPr>
          <w:sz w:val="20"/>
          <w:szCs w:val="20"/>
          <w:color w:val="auto"/>
        </w:rPr>
      </w:pPr>
    </w:p>
    <w:p>
      <w:pPr>
        <w:ind w:left="580" w:hanging="292"/>
        <w:spacing w:after="0"/>
        <w:tabs>
          <w:tab w:leader="none" w:pos="580" w:val="left"/>
        </w:tabs>
        <w:numPr>
          <w:ilvl w:val="0"/>
          <w:numId w:val="2"/>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Authorized share capital</w:t>
      </w:r>
    </w:p>
    <w:p>
      <w:pPr>
        <w:spacing w:after="0" w:line="158" w:lineRule="exact"/>
        <w:rPr>
          <w:sz w:val="20"/>
          <w:szCs w:val="20"/>
          <w:color w:val="auto"/>
        </w:rPr>
      </w:pPr>
    </w:p>
    <w:p>
      <w:pPr>
        <w:ind w:left="280" w:right="20"/>
        <w:spacing w:after="0" w:line="237" w:lineRule="auto"/>
        <w:rPr>
          <w:sz w:val="20"/>
          <w:szCs w:val="20"/>
          <w:color w:val="auto"/>
        </w:rPr>
      </w:pPr>
      <w:r>
        <w:rPr>
          <w:rFonts w:ascii="Calibri" w:cs="Calibri" w:eastAsia="Calibri" w:hAnsi="Calibri"/>
          <w:sz w:val="16"/>
          <w:szCs w:val="16"/>
          <w:color w:val="auto"/>
        </w:rPr>
        <w:t>Unlimited number of Common Shares and an unlimited number of preferred shares without par value. The board of directors of Cybin would determine the designaton, rights, privileges, and conditons atached to any preferred shares prior to issuance.</w:t>
      </w:r>
    </w:p>
    <w:p>
      <w:pPr>
        <w:spacing w:after="0" w:line="158" w:lineRule="exact"/>
        <w:rPr>
          <w:sz w:val="20"/>
          <w:szCs w:val="20"/>
          <w:color w:val="auto"/>
        </w:rPr>
      </w:pPr>
    </w:p>
    <w:p>
      <w:pPr>
        <w:ind w:left="560" w:hanging="272"/>
        <w:spacing w:after="0"/>
        <w:tabs>
          <w:tab w:leader="none" w:pos="560" w:val="left"/>
        </w:tabs>
        <w:numPr>
          <w:ilvl w:val="0"/>
          <w:numId w:val="3"/>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Issued share capital</w:t>
      </w:r>
    </w:p>
    <w:p>
      <w:pPr>
        <w:spacing w:after="0" w:line="16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Common Shares</w:t>
      </w:r>
    </w:p>
    <w:p>
      <w:pPr>
        <w:spacing w:after="0" w:line="158"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On August 8, 2022, the Company established an at-the-market equity program (the “ATM Program”) that allows the Company to issue and sell up to US$35,000 of Common Shares from treasury to the public, from tme to tme. Distributons of Common Shares under the ATM Program are made pursuant to the terms and conditons of an at-the-market equity distributon agreement (the “Distributon Agreement”) dated August 8, 2022 among the Company, Cantor Fitzgerald Canada Corporaton and Cantor Fitzgerald &amp; Co. The ATM Program is efectve untl the earlier of the issuance and sale of all of the Common Shares issuable pursuant to the ATM Program and August 5, 2023 unless earlier terminated in accordance with the terms of the Distributon Agreement.</w:t>
      </w:r>
    </w:p>
    <w:p>
      <w:pPr>
        <w:spacing w:after="0" w:line="159" w:lineRule="exact"/>
        <w:rPr>
          <w:sz w:val="20"/>
          <w:szCs w:val="20"/>
          <w:color w:val="auto"/>
        </w:rPr>
      </w:pPr>
    </w:p>
    <w:p>
      <w:pPr>
        <w:jc w:val="both"/>
        <w:ind w:left="280" w:right="20"/>
        <w:spacing w:after="0" w:line="238" w:lineRule="auto"/>
        <w:rPr>
          <w:sz w:val="20"/>
          <w:szCs w:val="20"/>
          <w:color w:val="auto"/>
        </w:rPr>
      </w:pPr>
      <w:r>
        <w:rPr>
          <w:rFonts w:ascii="Calibri" w:cs="Calibri" w:eastAsia="Calibri" w:hAnsi="Calibri"/>
          <w:sz w:val="16"/>
          <w:szCs w:val="16"/>
          <w:color w:val="auto"/>
        </w:rPr>
        <w:t>Up to December 31, 2022, the Company had sold 11,258,683 Common Shares under the ATM program at an average price of $0.7837 (US$0.5857) per Common Share, for aggregate gross proceeds of $8,823 (US$6,594). During the three month period ended December 31, 2022, the Company had sold 5,927,053 Common Shares under the ATM program at an average price of $0.6191 (US$0.4544) per Common Share, for aggregate gross proceeds of $3,669 (US$2,693). Share issuance costs for the three and nine month periods ended December 31, 2022 were $210 and $766, respectvely.</w:t>
      </w:r>
    </w:p>
    <w:p>
      <w:pPr>
        <w:spacing w:after="0" w:line="169"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Preferred Shares</w:t>
      </w:r>
    </w:p>
    <w:p>
      <w:pPr>
        <w:spacing w:after="0" w:line="156"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As at December 31, 2022 the Company has nil preferred shares outstanding (March 31, 2022 - nil).</w:t>
      </w:r>
    </w:p>
    <w:p>
      <w:pPr>
        <w:spacing w:after="0" w:line="156"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Cybin US Class B Shares</w:t>
      </w:r>
    </w:p>
    <w:p>
      <w:pPr>
        <w:spacing w:after="0" w:line="35"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4380" w:type="dxa"/>
            <w:vAlign w:val="bottom"/>
          </w:tcPr>
          <w:p>
            <w:pPr>
              <w:jc w:val="right"/>
              <w:spacing w:after="0"/>
              <w:rPr>
                <w:sz w:val="20"/>
                <w:szCs w:val="20"/>
                <w:color w:val="auto"/>
              </w:rPr>
            </w:pPr>
            <w:r>
              <w:rPr>
                <w:rFonts w:ascii="Calibri" w:cs="Calibri" w:eastAsia="Calibri" w:hAnsi="Calibri"/>
                <w:sz w:val="16"/>
                <w:szCs w:val="16"/>
                <w:b w:val="1"/>
                <w:bCs w:val="1"/>
                <w:color w:val="auto"/>
              </w:rPr>
              <w:t>Number of Class B Shares</w:t>
            </w:r>
          </w:p>
        </w:tc>
      </w:tr>
      <w:tr>
        <w:trPr>
          <w:trHeight w:val="21"/>
        </w:trPr>
        <w:tc>
          <w:tcPr>
            <w:tcW w:w="620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185"/>
        </w:trPr>
        <w:tc>
          <w:tcPr>
            <w:tcW w:w="6200" w:type="dxa"/>
            <w:vAlign w:val="bottom"/>
          </w:tcPr>
          <w:p>
            <w:pPr>
              <w:ind w:left="40"/>
              <w:spacing w:after="0" w:line="185" w:lineRule="exact"/>
              <w:rPr>
                <w:sz w:val="20"/>
                <w:szCs w:val="20"/>
                <w:color w:val="auto"/>
              </w:rPr>
            </w:pPr>
            <w:r>
              <w:rPr>
                <w:rFonts w:ascii="Calibri" w:cs="Calibri" w:eastAsia="Calibri" w:hAnsi="Calibri"/>
                <w:sz w:val="16"/>
                <w:szCs w:val="16"/>
                <w:b w:val="1"/>
                <w:bCs w:val="1"/>
                <w:color w:val="auto"/>
              </w:rPr>
              <w:t>Balance as at March 31, 2022</w:t>
            </w:r>
          </w:p>
        </w:tc>
        <w:tc>
          <w:tcPr>
            <w:tcW w:w="4380" w:type="dxa"/>
            <w:vAlign w:val="bottom"/>
          </w:tcPr>
          <w:p>
            <w:pPr>
              <w:jc w:val="right"/>
              <w:spacing w:after="0" w:line="185" w:lineRule="exact"/>
              <w:rPr>
                <w:sz w:val="20"/>
                <w:szCs w:val="20"/>
                <w:color w:val="auto"/>
              </w:rPr>
            </w:pPr>
            <w:r>
              <w:rPr>
                <w:rFonts w:ascii="Calibri" w:cs="Calibri" w:eastAsia="Calibri" w:hAnsi="Calibri"/>
                <w:sz w:val="16"/>
                <w:szCs w:val="16"/>
                <w:color w:val="auto"/>
              </w:rPr>
              <w:t>1,047,135.1</w:t>
            </w:r>
          </w:p>
        </w:tc>
      </w:tr>
      <w:tr>
        <w:trPr>
          <w:trHeight w:val="198"/>
        </w:trPr>
        <w:tc>
          <w:tcPr>
            <w:tcW w:w="6200" w:type="dxa"/>
            <w:vAlign w:val="bottom"/>
          </w:tcPr>
          <w:p>
            <w:pPr>
              <w:ind w:left="40"/>
              <w:spacing w:after="0"/>
              <w:rPr>
                <w:sz w:val="20"/>
                <w:szCs w:val="20"/>
                <w:color w:val="auto"/>
              </w:rPr>
            </w:pPr>
            <w:r>
              <w:rPr>
                <w:rFonts w:ascii="Calibri" w:cs="Calibri" w:eastAsia="Calibri" w:hAnsi="Calibri"/>
                <w:sz w:val="16"/>
                <w:szCs w:val="16"/>
                <w:color w:val="auto"/>
              </w:rPr>
              <w:t>Issued on achievement of milestones</w:t>
            </w:r>
          </w:p>
        </w:tc>
        <w:tc>
          <w:tcPr>
            <w:tcW w:w="4380" w:type="dxa"/>
            <w:vAlign w:val="bottom"/>
          </w:tcPr>
          <w:p>
            <w:pPr>
              <w:jc w:val="right"/>
              <w:spacing w:after="0"/>
              <w:rPr>
                <w:sz w:val="20"/>
                <w:szCs w:val="20"/>
                <w:color w:val="auto"/>
              </w:rPr>
            </w:pPr>
            <w:r>
              <w:rPr>
                <w:rFonts w:ascii="Calibri" w:cs="Calibri" w:eastAsia="Calibri" w:hAnsi="Calibri"/>
                <w:sz w:val="16"/>
                <w:szCs w:val="16"/>
                <w:color w:val="auto"/>
              </w:rPr>
              <w:t>360,374.2</w:t>
            </w:r>
          </w:p>
        </w:tc>
      </w:tr>
      <w:tr>
        <w:trPr>
          <w:trHeight w:val="206"/>
        </w:trPr>
        <w:tc>
          <w:tcPr>
            <w:tcW w:w="6200" w:type="dxa"/>
            <w:vAlign w:val="bottom"/>
          </w:tcPr>
          <w:p>
            <w:pPr>
              <w:ind w:left="40"/>
              <w:spacing w:after="0"/>
              <w:rPr>
                <w:sz w:val="20"/>
                <w:szCs w:val="20"/>
                <w:color w:val="auto"/>
              </w:rPr>
            </w:pPr>
            <w:r>
              <w:rPr>
                <w:rFonts w:ascii="Calibri" w:cs="Calibri" w:eastAsia="Calibri" w:hAnsi="Calibri"/>
                <w:sz w:val="16"/>
                <w:szCs w:val="16"/>
                <w:color w:val="auto"/>
              </w:rPr>
              <w:t>Converted into Common Shares</w:t>
            </w:r>
          </w:p>
        </w:tc>
        <w:tc>
          <w:tcPr>
            <w:tcW w:w="4380" w:type="dxa"/>
            <w:vAlign w:val="bottom"/>
          </w:tcPr>
          <w:p>
            <w:pPr>
              <w:jc w:val="right"/>
              <w:spacing w:after="0"/>
              <w:rPr>
                <w:sz w:val="20"/>
                <w:szCs w:val="20"/>
                <w:color w:val="auto"/>
              </w:rPr>
            </w:pPr>
            <w:r>
              <w:rPr>
                <w:rFonts w:ascii="Calibri" w:cs="Calibri" w:eastAsia="Calibri" w:hAnsi="Calibri"/>
                <w:sz w:val="16"/>
                <w:szCs w:val="16"/>
                <w:color w:val="auto"/>
              </w:rPr>
              <w:t>(129,280.2)</w:t>
            </w:r>
          </w:p>
        </w:tc>
      </w:tr>
      <w:tr>
        <w:trPr>
          <w:trHeight w:val="21"/>
        </w:trPr>
        <w:tc>
          <w:tcPr>
            <w:tcW w:w="6200" w:type="dxa"/>
            <w:vAlign w:val="bottom"/>
            <w:tcBorders>
              <w:bottom w:val="single" w:sz="8" w:color="929292"/>
            </w:tcBorders>
          </w:tcPr>
          <w:p>
            <w:pPr>
              <w:spacing w:after="0" w:line="20" w:lineRule="exact"/>
              <w:rPr>
                <w:sz w:val="1"/>
                <w:szCs w:val="1"/>
                <w:color w:val="auto"/>
              </w:rPr>
            </w:pPr>
          </w:p>
        </w:tc>
        <w:tc>
          <w:tcPr>
            <w:tcW w:w="4380" w:type="dxa"/>
            <w:vAlign w:val="bottom"/>
            <w:tcBorders>
              <w:bottom w:val="single" w:sz="8" w:color="auto"/>
            </w:tcBorders>
          </w:tcPr>
          <w:p>
            <w:pPr>
              <w:spacing w:after="0" w:line="20" w:lineRule="exact"/>
              <w:rPr>
                <w:sz w:val="1"/>
                <w:szCs w:val="1"/>
                <w:color w:val="auto"/>
              </w:rPr>
            </w:pPr>
          </w:p>
        </w:tc>
      </w:tr>
      <w:tr>
        <w:trPr>
          <w:trHeight w:val="192"/>
        </w:trPr>
        <w:tc>
          <w:tcPr>
            <w:tcW w:w="6200" w:type="dxa"/>
            <w:vAlign w:val="bottom"/>
            <w:tcBorders>
              <w:bottom w:val="single" w:sz="8" w:color="auto"/>
            </w:tcBorders>
          </w:tcPr>
          <w:p>
            <w:pPr>
              <w:ind w:left="40"/>
              <w:spacing w:after="0" w:line="192" w:lineRule="exact"/>
              <w:rPr>
                <w:sz w:val="20"/>
                <w:szCs w:val="20"/>
                <w:color w:val="auto"/>
              </w:rPr>
            </w:pPr>
            <w:r>
              <w:rPr>
                <w:rFonts w:ascii="Calibri" w:cs="Calibri" w:eastAsia="Calibri" w:hAnsi="Calibri"/>
                <w:sz w:val="16"/>
                <w:szCs w:val="16"/>
                <w:b w:val="1"/>
                <w:bCs w:val="1"/>
                <w:color w:val="auto"/>
              </w:rPr>
              <w:t>Balance as at December 31, 2022</w:t>
            </w:r>
          </w:p>
        </w:tc>
        <w:tc>
          <w:tcPr>
            <w:tcW w:w="43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1,278,229.1</w:t>
            </w:r>
          </w:p>
        </w:tc>
      </w:tr>
    </w:tbl>
    <w:p>
      <w:pPr>
        <w:spacing w:after="0" w:line="223" w:lineRule="exact"/>
        <w:rPr>
          <w:sz w:val="20"/>
          <w:szCs w:val="20"/>
          <w:color w:val="auto"/>
        </w:rPr>
      </w:pPr>
    </w:p>
    <w:p>
      <w:pPr>
        <w:jc w:val="both"/>
        <w:ind w:left="280"/>
        <w:spacing w:after="0" w:line="260" w:lineRule="auto"/>
        <w:rPr>
          <w:sz w:val="20"/>
          <w:szCs w:val="20"/>
          <w:color w:val="auto"/>
        </w:rPr>
      </w:pPr>
      <w:r>
        <w:rPr>
          <w:rFonts w:ascii="Calibri" w:cs="Calibri" w:eastAsia="Calibri" w:hAnsi="Calibri"/>
          <w:sz w:val="15"/>
          <w:szCs w:val="15"/>
          <w:color w:val="auto"/>
        </w:rPr>
        <w:t>As at December 31, 2022, 1,278,229.1 Class B Shares were outstanding (March 31, 2022 - 1,047,135.1), which are exchangeable for a total of 12,782,291, Common Shares (March 31, 2022 - 10,471,351). As of December 31, 2022, 747,687.3 Class B shares are exchangeable into Common Shares, and the remaining 530,541.8 Class B shares will be exchangeable as of December 14, 2023. These condensed interim consolidated fnancial statements refect all of the issued Class B Shares on an as-converted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12 of 25</w:t>
      </w:r>
    </w:p>
    <w:p>
      <w:pPr>
        <w:sectPr>
          <w:pgSz w:w="11900" w:h="16838" w:orient="portrait"/>
          <w:cols w:equalWidth="0" w:num="1">
            <w:col w:w="11260"/>
          </w:cols>
          <w:pgMar w:left="320" w:top="162" w:right="319" w:bottom="1440" w:gutter="0" w:footer="0" w:header="0"/>
        </w:sectPr>
      </w:pPr>
    </w:p>
    <w:bookmarkStart w:id="15" w:name="page16"/>
    <w:bookmarkEnd w:id="15"/>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nine-month period ended December 31, 2022, the Company completed the following Class B Shares issuances and conversions:</w:t>
      </w:r>
    </w:p>
    <w:p>
      <w:pPr>
        <w:spacing w:after="0" w:line="171"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April 1, 2022, 22,428.3 Class B Shares were issued to Former Adelia Shareholders due to the achievement of the Milestone identfed as Year 2 Q2 (iv), having an aggregate value of $229 at a price per Class B Share of $10.20. These Class B Shares are exchangeable for a total of 224,283 Common Shares, representng an efectve issue price of $1.02 per Common Share. In consideraton for the Milestone achieved, on June 22, 2022, an additonal 456.5 Class B Shares having an aggregate value of $5 were issued to Former Adelia Shareholders.</w:t>
      </w:r>
    </w:p>
    <w:p>
      <w:pPr>
        <w:spacing w:after="0" w:line="145"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On May 5, 2022, a Former Adelia Shareholder exchanged 38,023 Class B Shares for 380,230 Common Shares.</w:t>
      </w:r>
    </w:p>
    <w:p>
      <w:pPr>
        <w:spacing w:after="0" w:line="158"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June 24, 2022, 266,933.1 Class B Shares were issued to Former Adelia Shareholders due to the achievement of certain Milestones identfed as Y2, Q2 (i), (vi), Y2, Q3 (ii), Year 2 Q4 (i) and Year 3 Q1 (i), (ii), (iii), having an aggregate value of $2,033 at a price per Class B Share of $7.62. These Class B Shares are exchangeable for a total of 2,669,331 Common Shares, representng an efectve issue price of $0.762 per Common Share.</w:t>
      </w:r>
    </w:p>
    <w:p>
      <w:pPr>
        <w:spacing w:after="0" w:line="171"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June 27, 2022, 37,366.2 Class B Shares were issued to Former Adelia Shareholders due to the achievement of the Milestone identfed as Y2, Q3 (i), having an aggregate value of $280 at a price per Class B Share of $7.50. These Class B Shares are exchangeable for a total of 373,662 Common Shares, representng an efectve issue price of $0.75 per Common Share.</w:t>
      </w:r>
    </w:p>
    <w:p>
      <w:pPr>
        <w:spacing w:after="0" w:line="159"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August 31, 2022, 33,190.1 Class B Shares were issued to Former Adelia Shareholders due to the achievement of the Milestone identfed as Y2, Q4 (ii), having an aggregate value of $468 at a price per Class B Share of $14.10. These Class B Shares are exchangeable for a total of 331,901 Common Shares, representng an efectve issue price of $1.41 per Common Share.</w:t>
      </w:r>
    </w:p>
    <w:p>
      <w:pPr>
        <w:spacing w:after="0" w:line="15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On October 7, 2022, Former Adelia Shareholders exchanged 91,257.2 Class B Shares for 912,572 Common Shares.</w:t>
      </w:r>
    </w:p>
    <w:p>
      <w:pPr>
        <w:spacing w:after="0" w:line="16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With the fulfllment of all of the remaining milestones during the period, it is not antcipated that any additonal Class B Shares will be issued.</w:t>
      </w:r>
    </w:p>
    <w:p>
      <w:pPr>
        <w:spacing w:after="0" w:line="128"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160" w:type="dxa"/>
            <w:vAlign w:val="bottom"/>
            <w:gridSpan w:val="3"/>
          </w:tcPr>
          <w:p>
            <w:pPr>
              <w:spacing w:after="0"/>
              <w:rPr>
                <w:sz w:val="20"/>
                <w:szCs w:val="20"/>
                <w:color w:val="auto"/>
              </w:rPr>
            </w:pPr>
            <w:r>
              <w:rPr>
                <w:rFonts w:ascii="Calibri" w:cs="Calibri" w:eastAsia="Calibri" w:hAnsi="Calibri"/>
                <w:sz w:val="16"/>
                <w:szCs w:val="16"/>
                <w:b w:val="1"/>
                <w:bCs w:val="1"/>
                <w:i w:val="1"/>
                <w:iCs w:val="1"/>
                <w:color w:val="auto"/>
              </w:rPr>
              <w:t xml:space="preserve">c)  </w:t>
            </w:r>
            <w:r>
              <w:rPr>
                <w:rFonts w:ascii="Calibri" w:cs="Calibri" w:eastAsia="Calibri" w:hAnsi="Calibri"/>
                <w:sz w:val="16"/>
                <w:szCs w:val="16"/>
                <w:b w:val="1"/>
                <w:bCs w:val="1"/>
                <w:color w:val="auto"/>
              </w:rPr>
              <w:t>Warrants</w:t>
            </w:r>
          </w:p>
        </w:tc>
        <w:tc>
          <w:tcPr>
            <w:tcW w:w="158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20"/>
        </w:trPr>
        <w:tc>
          <w:tcPr>
            <w:tcW w:w="3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20"/>
        </w:trPr>
        <w:tc>
          <w:tcPr>
            <w:tcW w:w="7160" w:type="dxa"/>
            <w:vAlign w:val="bottom"/>
            <w:gridSpan w:val="3"/>
          </w:tcPr>
          <w:p>
            <w:pPr>
              <w:spacing w:after="0"/>
              <w:rPr>
                <w:sz w:val="20"/>
                <w:szCs w:val="20"/>
                <w:color w:val="auto"/>
              </w:rPr>
            </w:pPr>
            <w:r>
              <w:rPr>
                <w:rFonts w:ascii="Calibri" w:cs="Calibri" w:eastAsia="Calibri" w:hAnsi="Calibri"/>
                <w:sz w:val="16"/>
                <w:szCs w:val="16"/>
                <w:color w:val="auto"/>
              </w:rPr>
              <w:t>The contnuity of the outstanding warrants for the nine-month period ended December 31, 2022 is as follows:</w:t>
            </w:r>
          </w:p>
        </w:tc>
        <w:tc>
          <w:tcPr>
            <w:tcW w:w="15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52"/>
        </w:trPr>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w w:val="98"/>
              </w:rPr>
              <w:t>Weighted average exercise</w:t>
            </w:r>
          </w:p>
        </w:tc>
      </w:tr>
      <w:tr>
        <w:trPr>
          <w:trHeight w:val="205"/>
        </w:trPr>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58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Number of Warrants</w:t>
            </w:r>
          </w:p>
        </w:tc>
        <w:tc>
          <w:tcPr>
            <w:tcW w:w="18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price</w:t>
            </w:r>
          </w:p>
        </w:tc>
      </w:tr>
      <w:tr>
        <w:trPr>
          <w:trHeight w:val="206"/>
        </w:trPr>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06"/>
        </w:trPr>
        <w:tc>
          <w:tcPr>
            <w:tcW w:w="7160" w:type="dxa"/>
            <w:vAlign w:val="bottom"/>
            <w:gridSpan w:val="3"/>
          </w:tcPr>
          <w:p>
            <w:pPr>
              <w:ind w:left="60"/>
              <w:spacing w:after="0"/>
              <w:rPr>
                <w:sz w:val="20"/>
                <w:szCs w:val="20"/>
                <w:color w:val="auto"/>
              </w:rPr>
            </w:pPr>
            <w:r>
              <w:rPr>
                <w:rFonts w:ascii="Calibri" w:cs="Calibri" w:eastAsia="Calibri" w:hAnsi="Calibri"/>
                <w:sz w:val="16"/>
                <w:szCs w:val="16"/>
                <w:b w:val="1"/>
                <w:bCs w:val="1"/>
                <w:i w:val="1"/>
                <w:iCs w:val="1"/>
                <w:color w:val="auto"/>
              </w:rPr>
              <w:t>Common Share Purchase Warrants</w:t>
            </w:r>
          </w:p>
        </w:tc>
        <w:tc>
          <w:tcPr>
            <w:tcW w:w="1580" w:type="dxa"/>
            <w:vAlign w:val="bottom"/>
          </w:tcPr>
          <w:p>
            <w:pPr>
              <w:spacing w:after="0"/>
              <w:rPr>
                <w:sz w:val="17"/>
                <w:szCs w:val="17"/>
                <w:color w:val="auto"/>
              </w:rPr>
            </w:pPr>
          </w:p>
        </w:tc>
        <w:tc>
          <w:tcPr>
            <w:tcW w:w="1840" w:type="dxa"/>
            <w:vAlign w:val="bottom"/>
          </w:tcPr>
          <w:p>
            <w:pPr>
              <w:spacing w:after="0"/>
              <w:rPr>
                <w:sz w:val="17"/>
                <w:szCs w:val="17"/>
                <w:color w:val="auto"/>
              </w:rPr>
            </w:pPr>
          </w:p>
        </w:tc>
      </w:tr>
      <w:tr>
        <w:trPr>
          <w:trHeight w:val="21"/>
        </w:trPr>
        <w:tc>
          <w:tcPr>
            <w:tcW w:w="7160" w:type="dxa"/>
            <w:vAlign w:val="bottom"/>
            <w:tcBorders>
              <w:bottom w:val="single" w:sz="8" w:color="auto"/>
            </w:tcBorders>
            <w:gridSpan w:val="3"/>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85"/>
        </w:trPr>
        <w:tc>
          <w:tcPr>
            <w:tcW w:w="7160" w:type="dxa"/>
            <w:vAlign w:val="bottom"/>
            <w:gridSpan w:val="3"/>
          </w:tcPr>
          <w:p>
            <w:pPr>
              <w:ind w:left="60"/>
              <w:spacing w:after="0" w:line="185" w:lineRule="exact"/>
              <w:rPr>
                <w:sz w:val="20"/>
                <w:szCs w:val="20"/>
                <w:color w:val="auto"/>
              </w:rPr>
            </w:pPr>
            <w:r>
              <w:rPr>
                <w:rFonts w:ascii="Calibri" w:cs="Calibri" w:eastAsia="Calibri" w:hAnsi="Calibri"/>
                <w:sz w:val="16"/>
                <w:szCs w:val="16"/>
                <w:color w:val="auto"/>
              </w:rPr>
              <w:t>As at March 31, 2022</w:t>
            </w:r>
          </w:p>
        </w:tc>
        <w:tc>
          <w:tcPr>
            <w:tcW w:w="1580" w:type="dxa"/>
            <w:vAlign w:val="bottom"/>
          </w:tcPr>
          <w:p>
            <w:pPr>
              <w:jc w:val="right"/>
              <w:ind w:right="19"/>
              <w:spacing w:after="0" w:line="185" w:lineRule="exact"/>
              <w:rPr>
                <w:sz w:val="20"/>
                <w:szCs w:val="20"/>
                <w:color w:val="auto"/>
              </w:rPr>
            </w:pPr>
            <w:r>
              <w:rPr>
                <w:rFonts w:ascii="Calibri" w:cs="Calibri" w:eastAsia="Calibri" w:hAnsi="Calibri"/>
                <w:sz w:val="16"/>
                <w:szCs w:val="16"/>
                <w:color w:val="auto"/>
              </w:rPr>
              <w:t>25,548,836</w:t>
            </w:r>
          </w:p>
        </w:tc>
        <w:tc>
          <w:tcPr>
            <w:tcW w:w="1840" w:type="dxa"/>
            <w:vAlign w:val="bottom"/>
          </w:tcPr>
          <w:p>
            <w:pPr>
              <w:jc w:val="right"/>
              <w:spacing w:after="0" w:line="185" w:lineRule="exact"/>
              <w:rPr>
                <w:sz w:val="20"/>
                <w:szCs w:val="20"/>
                <w:color w:val="auto"/>
              </w:rPr>
            </w:pPr>
            <w:r>
              <w:rPr>
                <w:rFonts w:ascii="Calibri" w:cs="Calibri" w:eastAsia="Calibri" w:hAnsi="Calibri"/>
                <w:sz w:val="16"/>
                <w:szCs w:val="16"/>
                <w:color w:val="auto"/>
              </w:rPr>
              <w:t>1.22</w:t>
            </w:r>
          </w:p>
        </w:tc>
      </w:tr>
      <w:tr>
        <w:trPr>
          <w:trHeight w:val="198"/>
        </w:trPr>
        <w:tc>
          <w:tcPr>
            <w:tcW w:w="7160" w:type="dxa"/>
            <w:vAlign w:val="bottom"/>
            <w:gridSpan w:val="3"/>
          </w:tcPr>
          <w:p>
            <w:pPr>
              <w:ind w:left="60"/>
              <w:spacing w:after="0"/>
              <w:rPr>
                <w:sz w:val="20"/>
                <w:szCs w:val="20"/>
                <w:color w:val="auto"/>
              </w:rPr>
            </w:pPr>
            <w:r>
              <w:rPr>
                <w:rFonts w:ascii="Calibri" w:cs="Calibri" w:eastAsia="Calibri" w:hAnsi="Calibri"/>
                <w:sz w:val="16"/>
                <w:szCs w:val="16"/>
                <w:color w:val="auto"/>
              </w:rPr>
              <w:t>Exercised</w:t>
            </w:r>
          </w:p>
        </w:tc>
        <w:tc>
          <w:tcPr>
            <w:tcW w:w="1580" w:type="dxa"/>
            <w:vAlign w:val="bottom"/>
          </w:tcPr>
          <w:p>
            <w:pPr>
              <w:jc w:val="right"/>
              <w:ind w:right="19"/>
              <w:spacing w:after="0"/>
              <w:rPr>
                <w:sz w:val="20"/>
                <w:szCs w:val="20"/>
                <w:color w:val="auto"/>
              </w:rPr>
            </w:pPr>
            <w:r>
              <w:rPr>
                <w:rFonts w:ascii="Calibri" w:cs="Calibri" w:eastAsia="Calibri" w:hAnsi="Calibri"/>
                <w:sz w:val="16"/>
                <w:szCs w:val="16"/>
                <w:color w:val="auto"/>
              </w:rPr>
              <w:t>(1,164,638)</w:t>
            </w:r>
          </w:p>
        </w:tc>
        <w:tc>
          <w:tcPr>
            <w:tcW w:w="1840" w:type="dxa"/>
            <w:vAlign w:val="bottom"/>
          </w:tcPr>
          <w:p>
            <w:pPr>
              <w:jc w:val="right"/>
              <w:spacing w:after="0"/>
              <w:rPr>
                <w:sz w:val="20"/>
                <w:szCs w:val="20"/>
                <w:color w:val="auto"/>
              </w:rPr>
            </w:pPr>
            <w:r>
              <w:rPr>
                <w:rFonts w:ascii="Calibri" w:cs="Calibri" w:eastAsia="Calibri" w:hAnsi="Calibri"/>
                <w:sz w:val="16"/>
                <w:szCs w:val="16"/>
                <w:color w:val="auto"/>
              </w:rPr>
              <w:t>0.31</w:t>
            </w:r>
          </w:p>
        </w:tc>
      </w:tr>
      <w:tr>
        <w:trPr>
          <w:trHeight w:val="206"/>
        </w:trPr>
        <w:tc>
          <w:tcPr>
            <w:tcW w:w="7160" w:type="dxa"/>
            <w:vAlign w:val="bottom"/>
            <w:gridSpan w:val="3"/>
          </w:tcPr>
          <w:p>
            <w:pPr>
              <w:ind w:left="60"/>
              <w:spacing w:after="0"/>
              <w:rPr>
                <w:sz w:val="20"/>
                <w:szCs w:val="20"/>
                <w:color w:val="auto"/>
              </w:rPr>
            </w:pPr>
            <w:r>
              <w:rPr>
                <w:rFonts w:ascii="Calibri" w:cs="Calibri" w:eastAsia="Calibri" w:hAnsi="Calibri"/>
                <w:sz w:val="16"/>
                <w:szCs w:val="16"/>
                <w:color w:val="auto"/>
              </w:rPr>
              <w:t>Expired</w:t>
            </w:r>
          </w:p>
        </w:tc>
        <w:tc>
          <w:tcPr>
            <w:tcW w:w="1580" w:type="dxa"/>
            <w:vAlign w:val="bottom"/>
          </w:tcPr>
          <w:p>
            <w:pPr>
              <w:jc w:val="right"/>
              <w:spacing w:after="0"/>
              <w:rPr>
                <w:sz w:val="20"/>
                <w:szCs w:val="20"/>
                <w:color w:val="auto"/>
              </w:rPr>
            </w:pPr>
            <w:r>
              <w:rPr>
                <w:rFonts w:ascii="Calibri" w:cs="Calibri" w:eastAsia="Calibri" w:hAnsi="Calibri"/>
                <w:sz w:val="16"/>
                <w:szCs w:val="16"/>
                <w:color w:val="auto"/>
              </w:rPr>
              <w:t>(1,153,713)</w:t>
            </w:r>
          </w:p>
        </w:tc>
        <w:tc>
          <w:tcPr>
            <w:tcW w:w="1840" w:type="dxa"/>
            <w:vAlign w:val="bottom"/>
          </w:tcPr>
          <w:p>
            <w:pPr>
              <w:jc w:val="right"/>
              <w:spacing w:after="0"/>
              <w:rPr>
                <w:sz w:val="20"/>
                <w:szCs w:val="20"/>
                <w:color w:val="auto"/>
              </w:rPr>
            </w:pPr>
            <w:r>
              <w:rPr>
                <w:rFonts w:ascii="Calibri" w:cs="Calibri" w:eastAsia="Calibri" w:hAnsi="Calibri"/>
                <w:sz w:val="16"/>
                <w:szCs w:val="16"/>
                <w:color w:val="auto"/>
              </w:rPr>
              <w:t>0.75</w:t>
            </w:r>
          </w:p>
        </w:tc>
      </w:tr>
      <w:tr>
        <w:trPr>
          <w:trHeight w:val="21"/>
        </w:trPr>
        <w:tc>
          <w:tcPr>
            <w:tcW w:w="7160" w:type="dxa"/>
            <w:vAlign w:val="bottom"/>
            <w:tcBorders>
              <w:bottom w:val="single" w:sz="8" w:color="auto"/>
            </w:tcBorders>
            <w:gridSpan w:val="3"/>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92"/>
        </w:trPr>
        <w:tc>
          <w:tcPr>
            <w:tcW w:w="7160" w:type="dxa"/>
            <w:vAlign w:val="bottom"/>
            <w:tcBorders>
              <w:bottom w:val="single" w:sz="8" w:color="auto"/>
            </w:tcBorders>
            <w:gridSpan w:val="3"/>
          </w:tcPr>
          <w:p>
            <w:pPr>
              <w:ind w:left="60"/>
              <w:spacing w:after="0" w:line="192" w:lineRule="exact"/>
              <w:rPr>
                <w:sz w:val="20"/>
                <w:szCs w:val="20"/>
                <w:color w:val="auto"/>
              </w:rPr>
            </w:pPr>
            <w:r>
              <w:rPr>
                <w:rFonts w:ascii="Calibri" w:cs="Calibri" w:eastAsia="Calibri" w:hAnsi="Calibri"/>
                <w:sz w:val="16"/>
                <w:szCs w:val="16"/>
                <w:b w:val="1"/>
                <w:bCs w:val="1"/>
                <w:color w:val="auto"/>
              </w:rPr>
              <w:t>Outstanding as at December 31, 2022</w:t>
            </w:r>
          </w:p>
        </w:tc>
        <w:tc>
          <w:tcPr>
            <w:tcW w:w="1580" w:type="dxa"/>
            <w:vAlign w:val="bottom"/>
            <w:tcBorders>
              <w:bottom w:val="single" w:sz="8" w:color="auto"/>
            </w:tcBorders>
          </w:tcPr>
          <w:p>
            <w:pPr>
              <w:jc w:val="right"/>
              <w:ind w:right="19"/>
              <w:spacing w:after="0" w:line="192" w:lineRule="exact"/>
              <w:rPr>
                <w:sz w:val="20"/>
                <w:szCs w:val="20"/>
                <w:color w:val="auto"/>
              </w:rPr>
            </w:pPr>
            <w:r>
              <w:rPr>
                <w:rFonts w:ascii="Calibri" w:cs="Calibri" w:eastAsia="Calibri" w:hAnsi="Calibri"/>
                <w:sz w:val="16"/>
                <w:szCs w:val="16"/>
                <w:b w:val="1"/>
                <w:bCs w:val="1"/>
                <w:color w:val="auto"/>
              </w:rPr>
              <w:t>23,230,485</w:t>
            </w:r>
          </w:p>
        </w:tc>
        <w:tc>
          <w:tcPr>
            <w:tcW w:w="18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1.29</w:t>
            </w:r>
          </w:p>
        </w:tc>
      </w:tr>
      <w:tr>
        <w:trPr>
          <w:trHeight w:val="198"/>
        </w:trPr>
        <w:tc>
          <w:tcPr>
            <w:tcW w:w="7160" w:type="dxa"/>
            <w:vAlign w:val="bottom"/>
            <w:tcBorders>
              <w:bottom w:val="single" w:sz="8" w:color="auto"/>
            </w:tcBorders>
            <w:gridSpan w:val="3"/>
          </w:tcPr>
          <w:p>
            <w:pPr>
              <w:ind w:left="60"/>
              <w:spacing w:after="0" w:line="193" w:lineRule="exact"/>
              <w:rPr>
                <w:sz w:val="20"/>
                <w:szCs w:val="20"/>
                <w:color w:val="auto"/>
              </w:rPr>
            </w:pPr>
            <w:r>
              <w:rPr>
                <w:rFonts w:ascii="Calibri" w:cs="Calibri" w:eastAsia="Calibri" w:hAnsi="Calibri"/>
                <w:sz w:val="16"/>
                <w:szCs w:val="16"/>
                <w:b w:val="1"/>
                <w:bCs w:val="1"/>
                <w:color w:val="auto"/>
              </w:rPr>
              <w:t>Exercisable as at December 31, 2022</w:t>
            </w:r>
          </w:p>
        </w:tc>
        <w:tc>
          <w:tcPr>
            <w:tcW w:w="1580" w:type="dxa"/>
            <w:vAlign w:val="bottom"/>
            <w:tcBorders>
              <w:bottom w:val="single" w:sz="8" w:color="auto"/>
            </w:tcBorders>
          </w:tcPr>
          <w:p>
            <w:pPr>
              <w:jc w:val="right"/>
              <w:ind w:right="19"/>
              <w:spacing w:after="0" w:line="193" w:lineRule="exact"/>
              <w:rPr>
                <w:sz w:val="20"/>
                <w:szCs w:val="20"/>
                <w:color w:val="auto"/>
              </w:rPr>
            </w:pPr>
            <w:r>
              <w:rPr>
                <w:rFonts w:ascii="Calibri" w:cs="Calibri" w:eastAsia="Calibri" w:hAnsi="Calibri"/>
                <w:sz w:val="16"/>
                <w:szCs w:val="16"/>
                <w:b w:val="1"/>
                <w:bCs w:val="1"/>
                <w:color w:val="auto"/>
              </w:rPr>
              <w:t>23,030,485</w:t>
            </w:r>
          </w:p>
        </w:tc>
        <w:tc>
          <w:tcPr>
            <w:tcW w:w="18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13 of 25</w:t>
      </w:r>
    </w:p>
    <w:p>
      <w:pPr>
        <w:sectPr>
          <w:pgSz w:w="11900" w:h="16838" w:orient="portrait"/>
          <w:cols w:equalWidth="0" w:num="1">
            <w:col w:w="11200"/>
          </w:cols>
          <w:pgMar w:left="380" w:top="162" w:right="319" w:bottom="1440" w:gutter="0" w:footer="0" w:header="0"/>
        </w:sectPr>
      </w:pPr>
    </w:p>
    <w:bookmarkStart w:id="16" w:name="page17"/>
    <w:bookmarkEnd w:id="16"/>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i w:val="1"/>
          <w:iCs w:val="1"/>
          <w:color w:val="auto"/>
        </w:rPr>
        <w:t>Unit Purchase Warrants</w:t>
      </w:r>
      <w:r>
        <w:rPr>
          <w:rFonts w:ascii="Calibri" w:cs="Calibri" w:eastAsia="Calibri" w:hAnsi="Calibri"/>
          <w:sz w:val="21"/>
          <w:szCs w:val="21"/>
          <w:b w:val="1"/>
          <w:bCs w:val="1"/>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-21590</wp:posOffset>
            </wp:positionV>
            <wp:extent cx="671512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715125" cy="7620"/>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76"/>
        </w:trPr>
        <w:tc>
          <w:tcPr>
            <w:tcW w:w="5320" w:type="dxa"/>
            <w:vAlign w:val="bottom"/>
          </w:tcPr>
          <w:p>
            <w:pPr>
              <w:ind w:left="60"/>
              <w:spacing w:after="0" w:line="175" w:lineRule="exact"/>
              <w:rPr>
                <w:sz w:val="20"/>
                <w:szCs w:val="20"/>
                <w:color w:val="auto"/>
              </w:rPr>
            </w:pPr>
            <w:r>
              <w:rPr>
                <w:rFonts w:ascii="Calibri" w:cs="Calibri" w:eastAsia="Calibri" w:hAnsi="Calibri"/>
                <w:sz w:val="16"/>
                <w:szCs w:val="16"/>
                <w:color w:val="auto"/>
              </w:rPr>
              <w:t>As at March 31, 2022</w:t>
            </w:r>
          </w:p>
        </w:tc>
        <w:tc>
          <w:tcPr>
            <w:tcW w:w="4120" w:type="dxa"/>
            <w:vAlign w:val="bottom"/>
          </w:tcPr>
          <w:p>
            <w:pPr>
              <w:jc w:val="right"/>
              <w:ind w:right="719"/>
              <w:spacing w:after="0" w:line="175" w:lineRule="exact"/>
              <w:rPr>
                <w:sz w:val="20"/>
                <w:szCs w:val="20"/>
                <w:color w:val="auto"/>
              </w:rPr>
            </w:pPr>
            <w:r>
              <w:rPr>
                <w:rFonts w:ascii="Calibri" w:cs="Calibri" w:eastAsia="Calibri" w:hAnsi="Calibri"/>
                <w:sz w:val="16"/>
                <w:szCs w:val="16"/>
                <w:color w:val="auto"/>
              </w:rPr>
              <w:t>868,740</w:t>
            </w:r>
          </w:p>
        </w:tc>
        <w:tc>
          <w:tcPr>
            <w:tcW w:w="1140" w:type="dxa"/>
            <w:vAlign w:val="bottom"/>
          </w:tcPr>
          <w:p>
            <w:pPr>
              <w:jc w:val="right"/>
              <w:spacing w:after="0" w:line="175" w:lineRule="exact"/>
              <w:rPr>
                <w:sz w:val="20"/>
                <w:szCs w:val="20"/>
                <w:color w:val="auto"/>
              </w:rPr>
            </w:pPr>
            <w:r>
              <w:rPr>
                <w:rFonts w:ascii="Calibri" w:cs="Calibri" w:eastAsia="Calibri" w:hAnsi="Calibri"/>
                <w:sz w:val="16"/>
                <w:szCs w:val="16"/>
                <w:color w:val="auto"/>
              </w:rPr>
              <w:t>2.25</w:t>
            </w:r>
          </w:p>
        </w:tc>
      </w:tr>
      <w:tr>
        <w:trPr>
          <w:trHeight w:val="193"/>
        </w:trPr>
        <w:tc>
          <w:tcPr>
            <w:tcW w:w="5320" w:type="dxa"/>
            <w:vAlign w:val="bottom"/>
          </w:tcPr>
          <w:p>
            <w:pPr>
              <w:ind w:left="60"/>
              <w:spacing w:after="0" w:line="193" w:lineRule="exact"/>
              <w:rPr>
                <w:sz w:val="20"/>
                <w:szCs w:val="20"/>
                <w:color w:val="auto"/>
              </w:rPr>
            </w:pPr>
            <w:r>
              <w:rPr>
                <w:rFonts w:ascii="Calibri" w:cs="Calibri" w:eastAsia="Calibri" w:hAnsi="Calibri"/>
                <w:sz w:val="16"/>
                <w:szCs w:val="16"/>
                <w:color w:val="auto"/>
              </w:rPr>
              <w:t>Exercised</w:t>
            </w:r>
          </w:p>
        </w:tc>
        <w:tc>
          <w:tcPr>
            <w:tcW w:w="4120" w:type="dxa"/>
            <w:vAlign w:val="bottom"/>
          </w:tcPr>
          <w:p>
            <w:pPr>
              <w:jc w:val="right"/>
              <w:ind w:right="719"/>
              <w:spacing w:after="0" w:line="193" w:lineRule="exact"/>
              <w:rPr>
                <w:sz w:val="20"/>
                <w:szCs w:val="20"/>
                <w:color w:val="auto"/>
              </w:rPr>
            </w:pPr>
            <w:r>
              <w:rPr>
                <w:rFonts w:ascii="Calibri" w:cs="Calibri" w:eastAsia="Calibri" w:hAnsi="Calibri"/>
                <w:sz w:val="16"/>
                <w:szCs w:val="16"/>
                <w:color w:val="auto"/>
              </w:rPr>
              <w:t>—</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color w:val="auto"/>
              </w:rPr>
              <w:t>—</w:t>
            </w:r>
          </w:p>
        </w:tc>
      </w:tr>
      <w:tr>
        <w:trPr>
          <w:trHeight w:val="21"/>
        </w:trPr>
        <w:tc>
          <w:tcPr>
            <w:tcW w:w="5320" w:type="dxa"/>
            <w:vAlign w:val="bottom"/>
            <w:tcBorders>
              <w:bottom w:val="single" w:sz="8" w:color="auto"/>
            </w:tcBorders>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2"/>
        </w:trPr>
        <w:tc>
          <w:tcPr>
            <w:tcW w:w="532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Outstanding as at December 31, 2022</w:t>
            </w:r>
          </w:p>
        </w:tc>
        <w:tc>
          <w:tcPr>
            <w:tcW w:w="4120" w:type="dxa"/>
            <w:vAlign w:val="bottom"/>
            <w:tcBorders>
              <w:bottom w:val="single" w:sz="8" w:color="auto"/>
            </w:tcBorders>
          </w:tcPr>
          <w:p>
            <w:pPr>
              <w:jc w:val="right"/>
              <w:ind w:right="719"/>
              <w:spacing w:after="0" w:line="192" w:lineRule="exact"/>
              <w:rPr>
                <w:sz w:val="20"/>
                <w:szCs w:val="20"/>
                <w:color w:val="auto"/>
              </w:rPr>
            </w:pPr>
            <w:r>
              <w:rPr>
                <w:rFonts w:ascii="Calibri" w:cs="Calibri" w:eastAsia="Calibri" w:hAnsi="Calibri"/>
                <w:sz w:val="16"/>
                <w:szCs w:val="16"/>
                <w:b w:val="1"/>
                <w:bCs w:val="1"/>
                <w:color w:val="auto"/>
              </w:rPr>
              <w:t>868,740</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2.25</w:t>
            </w:r>
          </w:p>
        </w:tc>
      </w:tr>
      <w:tr>
        <w:trPr>
          <w:trHeight w:val="198"/>
        </w:trPr>
        <w:tc>
          <w:tcPr>
            <w:tcW w:w="532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Exercisable as at December 31, 2022</w:t>
            </w:r>
          </w:p>
        </w:tc>
        <w:tc>
          <w:tcPr>
            <w:tcW w:w="4120" w:type="dxa"/>
            <w:vAlign w:val="bottom"/>
            <w:tcBorders>
              <w:bottom w:val="single" w:sz="8" w:color="auto"/>
            </w:tcBorders>
          </w:tcPr>
          <w:p>
            <w:pPr>
              <w:jc w:val="right"/>
              <w:ind w:right="719"/>
              <w:spacing w:after="0" w:line="193" w:lineRule="exact"/>
              <w:rPr>
                <w:sz w:val="20"/>
                <w:szCs w:val="20"/>
                <w:color w:val="auto"/>
              </w:rPr>
            </w:pPr>
            <w:r>
              <w:rPr>
                <w:rFonts w:ascii="Calibri" w:cs="Calibri" w:eastAsia="Calibri" w:hAnsi="Calibri"/>
                <w:sz w:val="16"/>
                <w:szCs w:val="16"/>
                <w:b w:val="1"/>
                <w:bCs w:val="1"/>
                <w:color w:val="auto"/>
              </w:rPr>
              <w:t>868,740</w:t>
            </w:r>
          </w:p>
        </w:tc>
        <w:tc>
          <w:tcPr>
            <w:tcW w:w="114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2.25</w:t>
            </w:r>
          </w:p>
        </w:tc>
      </w:tr>
    </w:tbl>
    <w:p>
      <w:pPr>
        <w:spacing w:after="0" w:line="69" w:lineRule="exact"/>
        <w:rPr>
          <w:sz w:val="20"/>
          <w:szCs w:val="20"/>
          <w:color w:val="auto"/>
        </w:rPr>
      </w:pPr>
    </w:p>
    <w:p>
      <w:pPr>
        <w:ind w:left="220" w:right="20" w:firstLine="8"/>
        <w:spacing w:after="0" w:line="210" w:lineRule="auto"/>
        <w:tabs>
          <w:tab w:leader="none" w:pos="363" w:val="left"/>
        </w:tabs>
        <w:numPr>
          <w:ilvl w:val="0"/>
          <w:numId w:val="4"/>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Each unit consists of one Common Share and one half of one Common Share purchase warrant, with each Common Share purchase warrant being exercisable to acquire one Common Share at an exercise price of $3.25 per Common Share.</w:t>
      </w:r>
    </w:p>
    <w:p>
      <w:pPr>
        <w:spacing w:after="0" w:line="224" w:lineRule="exact"/>
        <w:rPr>
          <w:sz w:val="20"/>
          <w:szCs w:val="20"/>
          <w:color w:val="auto"/>
        </w:rPr>
      </w:pPr>
    </w:p>
    <w:p>
      <w:pPr>
        <w:ind w:left="220" w:right="20"/>
        <w:spacing w:after="0" w:line="230" w:lineRule="auto"/>
        <w:rPr>
          <w:sz w:val="20"/>
          <w:szCs w:val="20"/>
          <w:color w:val="auto"/>
        </w:rPr>
      </w:pPr>
      <w:r>
        <w:rPr>
          <w:rFonts w:ascii="Calibri" w:cs="Calibri" w:eastAsia="Calibri" w:hAnsi="Calibri"/>
          <w:sz w:val="16"/>
          <w:szCs w:val="16"/>
          <w:color w:val="auto"/>
        </w:rPr>
        <w:t>During the nine months ended December 31, 2022, 1,164,638 Common Share purchase warrants were exercised by various holders for aggregate proceeds to the Company of $362. No Common Share purchase warrants were exercised during the three months ended December 31, 2022.</w:t>
      </w:r>
    </w:p>
    <w:p>
      <w:pPr>
        <w:spacing w:after="0" w:line="15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During the three and nine months ended December 31, 2022, 1,153,713 warrants with a weighted average exercise price of $0.75 expired.</w:t>
      </w:r>
    </w:p>
    <w:p>
      <w:pPr>
        <w:spacing w:after="0" w:line="156"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warrants outstanding at December 31, 2022:</w:t>
      </w:r>
    </w:p>
    <w:tbl>
      <w:tblPr>
        <w:tblLayout w:type="fixed"/>
        <w:tblInd w:w="220" w:type="dxa"/>
        <w:tblCellMar>
          <w:top w:w="0" w:type="dxa"/>
          <w:left w:w="0" w:type="dxa"/>
          <w:bottom w:w="0" w:type="dxa"/>
          <w:right w:w="0" w:type="dxa"/>
        </w:tblCellMar>
      </w:tblPr>
      <w:tr>
        <w:trPr>
          <w:trHeight w:val="195"/>
        </w:trPr>
        <w:tc>
          <w:tcPr>
            <w:tcW w:w="33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Weighted average of</w:t>
            </w:r>
          </w:p>
        </w:tc>
        <w:tc>
          <w:tcPr>
            <w:tcW w:w="0" w:type="dxa"/>
            <w:vAlign w:val="bottom"/>
          </w:tcPr>
          <w:p>
            <w:pPr>
              <w:spacing w:after="0"/>
              <w:rPr>
                <w:sz w:val="1"/>
                <w:szCs w:val="1"/>
                <w:color w:val="auto"/>
              </w:rPr>
            </w:pPr>
          </w:p>
        </w:tc>
      </w:tr>
      <w:tr>
        <w:trPr>
          <w:trHeight w:val="170"/>
        </w:trPr>
        <w:tc>
          <w:tcPr>
            <w:tcW w:w="3320" w:type="dxa"/>
            <w:vAlign w:val="bottom"/>
          </w:tcPr>
          <w:p>
            <w:pPr>
              <w:spacing w:after="0"/>
              <w:rPr>
                <w:sz w:val="14"/>
                <w:szCs w:val="14"/>
                <w:color w:val="auto"/>
              </w:rPr>
            </w:pPr>
          </w:p>
        </w:tc>
        <w:tc>
          <w:tcPr>
            <w:tcW w:w="2120" w:type="dxa"/>
            <w:vAlign w:val="bottom"/>
            <w:vMerge w:val="restart"/>
          </w:tcPr>
          <w:p>
            <w:pPr>
              <w:jc w:val="right"/>
              <w:ind w:right="259"/>
              <w:spacing w:after="0"/>
              <w:rPr>
                <w:sz w:val="20"/>
                <w:szCs w:val="20"/>
                <w:color w:val="auto"/>
              </w:rPr>
            </w:pPr>
            <w:r>
              <w:rPr>
                <w:rFonts w:ascii="Calibri" w:cs="Calibri" w:eastAsia="Calibri" w:hAnsi="Calibri"/>
                <w:sz w:val="16"/>
                <w:szCs w:val="16"/>
                <w:b w:val="1"/>
                <w:bCs w:val="1"/>
                <w:color w:val="auto"/>
              </w:rPr>
              <w:t>Warrants</w:t>
            </w:r>
          </w:p>
        </w:tc>
        <w:tc>
          <w:tcPr>
            <w:tcW w:w="114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Warrants</w:t>
            </w:r>
          </w:p>
        </w:tc>
        <w:tc>
          <w:tcPr>
            <w:tcW w:w="1640" w:type="dxa"/>
            <w:vAlign w:val="bottom"/>
            <w:vMerge w:val="restart"/>
          </w:tcPr>
          <w:p>
            <w:pPr>
              <w:jc w:val="right"/>
              <w:ind w:right="139"/>
              <w:spacing w:after="0"/>
              <w:rPr>
                <w:sz w:val="20"/>
                <w:szCs w:val="20"/>
                <w:color w:val="auto"/>
              </w:rPr>
            </w:pPr>
            <w:r>
              <w:rPr>
                <w:rFonts w:ascii="Calibri" w:cs="Calibri" w:eastAsia="Calibri" w:hAnsi="Calibri"/>
                <w:sz w:val="16"/>
                <w:szCs w:val="16"/>
                <w:b w:val="1"/>
                <w:bCs w:val="1"/>
                <w:color w:val="auto"/>
              </w:rPr>
              <w:t>Weighted average of</w:t>
            </w:r>
          </w:p>
        </w:tc>
        <w:tc>
          <w:tcPr>
            <w:tcW w:w="128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Estmated grant</w:t>
            </w:r>
          </w:p>
        </w:tc>
        <w:tc>
          <w:tcPr>
            <w:tcW w:w="1480" w:type="dxa"/>
            <w:vAlign w:val="bottom"/>
          </w:tcPr>
          <w:p>
            <w:pPr>
              <w:jc w:val="right"/>
              <w:spacing w:after="0" w:line="170" w:lineRule="exact"/>
              <w:rPr>
                <w:sz w:val="20"/>
                <w:szCs w:val="20"/>
                <w:color w:val="auto"/>
              </w:rPr>
            </w:pPr>
            <w:r>
              <w:rPr>
                <w:rFonts w:ascii="Calibri" w:cs="Calibri" w:eastAsia="Calibri" w:hAnsi="Calibri"/>
                <w:sz w:val="16"/>
                <w:szCs w:val="16"/>
                <w:b w:val="1"/>
                <w:bCs w:val="1"/>
                <w:color w:val="auto"/>
              </w:rPr>
              <w:t>remaining</w:t>
            </w:r>
          </w:p>
        </w:tc>
        <w:tc>
          <w:tcPr>
            <w:tcW w:w="0" w:type="dxa"/>
            <w:vAlign w:val="bottom"/>
          </w:tcPr>
          <w:p>
            <w:pPr>
              <w:spacing w:after="0"/>
              <w:rPr>
                <w:sz w:val="1"/>
                <w:szCs w:val="1"/>
                <w:color w:val="auto"/>
              </w:rPr>
            </w:pPr>
          </w:p>
        </w:tc>
      </w:tr>
      <w:tr>
        <w:trPr>
          <w:trHeight w:val="153"/>
        </w:trPr>
        <w:tc>
          <w:tcPr>
            <w:tcW w:w="3320" w:type="dxa"/>
            <w:vAlign w:val="bottom"/>
          </w:tcPr>
          <w:p>
            <w:pPr>
              <w:spacing w:after="0"/>
              <w:rPr>
                <w:sz w:val="13"/>
                <w:szCs w:val="13"/>
                <w:color w:val="auto"/>
              </w:rPr>
            </w:pPr>
          </w:p>
        </w:tc>
        <w:tc>
          <w:tcPr>
            <w:tcW w:w="21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164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480" w:type="dxa"/>
            <w:vAlign w:val="bottom"/>
          </w:tcPr>
          <w:p>
            <w:pPr>
              <w:jc w:val="right"/>
              <w:spacing w:after="0" w:line="153" w:lineRule="exact"/>
              <w:rPr>
                <w:sz w:val="20"/>
                <w:szCs w:val="20"/>
                <w:color w:val="auto"/>
              </w:rPr>
            </w:pPr>
            <w:r>
              <w:rPr>
                <w:rFonts w:ascii="Calibri" w:cs="Calibri" w:eastAsia="Calibri" w:hAnsi="Calibri"/>
                <w:sz w:val="16"/>
                <w:szCs w:val="16"/>
                <w:b w:val="1"/>
                <w:bCs w:val="1"/>
                <w:color w:val="auto"/>
              </w:rPr>
              <w:t>outstanding</w:t>
            </w:r>
          </w:p>
        </w:tc>
        <w:tc>
          <w:tcPr>
            <w:tcW w:w="0" w:type="dxa"/>
            <w:vAlign w:val="bottom"/>
          </w:tcPr>
          <w:p>
            <w:pPr>
              <w:spacing w:after="0"/>
              <w:rPr>
                <w:sz w:val="1"/>
                <w:szCs w:val="1"/>
                <w:color w:val="auto"/>
              </w:rPr>
            </w:pPr>
          </w:p>
        </w:tc>
      </w:tr>
      <w:tr>
        <w:trPr>
          <w:trHeight w:val="198"/>
        </w:trPr>
        <w:tc>
          <w:tcPr>
            <w:tcW w:w="3320" w:type="dxa"/>
            <w:vAlign w:val="bottom"/>
          </w:tcPr>
          <w:p>
            <w:pPr>
              <w:ind w:left="60"/>
              <w:spacing w:after="0"/>
              <w:rPr>
                <w:sz w:val="20"/>
                <w:szCs w:val="20"/>
                <w:color w:val="auto"/>
              </w:rPr>
            </w:pPr>
            <w:r>
              <w:rPr>
                <w:rFonts w:ascii="Calibri" w:cs="Calibri" w:eastAsia="Calibri" w:hAnsi="Calibri"/>
                <w:sz w:val="16"/>
                <w:szCs w:val="16"/>
                <w:b w:val="1"/>
                <w:bCs w:val="1"/>
                <w:color w:val="auto"/>
              </w:rPr>
              <w:t>Date of Expiry</w:t>
            </w:r>
          </w:p>
        </w:tc>
        <w:tc>
          <w:tcPr>
            <w:tcW w:w="2120" w:type="dxa"/>
            <w:vAlign w:val="bottom"/>
          </w:tcPr>
          <w:p>
            <w:pPr>
              <w:jc w:val="right"/>
              <w:ind w:right="259"/>
              <w:spacing w:after="0" w:line="193" w:lineRule="exact"/>
              <w:rPr>
                <w:sz w:val="20"/>
                <w:szCs w:val="20"/>
                <w:color w:val="auto"/>
              </w:rPr>
            </w:pPr>
            <w:r>
              <w:rPr>
                <w:rFonts w:ascii="Calibri" w:cs="Calibri" w:eastAsia="Calibri" w:hAnsi="Calibri"/>
                <w:sz w:val="16"/>
                <w:szCs w:val="16"/>
                <w:b w:val="1"/>
                <w:bCs w:val="1"/>
                <w:color w:val="auto"/>
              </w:rPr>
              <w:t>outstanding</w:t>
            </w:r>
          </w:p>
        </w:tc>
        <w:tc>
          <w:tcPr>
            <w:tcW w:w="11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exercisable</w:t>
            </w:r>
          </w:p>
        </w:tc>
        <w:tc>
          <w:tcPr>
            <w:tcW w:w="1640" w:type="dxa"/>
            <w:vAlign w:val="bottom"/>
          </w:tcPr>
          <w:p>
            <w:pPr>
              <w:jc w:val="right"/>
              <w:ind w:right="139"/>
              <w:spacing w:after="0" w:line="193" w:lineRule="exact"/>
              <w:rPr>
                <w:sz w:val="20"/>
                <w:szCs w:val="20"/>
                <w:color w:val="auto"/>
              </w:rPr>
            </w:pPr>
            <w:r>
              <w:rPr>
                <w:rFonts w:ascii="Calibri" w:cs="Calibri" w:eastAsia="Calibri" w:hAnsi="Calibri"/>
                <w:sz w:val="16"/>
                <w:szCs w:val="16"/>
                <w:b w:val="1"/>
                <w:bCs w:val="1"/>
                <w:color w:val="auto"/>
              </w:rPr>
              <w:t>exercisable price</w:t>
            </w:r>
          </w:p>
        </w:tc>
        <w:tc>
          <w:tcPr>
            <w:tcW w:w="12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date fair value</w:t>
            </w: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contractual life</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4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w:t>
            </w:r>
          </w:p>
        </w:tc>
        <w:tc>
          <w:tcPr>
            <w:tcW w:w="1280" w:type="dxa"/>
            <w:vAlign w:val="bottom"/>
          </w:tcPr>
          <w:p>
            <w:pPr>
              <w:jc w:val="right"/>
              <w:spacing w:after="0"/>
              <w:rPr>
                <w:sz w:val="20"/>
                <w:szCs w:val="20"/>
                <w:color w:val="auto"/>
              </w:rPr>
            </w:pPr>
            <w:r>
              <w:rPr>
                <w:rFonts w:ascii="Calibri" w:cs="Calibri" w:eastAsia="Calibri" w:hAnsi="Calibri"/>
                <w:sz w:val="16"/>
                <w:szCs w:val="16"/>
                <w:b w:val="1"/>
                <w:bCs w:val="1"/>
                <w:color w:val="auto"/>
              </w:rPr>
              <w:t>$000’s</w:t>
            </w:r>
          </w:p>
        </w:tc>
        <w:tc>
          <w:tcPr>
            <w:tcW w:w="1480" w:type="dxa"/>
            <w:vAlign w:val="bottom"/>
          </w:tcPr>
          <w:p>
            <w:pPr>
              <w:jc w:val="right"/>
              <w:spacing w:after="0"/>
              <w:rPr>
                <w:sz w:val="20"/>
                <w:szCs w:val="20"/>
                <w:color w:val="auto"/>
              </w:rPr>
            </w:pPr>
            <w:r>
              <w:rPr>
                <w:rFonts w:ascii="Calibri" w:cs="Calibri" w:eastAsia="Calibri" w:hAnsi="Calibri"/>
                <w:sz w:val="16"/>
                <w:szCs w:val="16"/>
                <w:b w:val="1"/>
                <w:bCs w:val="1"/>
                <w:color w:val="auto"/>
              </w:rPr>
              <w:t>Years</w:t>
            </w:r>
          </w:p>
        </w:tc>
        <w:tc>
          <w:tcPr>
            <w:tcW w:w="0" w:type="dxa"/>
            <w:vAlign w:val="bottom"/>
          </w:tcPr>
          <w:p>
            <w:pPr>
              <w:spacing w:after="0"/>
              <w:rPr>
                <w:sz w:val="1"/>
                <w:szCs w:val="1"/>
                <w:color w:val="auto"/>
              </w:rPr>
            </w:pP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5"/>
        </w:trPr>
        <w:tc>
          <w:tcPr>
            <w:tcW w:w="3320" w:type="dxa"/>
            <w:vAlign w:val="bottom"/>
          </w:tcPr>
          <w:p>
            <w:pPr>
              <w:ind w:left="60"/>
              <w:spacing w:after="0" w:line="185" w:lineRule="exact"/>
              <w:rPr>
                <w:sz w:val="20"/>
                <w:szCs w:val="20"/>
                <w:color w:val="auto"/>
              </w:rPr>
            </w:pPr>
            <w:r>
              <w:rPr>
                <w:rFonts w:ascii="Calibri" w:cs="Calibri" w:eastAsia="Calibri" w:hAnsi="Calibri"/>
                <w:sz w:val="16"/>
                <w:szCs w:val="16"/>
                <w:b w:val="1"/>
                <w:bCs w:val="1"/>
                <w:i w:val="1"/>
                <w:iCs w:val="1"/>
                <w:color w:val="auto"/>
              </w:rPr>
              <w:t>Common Share Purchase Warrants</w:t>
            </w:r>
          </w:p>
        </w:tc>
        <w:tc>
          <w:tcPr>
            <w:tcW w:w="2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320" w:type="dxa"/>
            <w:vAlign w:val="bottom"/>
          </w:tcPr>
          <w:p>
            <w:pPr>
              <w:ind w:left="20"/>
              <w:spacing w:after="0"/>
              <w:rPr>
                <w:sz w:val="20"/>
                <w:szCs w:val="20"/>
                <w:color w:val="auto"/>
              </w:rPr>
            </w:pPr>
            <w:r>
              <w:rPr>
                <w:rFonts w:ascii="Calibri" w:cs="Calibri" w:eastAsia="Calibri" w:hAnsi="Calibri"/>
                <w:sz w:val="16"/>
                <w:szCs w:val="16"/>
                <w:color w:val="auto"/>
              </w:rPr>
              <w:t>August 3, 2023</w:t>
            </w:r>
          </w:p>
        </w:tc>
        <w:tc>
          <w:tcPr>
            <w:tcW w:w="2120" w:type="dxa"/>
            <w:vAlign w:val="bottom"/>
          </w:tcPr>
          <w:p>
            <w:pPr>
              <w:jc w:val="right"/>
              <w:ind w:right="259"/>
              <w:spacing w:after="0"/>
              <w:rPr>
                <w:sz w:val="20"/>
                <w:szCs w:val="20"/>
                <w:color w:val="auto"/>
              </w:rPr>
            </w:pPr>
            <w:r>
              <w:rPr>
                <w:rFonts w:ascii="Calibri" w:cs="Calibri" w:eastAsia="Calibri" w:hAnsi="Calibri"/>
                <w:sz w:val="16"/>
                <w:szCs w:val="16"/>
                <w:color w:val="auto"/>
              </w:rPr>
              <w:t>658,860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658,860</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3.40</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1,229</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0.59</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February 1, 2024</w:t>
            </w:r>
          </w:p>
        </w:tc>
        <w:tc>
          <w:tcPr>
            <w:tcW w:w="2120" w:type="dxa"/>
            <w:vAlign w:val="bottom"/>
          </w:tcPr>
          <w:p>
            <w:pPr>
              <w:jc w:val="right"/>
              <w:ind w:right="259"/>
              <w:spacing w:after="0"/>
              <w:rPr>
                <w:sz w:val="20"/>
                <w:szCs w:val="20"/>
                <w:color w:val="auto"/>
              </w:rPr>
            </w:pPr>
            <w:r>
              <w:rPr>
                <w:rFonts w:ascii="Calibri" w:cs="Calibri" w:eastAsia="Calibri" w:hAnsi="Calibri"/>
                <w:sz w:val="16"/>
                <w:szCs w:val="16"/>
                <w:color w:val="auto"/>
              </w:rPr>
              <w:t>7,146,500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7,146,500</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3.25</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5,454</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1.09</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June 15, 2025</w:t>
            </w:r>
          </w:p>
        </w:tc>
        <w:tc>
          <w:tcPr>
            <w:tcW w:w="2120" w:type="dxa"/>
            <w:vAlign w:val="bottom"/>
          </w:tcPr>
          <w:p>
            <w:pPr>
              <w:jc w:val="right"/>
              <w:ind w:right="259"/>
              <w:spacing w:after="0"/>
              <w:rPr>
                <w:sz w:val="20"/>
                <w:szCs w:val="20"/>
                <w:color w:val="auto"/>
              </w:rPr>
            </w:pPr>
            <w:r>
              <w:rPr>
                <w:rFonts w:ascii="Calibri" w:cs="Calibri" w:eastAsia="Calibri" w:hAnsi="Calibri"/>
                <w:sz w:val="16"/>
                <w:szCs w:val="16"/>
                <w:color w:val="auto"/>
              </w:rPr>
              <w:t>12,800,000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12,600,000</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0.25</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2,318</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2.46</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August 20, 2025</w:t>
            </w:r>
          </w:p>
        </w:tc>
        <w:tc>
          <w:tcPr>
            <w:tcW w:w="2120" w:type="dxa"/>
            <w:vAlign w:val="bottom"/>
          </w:tcPr>
          <w:p>
            <w:pPr>
              <w:jc w:val="right"/>
              <w:ind w:right="259"/>
              <w:spacing w:after="0"/>
              <w:rPr>
                <w:sz w:val="20"/>
                <w:szCs w:val="20"/>
                <w:color w:val="auto"/>
              </w:rPr>
            </w:pPr>
            <w:r>
              <w:rPr>
                <w:rFonts w:ascii="Calibri" w:cs="Calibri" w:eastAsia="Calibri" w:hAnsi="Calibri"/>
                <w:sz w:val="16"/>
                <w:szCs w:val="16"/>
                <w:color w:val="auto"/>
              </w:rPr>
              <w:t>1,475,125</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1,475,125</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0.64</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682</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2.64</w:t>
            </w: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120" w:type="dxa"/>
            <w:vAlign w:val="bottom"/>
          </w:tcPr>
          <w:p>
            <w:pPr>
              <w:jc w:val="right"/>
              <w:ind w:right="259"/>
              <w:spacing w:after="0"/>
              <w:rPr>
                <w:sz w:val="20"/>
                <w:szCs w:val="20"/>
                <w:color w:val="auto"/>
              </w:rPr>
            </w:pPr>
            <w:r>
              <w:rPr>
                <w:rFonts w:ascii="Calibri" w:cs="Calibri" w:eastAsia="Calibri" w:hAnsi="Calibri"/>
                <w:sz w:val="16"/>
                <w:szCs w:val="16"/>
                <w:color w:val="auto"/>
              </w:rPr>
              <w:t>1,150,000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1,150,000</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0.25</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220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2.88</w:t>
            </w:r>
          </w:p>
        </w:tc>
        <w:tc>
          <w:tcPr>
            <w:tcW w:w="0" w:type="dxa"/>
            <w:vAlign w:val="bottom"/>
          </w:tcPr>
          <w:p>
            <w:pPr>
              <w:spacing w:after="0"/>
              <w:rPr>
                <w:sz w:val="1"/>
                <w:szCs w:val="1"/>
                <w:color w:val="auto"/>
              </w:rPr>
            </w:pP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23,230,485</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23,030,485</w:t>
            </w:r>
          </w:p>
        </w:tc>
        <w:tc>
          <w:tcPr>
            <w:tcW w:w="164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1.30</w:t>
            </w:r>
          </w:p>
        </w:tc>
        <w:tc>
          <w:tcPr>
            <w:tcW w:w="1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9,903</w:t>
            </w:r>
          </w:p>
        </w:tc>
        <w:tc>
          <w:tcPr>
            <w:tcW w:w="1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2.14</w:t>
            </w:r>
          </w:p>
        </w:tc>
        <w:tc>
          <w:tcPr>
            <w:tcW w:w="0" w:type="dxa"/>
            <w:vAlign w:val="bottom"/>
          </w:tcPr>
          <w:p>
            <w:pPr>
              <w:spacing w:after="0"/>
              <w:rPr>
                <w:sz w:val="1"/>
                <w:szCs w:val="1"/>
                <w:color w:val="auto"/>
              </w:rPr>
            </w:pPr>
          </w:p>
        </w:tc>
      </w:tr>
      <w:tr>
        <w:trPr>
          <w:trHeight w:val="512"/>
        </w:trPr>
        <w:tc>
          <w:tcPr>
            <w:tcW w:w="3320" w:type="dxa"/>
            <w:vAlign w:val="bottom"/>
          </w:tcPr>
          <w:p>
            <w:pPr>
              <w:ind w:left="60"/>
              <w:spacing w:after="0"/>
              <w:rPr>
                <w:sz w:val="20"/>
                <w:szCs w:val="20"/>
                <w:color w:val="auto"/>
              </w:rPr>
            </w:pPr>
            <w:r>
              <w:rPr>
                <w:rFonts w:ascii="Calibri" w:cs="Calibri" w:eastAsia="Calibri" w:hAnsi="Calibri"/>
                <w:sz w:val="16"/>
                <w:szCs w:val="16"/>
                <w:b w:val="1"/>
                <w:bCs w:val="1"/>
                <w:i w:val="1"/>
                <w:iCs w:val="1"/>
                <w:color w:val="auto"/>
              </w:rPr>
              <w:t>Unit Purchase Warrants</w:t>
            </w:r>
          </w:p>
        </w:tc>
        <w:tc>
          <w:tcPr>
            <w:tcW w:w="2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320" w:type="dxa"/>
            <w:vAlign w:val="bottom"/>
          </w:tcPr>
          <w:p>
            <w:pPr>
              <w:ind w:left="20"/>
              <w:spacing w:after="0"/>
              <w:rPr>
                <w:sz w:val="20"/>
                <w:szCs w:val="20"/>
                <w:color w:val="auto"/>
              </w:rPr>
            </w:pPr>
            <w:r>
              <w:rPr>
                <w:rFonts w:ascii="Calibri" w:cs="Calibri" w:eastAsia="Calibri" w:hAnsi="Calibri"/>
                <w:sz w:val="16"/>
                <w:szCs w:val="16"/>
                <w:color w:val="auto"/>
              </w:rPr>
              <w:t>February 4, 2024</w:t>
            </w:r>
          </w:p>
        </w:tc>
        <w:tc>
          <w:tcPr>
            <w:tcW w:w="2120" w:type="dxa"/>
            <w:vAlign w:val="bottom"/>
          </w:tcPr>
          <w:p>
            <w:pPr>
              <w:jc w:val="right"/>
              <w:ind w:right="259"/>
              <w:spacing w:after="0"/>
              <w:rPr>
                <w:sz w:val="20"/>
                <w:szCs w:val="20"/>
                <w:color w:val="auto"/>
              </w:rPr>
            </w:pPr>
            <w:r>
              <w:rPr>
                <w:rFonts w:ascii="Calibri" w:cs="Calibri" w:eastAsia="Calibri" w:hAnsi="Calibri"/>
                <w:sz w:val="16"/>
                <w:szCs w:val="16"/>
                <w:color w:val="auto"/>
              </w:rPr>
              <w:t>868,740</w:t>
            </w:r>
          </w:p>
        </w:tc>
        <w:tc>
          <w:tcPr>
            <w:tcW w:w="1140" w:type="dxa"/>
            <w:vAlign w:val="bottom"/>
          </w:tcPr>
          <w:p>
            <w:pPr>
              <w:jc w:val="right"/>
              <w:spacing w:after="0"/>
              <w:rPr>
                <w:sz w:val="20"/>
                <w:szCs w:val="20"/>
                <w:color w:val="auto"/>
              </w:rPr>
            </w:pPr>
            <w:r>
              <w:rPr>
                <w:rFonts w:ascii="Calibri" w:cs="Calibri" w:eastAsia="Calibri" w:hAnsi="Calibri"/>
                <w:sz w:val="16"/>
                <w:szCs w:val="16"/>
                <w:color w:val="auto"/>
              </w:rPr>
              <w:t>868,740</w:t>
            </w:r>
          </w:p>
        </w:tc>
        <w:tc>
          <w:tcPr>
            <w:tcW w:w="1640" w:type="dxa"/>
            <w:vAlign w:val="bottom"/>
          </w:tcPr>
          <w:p>
            <w:pPr>
              <w:jc w:val="right"/>
              <w:ind w:right="99"/>
              <w:spacing w:after="0"/>
              <w:rPr>
                <w:sz w:val="20"/>
                <w:szCs w:val="20"/>
                <w:color w:val="auto"/>
              </w:rPr>
            </w:pPr>
            <w:r>
              <w:rPr>
                <w:rFonts w:ascii="Calibri" w:cs="Calibri" w:eastAsia="Calibri" w:hAnsi="Calibri"/>
                <w:sz w:val="16"/>
                <w:szCs w:val="16"/>
                <w:color w:val="auto"/>
              </w:rPr>
              <w:t>2.25</w:t>
            </w:r>
          </w:p>
        </w:tc>
        <w:tc>
          <w:tcPr>
            <w:tcW w:w="1280" w:type="dxa"/>
            <w:vAlign w:val="bottom"/>
          </w:tcPr>
          <w:p>
            <w:pPr>
              <w:jc w:val="right"/>
              <w:spacing w:after="0"/>
              <w:rPr>
                <w:sz w:val="20"/>
                <w:szCs w:val="20"/>
                <w:color w:val="auto"/>
              </w:rPr>
            </w:pPr>
            <w:r>
              <w:rPr>
                <w:rFonts w:ascii="Calibri" w:cs="Calibri" w:eastAsia="Calibri" w:hAnsi="Calibri"/>
                <w:sz w:val="16"/>
                <w:szCs w:val="16"/>
                <w:color w:val="auto"/>
              </w:rPr>
              <w:t>970</w:t>
            </w:r>
          </w:p>
        </w:tc>
        <w:tc>
          <w:tcPr>
            <w:tcW w:w="1480" w:type="dxa"/>
            <w:vAlign w:val="bottom"/>
          </w:tcPr>
          <w:p>
            <w:pPr>
              <w:jc w:val="right"/>
              <w:spacing w:after="0"/>
              <w:rPr>
                <w:sz w:val="20"/>
                <w:szCs w:val="20"/>
                <w:color w:val="auto"/>
              </w:rPr>
            </w:pPr>
            <w:r>
              <w:rPr>
                <w:rFonts w:ascii="Calibri" w:cs="Calibri" w:eastAsia="Calibri" w:hAnsi="Calibri"/>
                <w:sz w:val="16"/>
                <w:szCs w:val="16"/>
                <w:color w:val="auto"/>
              </w:rPr>
              <w:t>1.10</w:t>
            </w:r>
          </w:p>
        </w:tc>
        <w:tc>
          <w:tcPr>
            <w:tcW w:w="0" w:type="dxa"/>
            <w:vAlign w:val="bottom"/>
          </w:tcPr>
          <w:p>
            <w:pPr>
              <w:spacing w:after="0"/>
              <w:rPr>
                <w:sz w:val="1"/>
                <w:szCs w:val="1"/>
                <w:color w:val="auto"/>
              </w:rPr>
            </w:pPr>
          </w:p>
        </w:tc>
      </w:tr>
      <w:tr>
        <w:trPr>
          <w:trHeight w:val="21"/>
        </w:trPr>
        <w:tc>
          <w:tcPr>
            <w:tcW w:w="332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33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ind w:right="259"/>
              <w:spacing w:after="0" w:line="192" w:lineRule="exact"/>
              <w:rPr>
                <w:sz w:val="20"/>
                <w:szCs w:val="20"/>
                <w:color w:val="auto"/>
              </w:rPr>
            </w:pPr>
            <w:r>
              <w:rPr>
                <w:rFonts w:ascii="Calibri" w:cs="Calibri" w:eastAsia="Calibri" w:hAnsi="Calibri"/>
                <w:sz w:val="16"/>
                <w:szCs w:val="16"/>
                <w:b w:val="1"/>
                <w:bCs w:val="1"/>
                <w:color w:val="auto"/>
              </w:rPr>
              <w:t>868,740</w:t>
            </w:r>
          </w:p>
        </w:tc>
        <w:tc>
          <w:tcPr>
            <w:tcW w:w="11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868,740</w:t>
            </w:r>
          </w:p>
        </w:tc>
        <w:tc>
          <w:tcPr>
            <w:tcW w:w="1640" w:type="dxa"/>
            <w:vAlign w:val="bottom"/>
            <w:tcBorders>
              <w:bottom w:val="single" w:sz="8" w:color="auto"/>
            </w:tcBorders>
          </w:tcPr>
          <w:p>
            <w:pPr>
              <w:jc w:val="right"/>
              <w:ind w:right="139"/>
              <w:spacing w:after="0" w:line="192" w:lineRule="exact"/>
              <w:rPr>
                <w:sz w:val="20"/>
                <w:szCs w:val="20"/>
                <w:color w:val="auto"/>
              </w:rPr>
            </w:pPr>
            <w:r>
              <w:rPr>
                <w:rFonts w:ascii="Calibri" w:cs="Calibri" w:eastAsia="Calibri" w:hAnsi="Calibri"/>
                <w:sz w:val="16"/>
                <w:szCs w:val="16"/>
                <w:b w:val="1"/>
                <w:bCs w:val="1"/>
                <w:color w:val="auto"/>
              </w:rPr>
              <w:t>2.25</w:t>
            </w:r>
          </w:p>
        </w:tc>
        <w:tc>
          <w:tcPr>
            <w:tcW w:w="12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970</w:t>
            </w:r>
          </w:p>
        </w:tc>
        <w:tc>
          <w:tcPr>
            <w:tcW w:w="14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The Company recognized share-based payments compensaton related to the issuance of Common Share purchase warrants for the three and nine month periods ended December 31, 2022 of $nil and $6 respectvely.</w:t>
      </w:r>
    </w:p>
    <w:p>
      <w:pPr>
        <w:spacing w:after="0" w:line="158" w:lineRule="exact"/>
        <w:rPr>
          <w:sz w:val="20"/>
          <w:szCs w:val="20"/>
          <w:color w:val="auto"/>
        </w:rPr>
      </w:pPr>
    </w:p>
    <w:p>
      <w:pPr>
        <w:ind w:left="500" w:hanging="272"/>
        <w:spacing w:after="0"/>
        <w:tabs>
          <w:tab w:leader="none" w:pos="500" w:val="left"/>
        </w:tabs>
        <w:numPr>
          <w:ilvl w:val="0"/>
          <w:numId w:val="5"/>
        </w:numPr>
        <w:rPr>
          <w:rFonts w:ascii="Calibri" w:cs="Calibri" w:eastAsia="Calibri" w:hAnsi="Calibri"/>
          <w:sz w:val="16"/>
          <w:szCs w:val="16"/>
          <w:b w:val="1"/>
          <w:bCs w:val="1"/>
          <w:color w:val="auto"/>
        </w:rPr>
      </w:pPr>
      <w:r>
        <w:rPr>
          <w:rFonts w:ascii="Calibri" w:cs="Calibri" w:eastAsia="Calibri" w:hAnsi="Calibri"/>
          <w:sz w:val="16"/>
          <w:szCs w:val="16"/>
          <w:b w:val="1"/>
          <w:bCs w:val="1"/>
          <w:u w:val="single" w:color="auto"/>
          <w:color w:val="auto"/>
        </w:rPr>
        <w:t>Stock optons</w:t>
      </w:r>
    </w:p>
    <w:p>
      <w:pPr>
        <w:spacing w:after="0" w:line="171" w:lineRule="exact"/>
        <w:rPr>
          <w:sz w:val="20"/>
          <w:szCs w:val="20"/>
          <w:color w:val="auto"/>
        </w:rPr>
      </w:pPr>
    </w:p>
    <w:p>
      <w:pPr>
        <w:ind w:left="220" w:right="20"/>
        <w:spacing w:after="0" w:line="237" w:lineRule="auto"/>
        <w:rPr>
          <w:sz w:val="20"/>
          <w:szCs w:val="20"/>
          <w:color w:val="auto"/>
        </w:rPr>
      </w:pPr>
      <w:r>
        <w:rPr>
          <w:rFonts w:ascii="Calibri" w:cs="Calibri" w:eastAsia="Calibri" w:hAnsi="Calibri"/>
          <w:sz w:val="16"/>
          <w:szCs w:val="16"/>
          <w:color w:val="auto"/>
        </w:rPr>
        <w:t>On November 5, 2020, Cybin adopted an equity incentve plan. Under the plan, the board of directors may grant share-based awards to acquire such number of Common Shares as is equal to up to 20% of the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14 of 25</w:t>
      </w:r>
    </w:p>
    <w:p>
      <w:pPr>
        <w:sectPr>
          <w:pgSz w:w="11900" w:h="16838" w:orient="portrait"/>
          <w:cols w:equalWidth="0" w:num="1">
            <w:col w:w="11200"/>
          </w:cols>
          <w:pgMar w:left="380" w:top="162" w:right="319" w:bottom="1440" w:gutter="0" w:footer="0" w:header="0"/>
        </w:sectPr>
      </w:pPr>
    </w:p>
    <w:bookmarkStart w:id="17" w:name="page18"/>
    <w:bookmarkEnd w:id="17"/>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number of issued and outstanding Common Shares at the tme such awards are granted. Optons granted under the plan vest over a period of tme at the discreton of the board of directors. On August 16, 2021, the board of directors and the shareholders approved an amendment to the equity incentve plan to modify certain provisions for awards granted to residents of the United States, to increase the fxed number of Incentve Stock Optons (as defned in the plan) and certain other housekeeping amendments.</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600" w:type="dxa"/>
            <w:vAlign w:val="bottom"/>
          </w:tcPr>
          <w:p>
            <w:pPr>
              <w:spacing w:after="0"/>
              <w:rPr>
                <w:sz w:val="20"/>
                <w:szCs w:val="20"/>
                <w:color w:val="auto"/>
              </w:rPr>
            </w:pPr>
            <w:r>
              <w:rPr>
                <w:rFonts w:ascii="Calibri" w:cs="Calibri" w:eastAsia="Calibri" w:hAnsi="Calibri"/>
                <w:sz w:val="16"/>
                <w:szCs w:val="16"/>
                <w:color w:val="auto"/>
              </w:rPr>
              <w:t>The changes in optons for the nine-month period ended December 31, 2022 are as follows:</w:t>
            </w:r>
          </w:p>
        </w:tc>
        <w:tc>
          <w:tcPr>
            <w:tcW w:w="206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352"/>
        </w:trPr>
        <w:tc>
          <w:tcPr>
            <w:tcW w:w="66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Calibri" w:cs="Calibri" w:eastAsia="Calibri" w:hAnsi="Calibri"/>
                <w:sz w:val="16"/>
                <w:szCs w:val="16"/>
                <w:b w:val="1"/>
                <w:bCs w:val="1"/>
                <w:color w:val="auto"/>
                <w:w w:val="99"/>
              </w:rPr>
              <w:t>Weighted average exercise</w:t>
            </w:r>
          </w:p>
        </w:tc>
      </w:tr>
      <w:tr>
        <w:trPr>
          <w:trHeight w:val="205"/>
        </w:trPr>
        <w:tc>
          <w:tcPr>
            <w:tcW w:w="660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Calibri" w:cs="Calibri" w:eastAsia="Calibri" w:hAnsi="Calibri"/>
                <w:sz w:val="16"/>
                <w:szCs w:val="16"/>
                <w:b w:val="1"/>
                <w:bCs w:val="1"/>
                <w:color w:val="auto"/>
              </w:rPr>
              <w:t>Number of Optons</w:t>
            </w:r>
          </w:p>
        </w:tc>
        <w:tc>
          <w:tcPr>
            <w:tcW w:w="18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price</w:t>
            </w: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2"/>
        </w:trPr>
        <w:tc>
          <w:tcPr>
            <w:tcW w:w="660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w:t>
            </w:r>
          </w:p>
        </w:tc>
      </w:tr>
      <w:tr>
        <w:trPr>
          <w:trHeight w:val="192"/>
        </w:trPr>
        <w:tc>
          <w:tcPr>
            <w:tcW w:w="6600" w:type="dxa"/>
            <w:vAlign w:val="bottom"/>
          </w:tcPr>
          <w:p>
            <w:pPr>
              <w:ind w:left="60"/>
              <w:spacing w:after="0" w:line="192" w:lineRule="exact"/>
              <w:rPr>
                <w:sz w:val="20"/>
                <w:szCs w:val="20"/>
                <w:color w:val="auto"/>
              </w:rPr>
            </w:pPr>
            <w:r>
              <w:rPr>
                <w:rFonts w:ascii="Calibri" w:cs="Calibri" w:eastAsia="Calibri" w:hAnsi="Calibri"/>
                <w:sz w:val="16"/>
                <w:szCs w:val="16"/>
                <w:color w:val="auto"/>
              </w:rPr>
              <w:t>As at March 31, 2022</w:t>
            </w:r>
          </w:p>
        </w:tc>
        <w:tc>
          <w:tcPr>
            <w:tcW w:w="2060" w:type="dxa"/>
            <w:vAlign w:val="bottom"/>
          </w:tcPr>
          <w:p>
            <w:pPr>
              <w:jc w:val="right"/>
              <w:spacing w:after="0" w:line="192" w:lineRule="exact"/>
              <w:rPr>
                <w:sz w:val="20"/>
                <w:szCs w:val="20"/>
                <w:color w:val="auto"/>
              </w:rPr>
            </w:pPr>
            <w:r>
              <w:rPr>
                <w:rFonts w:ascii="Calibri" w:cs="Calibri" w:eastAsia="Calibri" w:hAnsi="Calibri"/>
                <w:sz w:val="16"/>
                <w:szCs w:val="16"/>
                <w:color w:val="auto"/>
              </w:rPr>
              <w:t>28,885,002</w:t>
            </w:r>
          </w:p>
        </w:tc>
        <w:tc>
          <w:tcPr>
            <w:tcW w:w="1860" w:type="dxa"/>
            <w:vAlign w:val="bottom"/>
          </w:tcPr>
          <w:p>
            <w:pPr>
              <w:jc w:val="right"/>
              <w:spacing w:after="0" w:line="192" w:lineRule="exact"/>
              <w:rPr>
                <w:sz w:val="20"/>
                <w:szCs w:val="20"/>
                <w:color w:val="auto"/>
              </w:rPr>
            </w:pPr>
            <w:r>
              <w:rPr>
                <w:rFonts w:ascii="Calibri" w:cs="Calibri" w:eastAsia="Calibri" w:hAnsi="Calibri"/>
                <w:sz w:val="16"/>
                <w:szCs w:val="16"/>
                <w:color w:val="auto"/>
              </w:rPr>
              <w:t>1.01</w:t>
            </w:r>
          </w:p>
        </w:tc>
      </w:tr>
      <w:tr>
        <w:trPr>
          <w:trHeight w:val="198"/>
        </w:trPr>
        <w:tc>
          <w:tcPr>
            <w:tcW w:w="6600" w:type="dxa"/>
            <w:vAlign w:val="bottom"/>
          </w:tcPr>
          <w:p>
            <w:pPr>
              <w:ind w:left="60"/>
              <w:spacing w:after="0"/>
              <w:rPr>
                <w:sz w:val="20"/>
                <w:szCs w:val="20"/>
                <w:color w:val="auto"/>
              </w:rPr>
            </w:pPr>
            <w:r>
              <w:rPr>
                <w:rFonts w:ascii="Calibri" w:cs="Calibri" w:eastAsia="Calibri" w:hAnsi="Calibri"/>
                <w:sz w:val="16"/>
                <w:szCs w:val="16"/>
                <w:color w:val="auto"/>
              </w:rPr>
              <w:t>Granted</w:t>
            </w:r>
          </w:p>
        </w:tc>
        <w:tc>
          <w:tcPr>
            <w:tcW w:w="2060" w:type="dxa"/>
            <w:vAlign w:val="bottom"/>
          </w:tcPr>
          <w:p>
            <w:pPr>
              <w:jc w:val="right"/>
              <w:spacing w:after="0"/>
              <w:rPr>
                <w:sz w:val="20"/>
                <w:szCs w:val="20"/>
                <w:color w:val="auto"/>
              </w:rPr>
            </w:pPr>
            <w:r>
              <w:rPr>
                <w:rFonts w:ascii="Calibri" w:cs="Calibri" w:eastAsia="Calibri" w:hAnsi="Calibri"/>
                <w:sz w:val="16"/>
                <w:szCs w:val="16"/>
                <w:color w:val="auto"/>
              </w:rPr>
              <w:t>2,475,000</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0.91</w:t>
            </w:r>
          </w:p>
        </w:tc>
      </w:tr>
      <w:tr>
        <w:trPr>
          <w:trHeight w:val="206"/>
        </w:trPr>
        <w:tc>
          <w:tcPr>
            <w:tcW w:w="6600" w:type="dxa"/>
            <w:vAlign w:val="bottom"/>
          </w:tcPr>
          <w:p>
            <w:pPr>
              <w:ind w:left="60"/>
              <w:spacing w:after="0"/>
              <w:rPr>
                <w:sz w:val="20"/>
                <w:szCs w:val="20"/>
                <w:color w:val="auto"/>
              </w:rPr>
            </w:pPr>
            <w:r>
              <w:rPr>
                <w:rFonts w:ascii="Calibri" w:cs="Calibri" w:eastAsia="Calibri" w:hAnsi="Calibri"/>
                <w:sz w:val="16"/>
                <w:szCs w:val="16"/>
                <w:color w:val="auto"/>
              </w:rPr>
              <w:t>Forfeited/Expired</w:t>
            </w:r>
          </w:p>
        </w:tc>
        <w:tc>
          <w:tcPr>
            <w:tcW w:w="2060" w:type="dxa"/>
            <w:vAlign w:val="bottom"/>
          </w:tcPr>
          <w:p>
            <w:pPr>
              <w:jc w:val="right"/>
              <w:spacing w:after="0"/>
              <w:rPr>
                <w:sz w:val="20"/>
                <w:szCs w:val="20"/>
                <w:color w:val="auto"/>
              </w:rPr>
            </w:pPr>
            <w:r>
              <w:rPr>
                <w:rFonts w:ascii="Calibri" w:cs="Calibri" w:eastAsia="Calibri" w:hAnsi="Calibri"/>
                <w:sz w:val="16"/>
                <w:szCs w:val="16"/>
                <w:color w:val="auto"/>
              </w:rPr>
              <w:t>(1,737,702)</w:t>
            </w:r>
          </w:p>
        </w:tc>
        <w:tc>
          <w:tcPr>
            <w:tcW w:w="1860" w:type="dxa"/>
            <w:vAlign w:val="bottom"/>
          </w:tcPr>
          <w:p>
            <w:pPr>
              <w:jc w:val="right"/>
              <w:spacing w:after="0"/>
              <w:rPr>
                <w:sz w:val="20"/>
                <w:szCs w:val="20"/>
                <w:color w:val="auto"/>
              </w:rPr>
            </w:pPr>
            <w:r>
              <w:rPr>
                <w:rFonts w:ascii="Calibri" w:cs="Calibri" w:eastAsia="Calibri" w:hAnsi="Calibri"/>
                <w:sz w:val="16"/>
                <w:szCs w:val="16"/>
                <w:color w:val="auto"/>
              </w:rPr>
              <w:t>2.20</w:t>
            </w:r>
          </w:p>
        </w:tc>
      </w:tr>
      <w:tr>
        <w:trPr>
          <w:trHeight w:val="21"/>
        </w:trPr>
        <w:tc>
          <w:tcPr>
            <w:tcW w:w="660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r>
        <w:trPr>
          <w:trHeight w:val="192"/>
        </w:trPr>
        <w:tc>
          <w:tcPr>
            <w:tcW w:w="660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Outstanding as at December 31, 2022</w:t>
            </w:r>
          </w:p>
        </w:tc>
        <w:tc>
          <w:tcPr>
            <w:tcW w:w="20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29,622,300</w:t>
            </w:r>
          </w:p>
        </w:tc>
        <w:tc>
          <w:tcPr>
            <w:tcW w:w="18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1.36</w:t>
            </w:r>
          </w:p>
        </w:tc>
      </w:tr>
      <w:tr>
        <w:trPr>
          <w:trHeight w:val="198"/>
        </w:trPr>
        <w:tc>
          <w:tcPr>
            <w:tcW w:w="6600" w:type="dxa"/>
            <w:vAlign w:val="bottom"/>
            <w:tcBorders>
              <w:bottom w:val="single" w:sz="8" w:color="auto"/>
            </w:tcBorders>
          </w:tcPr>
          <w:p>
            <w:pPr>
              <w:ind w:left="60"/>
              <w:spacing w:after="0" w:line="193" w:lineRule="exact"/>
              <w:rPr>
                <w:sz w:val="20"/>
                <w:szCs w:val="20"/>
                <w:color w:val="auto"/>
              </w:rPr>
            </w:pPr>
            <w:r>
              <w:rPr>
                <w:rFonts w:ascii="Calibri" w:cs="Calibri" w:eastAsia="Calibri" w:hAnsi="Calibri"/>
                <w:sz w:val="16"/>
                <w:szCs w:val="16"/>
                <w:b w:val="1"/>
                <w:bCs w:val="1"/>
                <w:color w:val="auto"/>
              </w:rPr>
              <w:t>Exercisable as at December 31, 2022</w:t>
            </w:r>
          </w:p>
        </w:tc>
        <w:tc>
          <w:tcPr>
            <w:tcW w:w="20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26,265,825</w:t>
            </w:r>
          </w:p>
        </w:tc>
        <w:tc>
          <w:tcPr>
            <w:tcW w:w="18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1.30</w:t>
            </w:r>
          </w:p>
        </w:tc>
      </w:tr>
    </w:tbl>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i w:val="1"/>
          <w:iCs w:val="1"/>
          <w:color w:val="auto"/>
        </w:rPr>
        <w:t>During the nine-month period ended December 31, 2022, the Company completed the following opton issuances:</w:t>
      </w:r>
    </w:p>
    <w:p>
      <w:pPr>
        <w:spacing w:after="0" w:line="219"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June 30, 2022, the Company granted optons to purchase up to: 65,000 Common Shares to employees, with an exercise price of $1.00 per Common Share and vestng over two years. The optons will expire on June 30, 2027. The aggregate estmated grant date fair value was determined to be $32, calculated using the Black-Scholes opton pricing model with the following assumptons:</w:t>
      </w:r>
    </w:p>
    <w:p>
      <w:pPr>
        <w:spacing w:after="0" w:line="200" w:lineRule="exact"/>
        <w:rPr>
          <w:sz w:val="20"/>
          <w:szCs w:val="20"/>
          <w:color w:val="auto"/>
        </w:rPr>
      </w:pPr>
    </w:p>
    <w:p>
      <w:pPr>
        <w:spacing w:after="0" w:line="211"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0.72</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June 30, 2022, the Company granted optons to purchase up to 500,000 Common Shares to consultants, with an exercise price of $0.90 per Common Share. The optons vested immediately and will expire on June 30, 2025. The estmated grant date fair value was determined to be $183, calculated using the Black-Scholes opton pricing model with the following assumptons: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3.14%</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0.72</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0.90</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15 of 25</w:t>
      </w:r>
    </w:p>
    <w:p>
      <w:pPr>
        <w:sectPr>
          <w:pgSz w:w="11900" w:h="16838" w:orient="portrait"/>
          <w:cols w:equalWidth="0" w:num="1">
            <w:col w:w="11200"/>
          </w:cols>
          <w:pgMar w:left="380" w:top="162" w:right="319" w:bottom="1440" w:gutter="0" w:footer="0" w:header="0"/>
        </w:sectPr>
      </w:pPr>
    </w:p>
    <w:bookmarkStart w:id="18" w:name="page19"/>
    <w:bookmarkEnd w:id="18"/>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August 15, 2022, the Company granted optons to purchase up to 800,000 Common Shares to consultants, with an exercise price of $1.00 per Common Share and vestng over two years. The optons will expire on August 15, 2025. The estmated grant date fair value was determined to be $429, calculated using the Black-Scholes opton pricing model with the following assumptons:</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3.11%</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0.97</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August 15, 2022, the Company granted optons to purchase up to 20,000 Common Shares to an employee, with an exercise price of $1.00 per Common Share and vestng over two years. The optons will expire on August 15, 2027. The estmated grant date fair value was determined to be $14, calculated using the Black-Scholes opton pricing model with the following assumptons: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2.88%</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0.97</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September 30, 2022, the Company granted optons to purchase up to 270,000 Common Shares to consultants, with an exercise price of $0.75 per Common Share and vestng over two years. The optons will expire on September 30, 2025. The estmated grant date fair value was determined to be $102, calculated using the Black-Scholes opton pricing model with the following assumptons: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3.72%</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0.67</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0.75</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On September 30, 2022, the Company granted optons to purchase up to 245,000 Common Shares to employees, with an exercise price of $1.00 per Common Share and vestng over two years. The optons will expire on September 30, 2027. The estmated grant date fair value was determined to be $98, calculated using the Black-Scholes opton pricing model with the following assumptons: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16 of 25</w:t>
      </w:r>
    </w:p>
    <w:p>
      <w:pPr>
        <w:sectPr>
          <w:pgSz w:w="11900" w:h="16838" w:orient="portrait"/>
          <w:cols w:equalWidth="0" w:num="1">
            <w:col w:w="11200"/>
          </w:cols>
          <w:pgMar w:left="380" w:top="162" w:right="319" w:bottom="1440" w:gutter="0" w:footer="0" w:header="0"/>
        </w:sectPr>
      </w:pPr>
    </w:p>
    <w:bookmarkStart w:id="19" w:name="page20"/>
    <w:bookmarkEnd w:id="19"/>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3.32%</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95.00%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5</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0.67</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1.00</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November 16, 2022, the Company granted optons to purchase up to 200,000 Common Shares to a consultant with an exercise price of $0.91 per Common Share. The optons vested immediately and will expire on November 15, 2025. The estmated grant date fair value was determined to be $53, calculated using the Black-Scholes opton pricing model with the following assumptons:</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3.78%</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0.58</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0.91</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On November 16, 2022, the Company granted optons to purchase up to 375,000 Common Shares to consultants with an exercise price of $0.75 per Common Share. The optons vested immediately and will expire on November 15, 2025. The estmated grant date fair value was determined to be $110, calculated using the Black-Scholes opton pricing model with the following assumptons:</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6300" w:type="dxa"/>
            <w:vAlign w:val="bottom"/>
          </w:tcPr>
          <w:p>
            <w:pPr>
              <w:ind w:left="60"/>
              <w:spacing w:after="0"/>
              <w:rPr>
                <w:sz w:val="20"/>
                <w:szCs w:val="20"/>
                <w:color w:val="auto"/>
              </w:rPr>
            </w:pPr>
            <w:r>
              <w:rPr>
                <w:rFonts w:ascii="Calibri" w:cs="Calibri" w:eastAsia="Calibri" w:hAnsi="Calibri"/>
                <w:sz w:val="16"/>
                <w:szCs w:val="16"/>
                <w:color w:val="auto"/>
              </w:rPr>
              <w:t>Risk-free interest rate</w:t>
            </w:r>
          </w:p>
        </w:tc>
        <w:tc>
          <w:tcPr>
            <w:tcW w:w="3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3.78%</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annual volatlity, based on comparable companies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85.00%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life (in years)</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3</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Expected dividend yield</w:t>
            </w:r>
          </w:p>
        </w:tc>
        <w:tc>
          <w:tcPr>
            <w:tcW w:w="3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0.00%</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Share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0.58</w:t>
            </w:r>
          </w:p>
        </w:tc>
      </w:tr>
      <w:tr>
        <w:trPr>
          <w:trHeight w:val="206"/>
        </w:trPr>
        <w:tc>
          <w:tcPr>
            <w:tcW w:w="6300" w:type="dxa"/>
            <w:vAlign w:val="bottom"/>
          </w:tcPr>
          <w:p>
            <w:pPr>
              <w:ind w:left="60"/>
              <w:spacing w:after="0"/>
              <w:rPr>
                <w:sz w:val="20"/>
                <w:szCs w:val="20"/>
                <w:color w:val="auto"/>
              </w:rPr>
            </w:pPr>
            <w:r>
              <w:rPr>
                <w:rFonts w:ascii="Calibri" w:cs="Calibri" w:eastAsia="Calibri" w:hAnsi="Calibri"/>
                <w:sz w:val="16"/>
                <w:szCs w:val="16"/>
                <w:color w:val="auto"/>
              </w:rPr>
              <w:t>Exercise price</w:t>
            </w:r>
          </w:p>
        </w:tc>
        <w:tc>
          <w:tcPr>
            <w:tcW w:w="3140" w:type="dxa"/>
            <w:vAlign w:val="bottom"/>
          </w:tcPr>
          <w:p>
            <w:pPr>
              <w:jc w:val="right"/>
              <w:ind w:right="539"/>
              <w:spacing w:after="0"/>
              <w:rPr>
                <w:sz w:val="20"/>
                <w:szCs w:val="20"/>
                <w:color w:val="auto"/>
              </w:rPr>
            </w:pPr>
            <w:r>
              <w:rPr>
                <w:rFonts w:ascii="Calibri" w:cs="Calibri" w:eastAsia="Calibri" w:hAnsi="Calibri"/>
                <w:sz w:val="16"/>
                <w:szCs w:val="16"/>
                <w:color w:val="auto"/>
              </w:rPr>
              <w:t>$</w:t>
            </w:r>
          </w:p>
        </w:tc>
        <w:tc>
          <w:tcPr>
            <w:tcW w:w="1160" w:type="dxa"/>
            <w:vAlign w:val="bottom"/>
          </w:tcPr>
          <w:p>
            <w:pPr>
              <w:jc w:val="right"/>
              <w:spacing w:after="0"/>
              <w:rPr>
                <w:sz w:val="20"/>
                <w:szCs w:val="20"/>
                <w:color w:val="auto"/>
              </w:rPr>
            </w:pPr>
            <w:r>
              <w:rPr>
                <w:rFonts w:ascii="Calibri" w:cs="Calibri" w:eastAsia="Calibri" w:hAnsi="Calibri"/>
                <w:sz w:val="16"/>
                <w:szCs w:val="16"/>
                <w:color w:val="auto"/>
              </w:rPr>
              <w:t>0.75</w:t>
            </w: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summarizes informaton about stock optons outstanding on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17 of 25</w:t>
      </w:r>
    </w:p>
    <w:p>
      <w:pPr>
        <w:sectPr>
          <w:pgSz w:w="11900" w:h="16838" w:orient="portrait"/>
          <w:cols w:equalWidth="0" w:num="1">
            <w:col w:w="11200"/>
          </w:cols>
          <w:pgMar w:left="380" w:top="162" w:right="319" w:bottom="1440" w:gutter="0" w:footer="0" w:header="0"/>
        </w:sectPr>
      </w:pPr>
    </w:p>
    <w:bookmarkStart w:id="20" w:name="page21"/>
    <w:bookmarkEnd w:id="20"/>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21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740" w:type="dxa"/>
            <w:vAlign w:val="bottom"/>
          </w:tcPr>
          <w:p>
            <w:pPr>
              <w:jc w:val="right"/>
              <w:ind w:right="179"/>
              <w:spacing w:after="0"/>
              <w:rPr>
                <w:sz w:val="20"/>
                <w:szCs w:val="20"/>
                <w:color w:val="auto"/>
              </w:rPr>
            </w:pPr>
            <w:r>
              <w:rPr>
                <w:rFonts w:ascii="Calibri" w:cs="Calibri" w:eastAsia="Calibri" w:hAnsi="Calibri"/>
                <w:sz w:val="16"/>
                <w:szCs w:val="16"/>
                <w:b w:val="1"/>
                <w:bCs w:val="1"/>
                <w:color w:val="auto"/>
              </w:rPr>
              <w:t>Number of optons</w:t>
            </w:r>
          </w:p>
        </w:tc>
        <w:tc>
          <w:tcPr>
            <w:tcW w:w="1780" w:type="dxa"/>
            <w:vAlign w:val="bottom"/>
          </w:tcPr>
          <w:p>
            <w:pPr>
              <w:jc w:val="right"/>
              <w:ind w:right="199"/>
              <w:spacing w:after="0"/>
              <w:rPr>
                <w:sz w:val="20"/>
                <w:szCs w:val="20"/>
                <w:color w:val="auto"/>
              </w:rPr>
            </w:pPr>
            <w:r>
              <w:rPr>
                <w:rFonts w:ascii="Calibri" w:cs="Calibri" w:eastAsia="Calibri" w:hAnsi="Calibri"/>
                <w:sz w:val="16"/>
                <w:szCs w:val="16"/>
                <w:b w:val="1"/>
                <w:bCs w:val="1"/>
                <w:color w:val="auto"/>
              </w:rPr>
              <w:t>Number of optons</w:t>
            </w:r>
          </w:p>
        </w:tc>
        <w:tc>
          <w:tcPr>
            <w:tcW w:w="1660" w:type="dxa"/>
            <w:vAlign w:val="bottom"/>
          </w:tcPr>
          <w:p>
            <w:pPr>
              <w:jc w:val="right"/>
              <w:ind w:right="99"/>
              <w:spacing w:after="0"/>
              <w:rPr>
                <w:sz w:val="20"/>
                <w:szCs w:val="20"/>
                <w:color w:val="auto"/>
              </w:rPr>
            </w:pPr>
            <w:r>
              <w:rPr>
                <w:rFonts w:ascii="Calibri" w:cs="Calibri" w:eastAsia="Calibri" w:hAnsi="Calibri"/>
                <w:sz w:val="16"/>
                <w:szCs w:val="16"/>
                <w:b w:val="1"/>
                <w:bCs w:val="1"/>
                <w:color w:val="auto"/>
              </w:rPr>
              <w:t>Weighted average</w:t>
            </w:r>
          </w:p>
        </w:tc>
        <w:tc>
          <w:tcPr>
            <w:tcW w:w="1640" w:type="dxa"/>
            <w:vAlign w:val="bottom"/>
          </w:tcPr>
          <w:p>
            <w:pPr>
              <w:jc w:val="right"/>
              <w:spacing w:after="0"/>
              <w:rPr>
                <w:sz w:val="20"/>
                <w:szCs w:val="20"/>
                <w:color w:val="auto"/>
              </w:rPr>
            </w:pPr>
            <w:r>
              <w:rPr>
                <w:rFonts w:ascii="Calibri" w:cs="Calibri" w:eastAsia="Calibri" w:hAnsi="Calibri"/>
                <w:sz w:val="16"/>
                <w:szCs w:val="16"/>
                <w:b w:val="1"/>
                <w:bCs w:val="1"/>
                <w:color w:val="auto"/>
              </w:rPr>
              <w:t>Recognized estmated</w:t>
            </w:r>
          </w:p>
        </w:tc>
      </w:tr>
      <w:tr>
        <w:trPr>
          <w:trHeight w:val="193"/>
        </w:trPr>
        <w:tc>
          <w:tcPr>
            <w:tcW w:w="2160" w:type="dxa"/>
            <w:vAlign w:val="bottom"/>
          </w:tcPr>
          <w:p>
            <w:pPr>
              <w:spacing w:after="0"/>
              <w:rPr>
                <w:sz w:val="16"/>
                <w:szCs w:val="16"/>
                <w:color w:val="auto"/>
              </w:rPr>
            </w:pPr>
          </w:p>
        </w:tc>
        <w:tc>
          <w:tcPr>
            <w:tcW w:w="2000" w:type="dxa"/>
            <w:vAlign w:val="bottom"/>
          </w:tcPr>
          <w:p>
            <w:pPr>
              <w:jc w:val="right"/>
              <w:ind w:right="199"/>
              <w:spacing w:after="0" w:line="193" w:lineRule="exact"/>
              <w:rPr>
                <w:sz w:val="20"/>
                <w:szCs w:val="20"/>
                <w:color w:val="auto"/>
              </w:rPr>
            </w:pPr>
            <w:r>
              <w:rPr>
                <w:rFonts w:ascii="Calibri" w:cs="Calibri" w:eastAsia="Calibri" w:hAnsi="Calibri"/>
                <w:sz w:val="16"/>
                <w:szCs w:val="16"/>
                <w:b w:val="1"/>
                <w:bCs w:val="1"/>
                <w:color w:val="auto"/>
              </w:rPr>
              <w:t>Exercise Price</w:t>
            </w:r>
          </w:p>
        </w:tc>
        <w:tc>
          <w:tcPr>
            <w:tcW w:w="1740" w:type="dxa"/>
            <w:vAlign w:val="bottom"/>
          </w:tcPr>
          <w:p>
            <w:pPr>
              <w:jc w:val="right"/>
              <w:ind w:right="179"/>
              <w:spacing w:after="0" w:line="193" w:lineRule="exact"/>
              <w:rPr>
                <w:sz w:val="20"/>
                <w:szCs w:val="20"/>
                <w:color w:val="auto"/>
              </w:rPr>
            </w:pPr>
            <w:r>
              <w:rPr>
                <w:rFonts w:ascii="Calibri" w:cs="Calibri" w:eastAsia="Calibri" w:hAnsi="Calibri"/>
                <w:sz w:val="16"/>
                <w:szCs w:val="16"/>
                <w:b w:val="1"/>
                <w:bCs w:val="1"/>
                <w:color w:val="auto"/>
              </w:rPr>
              <w:t>outstanding</w:t>
            </w:r>
          </w:p>
        </w:tc>
        <w:tc>
          <w:tcPr>
            <w:tcW w:w="1780" w:type="dxa"/>
            <w:vAlign w:val="bottom"/>
          </w:tcPr>
          <w:p>
            <w:pPr>
              <w:jc w:val="right"/>
              <w:ind w:right="199"/>
              <w:spacing w:after="0" w:line="193" w:lineRule="exact"/>
              <w:rPr>
                <w:sz w:val="20"/>
                <w:szCs w:val="20"/>
                <w:color w:val="auto"/>
              </w:rPr>
            </w:pPr>
            <w:r>
              <w:rPr>
                <w:rFonts w:ascii="Calibri" w:cs="Calibri" w:eastAsia="Calibri" w:hAnsi="Calibri"/>
                <w:sz w:val="16"/>
                <w:szCs w:val="16"/>
                <w:b w:val="1"/>
                <w:bCs w:val="1"/>
                <w:color w:val="auto"/>
              </w:rPr>
              <w:t>exercisable</w:t>
            </w:r>
          </w:p>
        </w:tc>
        <w:tc>
          <w:tcPr>
            <w:tcW w:w="1660" w:type="dxa"/>
            <w:vAlign w:val="bottom"/>
          </w:tcPr>
          <w:p>
            <w:pPr>
              <w:jc w:val="right"/>
              <w:ind w:right="99"/>
              <w:spacing w:after="0" w:line="193" w:lineRule="exact"/>
              <w:rPr>
                <w:sz w:val="20"/>
                <w:szCs w:val="20"/>
                <w:color w:val="auto"/>
              </w:rPr>
            </w:pPr>
            <w:r>
              <w:rPr>
                <w:rFonts w:ascii="Calibri" w:cs="Calibri" w:eastAsia="Calibri" w:hAnsi="Calibri"/>
                <w:sz w:val="16"/>
                <w:szCs w:val="16"/>
                <w:b w:val="1"/>
                <w:bCs w:val="1"/>
                <w:color w:val="auto"/>
              </w:rPr>
              <w:t>remaining life</w:t>
            </w:r>
          </w:p>
        </w:tc>
        <w:tc>
          <w:tcPr>
            <w:tcW w:w="16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grant date fair value</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2"/>
        </w:trPr>
        <w:tc>
          <w:tcPr>
            <w:tcW w:w="216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Expiry date</w:t>
            </w:r>
          </w:p>
        </w:tc>
        <w:tc>
          <w:tcPr>
            <w:tcW w:w="2000" w:type="dxa"/>
            <w:vAlign w:val="bottom"/>
            <w:tcBorders>
              <w:bottom w:val="single" w:sz="8" w:color="auto"/>
            </w:tcBorders>
          </w:tcPr>
          <w:p>
            <w:pPr>
              <w:jc w:val="right"/>
              <w:ind w:right="199"/>
              <w:spacing w:after="0" w:line="192" w:lineRule="exact"/>
              <w:rPr>
                <w:sz w:val="20"/>
                <w:szCs w:val="20"/>
                <w:color w:val="auto"/>
              </w:rPr>
            </w:pPr>
            <w:r>
              <w:rPr>
                <w:rFonts w:ascii="Calibri" w:cs="Calibri" w:eastAsia="Calibri" w:hAnsi="Calibri"/>
                <w:sz w:val="16"/>
                <w:szCs w:val="16"/>
                <w:b w:val="1"/>
                <w:bCs w:val="1"/>
                <w:color w:val="auto"/>
              </w:rPr>
              <w:t>$</w:t>
            </w:r>
          </w:p>
        </w:tc>
        <w:tc>
          <w:tcPr>
            <w:tcW w:w="17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Years</w:t>
            </w:r>
          </w:p>
        </w:tc>
        <w:tc>
          <w:tcPr>
            <w:tcW w:w="16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$000’s</w:t>
            </w:r>
          </w:p>
        </w:tc>
      </w:tr>
      <w:tr>
        <w:trPr>
          <w:trHeight w:val="192"/>
        </w:trPr>
        <w:tc>
          <w:tcPr>
            <w:tcW w:w="2160" w:type="dxa"/>
            <w:vAlign w:val="bottom"/>
          </w:tcPr>
          <w:p>
            <w:pPr>
              <w:ind w:left="20"/>
              <w:spacing w:after="0" w:line="192" w:lineRule="exact"/>
              <w:rPr>
                <w:sz w:val="20"/>
                <w:szCs w:val="20"/>
                <w:color w:val="auto"/>
              </w:rPr>
            </w:pPr>
            <w:r>
              <w:rPr>
                <w:rFonts w:ascii="Calibri" w:cs="Calibri" w:eastAsia="Calibri" w:hAnsi="Calibri"/>
                <w:sz w:val="16"/>
                <w:szCs w:val="16"/>
                <w:color w:val="auto"/>
              </w:rPr>
              <w:t>June 30, 2023</w:t>
            </w:r>
          </w:p>
        </w:tc>
        <w:tc>
          <w:tcPr>
            <w:tcW w:w="2000" w:type="dxa"/>
            <w:vAlign w:val="bottom"/>
          </w:tcPr>
          <w:p>
            <w:pPr>
              <w:jc w:val="right"/>
              <w:ind w:right="159"/>
              <w:spacing w:after="0" w:line="192" w:lineRule="exact"/>
              <w:rPr>
                <w:sz w:val="20"/>
                <w:szCs w:val="20"/>
                <w:color w:val="auto"/>
              </w:rPr>
            </w:pPr>
            <w:r>
              <w:rPr>
                <w:rFonts w:ascii="Calibri" w:cs="Calibri" w:eastAsia="Calibri" w:hAnsi="Calibri"/>
                <w:sz w:val="16"/>
                <w:szCs w:val="16"/>
                <w:color w:val="auto"/>
              </w:rPr>
              <w:t>2.78</w:t>
            </w:r>
          </w:p>
        </w:tc>
        <w:tc>
          <w:tcPr>
            <w:tcW w:w="1740" w:type="dxa"/>
            <w:vAlign w:val="bottom"/>
          </w:tcPr>
          <w:p>
            <w:pPr>
              <w:jc w:val="right"/>
              <w:ind w:right="179"/>
              <w:spacing w:after="0" w:line="192" w:lineRule="exact"/>
              <w:rPr>
                <w:sz w:val="20"/>
                <w:szCs w:val="20"/>
                <w:color w:val="auto"/>
              </w:rPr>
            </w:pPr>
            <w:r>
              <w:rPr>
                <w:rFonts w:ascii="Calibri" w:cs="Calibri" w:eastAsia="Calibri" w:hAnsi="Calibri"/>
                <w:sz w:val="16"/>
                <w:szCs w:val="16"/>
                <w:color w:val="auto"/>
              </w:rPr>
              <w:t>20,000</w:t>
            </w:r>
          </w:p>
        </w:tc>
        <w:tc>
          <w:tcPr>
            <w:tcW w:w="1780" w:type="dxa"/>
            <w:vAlign w:val="bottom"/>
          </w:tcPr>
          <w:p>
            <w:pPr>
              <w:jc w:val="right"/>
              <w:ind w:right="199"/>
              <w:spacing w:after="0" w:line="192" w:lineRule="exact"/>
              <w:rPr>
                <w:sz w:val="20"/>
                <w:szCs w:val="20"/>
                <w:color w:val="auto"/>
              </w:rPr>
            </w:pPr>
            <w:r>
              <w:rPr>
                <w:rFonts w:ascii="Calibri" w:cs="Calibri" w:eastAsia="Calibri" w:hAnsi="Calibri"/>
                <w:sz w:val="16"/>
                <w:szCs w:val="16"/>
                <w:color w:val="auto"/>
              </w:rPr>
              <w:t>20,000</w:t>
            </w:r>
          </w:p>
        </w:tc>
        <w:tc>
          <w:tcPr>
            <w:tcW w:w="1660" w:type="dxa"/>
            <w:vAlign w:val="bottom"/>
          </w:tcPr>
          <w:p>
            <w:pPr>
              <w:jc w:val="right"/>
              <w:ind w:right="59"/>
              <w:spacing w:after="0" w:line="192" w:lineRule="exact"/>
              <w:rPr>
                <w:sz w:val="20"/>
                <w:szCs w:val="20"/>
                <w:color w:val="auto"/>
              </w:rPr>
            </w:pPr>
            <w:r>
              <w:rPr>
                <w:rFonts w:ascii="Calibri" w:cs="Calibri" w:eastAsia="Calibri" w:hAnsi="Calibri"/>
                <w:sz w:val="16"/>
                <w:szCs w:val="16"/>
                <w:color w:val="auto"/>
              </w:rPr>
              <w:t>0.50</w:t>
            </w:r>
          </w:p>
        </w:tc>
        <w:tc>
          <w:tcPr>
            <w:tcW w:w="1640" w:type="dxa"/>
            <w:vAlign w:val="bottom"/>
          </w:tcPr>
          <w:p>
            <w:pPr>
              <w:jc w:val="right"/>
              <w:spacing w:after="0" w:line="192" w:lineRule="exact"/>
              <w:rPr>
                <w:sz w:val="20"/>
                <w:szCs w:val="20"/>
                <w:color w:val="auto"/>
              </w:rPr>
            </w:pPr>
            <w:r>
              <w:rPr>
                <w:rFonts w:ascii="Calibri" w:cs="Calibri" w:eastAsia="Calibri" w:hAnsi="Calibri"/>
                <w:sz w:val="16"/>
                <w:szCs w:val="16"/>
                <w:color w:val="auto"/>
              </w:rPr>
              <w:t>24</w:t>
            </w:r>
          </w:p>
        </w:tc>
      </w:tr>
      <w:tr>
        <w:trPr>
          <w:trHeight w:val="198"/>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5, 2023</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156,250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156,250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0.85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326</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31, 2024</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56,250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56,250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1.25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55</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June 15,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0.25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2,350,000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2,350,000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2.46</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420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June 30,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2.50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183</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August 14,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800,000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2.62</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262</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September 30,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270,000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213,750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2.75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82</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October 12,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3,000,000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2.78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1,607</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4,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5,700,000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5,700,000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2.85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2,975</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13,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0.88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2.87</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315</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0.91</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2.88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53</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November 15,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0.75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375,000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375,000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2.88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110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11,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2.95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740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14,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1.74</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2,264,100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2,264,100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2.96</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2,809</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28, 2025</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1.89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760,000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760,000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2.99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1,027</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January 2,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1.89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225,000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225,000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3.01</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304</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February 15,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2.03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170,000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160,625</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3.13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246</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February 16,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2.03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3.13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218</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10,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1.39</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1,272,600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1,272,600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3.19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1,272</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15,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1.55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3.21</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360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28,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1.36</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1,575,000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1,556,250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3.24</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1,538</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29,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37,500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3.24</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36</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31,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1.35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270,000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238,750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3.25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258</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June 28,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2.90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3,360,000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2,663,750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3.49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6,901</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August 16,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215,000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161,250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3.63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363</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August 18,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2.48</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300,000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225,000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3.63</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491</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September 27,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545,000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340,625</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3.74</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992</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September 27,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2.87</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195,000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146,250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3.74</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380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September 30,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125,000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3.75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350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31,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40,000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25,000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4.00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32</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December 31, 2026</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1.50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1,250,000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350,000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4.00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916</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4, 2027</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1.13</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1,075,600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672,250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4.18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760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4, 2027</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3.15</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60,000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30,000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4.18</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30</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March 8, 2027</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1.02</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400,000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400,000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4.19</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295</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June 30, 2027</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65,000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24,375</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4.50</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14</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August 14, 2027</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20,000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7,500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4.62</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9</w:t>
            </w:r>
          </w:p>
        </w:tc>
      </w:tr>
      <w:tr>
        <w:trPr>
          <w:trHeight w:val="206"/>
        </w:trPr>
        <w:tc>
          <w:tcPr>
            <w:tcW w:w="2160" w:type="dxa"/>
            <w:vAlign w:val="bottom"/>
          </w:tcPr>
          <w:p>
            <w:pPr>
              <w:ind w:left="20"/>
              <w:spacing w:after="0"/>
              <w:rPr>
                <w:sz w:val="20"/>
                <w:szCs w:val="20"/>
                <w:color w:val="auto"/>
              </w:rPr>
            </w:pPr>
            <w:r>
              <w:rPr>
                <w:rFonts w:ascii="Calibri" w:cs="Calibri" w:eastAsia="Calibri" w:hAnsi="Calibri"/>
                <w:sz w:val="16"/>
                <w:szCs w:val="16"/>
                <w:color w:val="auto"/>
              </w:rPr>
              <w:t>September 30, 2027</w:t>
            </w:r>
          </w:p>
        </w:tc>
        <w:tc>
          <w:tcPr>
            <w:tcW w:w="2000" w:type="dxa"/>
            <w:vAlign w:val="bottom"/>
          </w:tcPr>
          <w:p>
            <w:pPr>
              <w:jc w:val="right"/>
              <w:ind w:right="159"/>
              <w:spacing w:after="0"/>
              <w:rPr>
                <w:sz w:val="20"/>
                <w:szCs w:val="20"/>
                <w:color w:val="auto"/>
              </w:rPr>
            </w:pPr>
            <w:r>
              <w:rPr>
                <w:rFonts w:ascii="Calibri" w:cs="Calibri" w:eastAsia="Calibri" w:hAnsi="Calibri"/>
                <w:sz w:val="16"/>
                <w:szCs w:val="16"/>
                <w:color w:val="auto"/>
              </w:rPr>
              <w:t>1.00</w:t>
            </w:r>
          </w:p>
        </w:tc>
        <w:tc>
          <w:tcPr>
            <w:tcW w:w="1740" w:type="dxa"/>
            <w:vAlign w:val="bottom"/>
          </w:tcPr>
          <w:p>
            <w:pPr>
              <w:jc w:val="right"/>
              <w:ind w:right="179"/>
              <w:spacing w:after="0"/>
              <w:rPr>
                <w:sz w:val="20"/>
                <w:szCs w:val="20"/>
                <w:color w:val="auto"/>
              </w:rPr>
            </w:pPr>
            <w:r>
              <w:rPr>
                <w:rFonts w:ascii="Calibri" w:cs="Calibri" w:eastAsia="Calibri" w:hAnsi="Calibri"/>
                <w:sz w:val="16"/>
                <w:szCs w:val="16"/>
                <w:color w:val="auto"/>
              </w:rPr>
              <w:t>245,000</w:t>
            </w:r>
          </w:p>
        </w:tc>
        <w:tc>
          <w:tcPr>
            <w:tcW w:w="1780" w:type="dxa"/>
            <w:vAlign w:val="bottom"/>
          </w:tcPr>
          <w:p>
            <w:pPr>
              <w:jc w:val="right"/>
              <w:ind w:right="199"/>
              <w:spacing w:after="0"/>
              <w:rPr>
                <w:sz w:val="20"/>
                <w:szCs w:val="20"/>
                <w:color w:val="auto"/>
              </w:rPr>
            </w:pPr>
            <w:r>
              <w:rPr>
                <w:rFonts w:ascii="Calibri" w:cs="Calibri" w:eastAsia="Calibri" w:hAnsi="Calibri"/>
                <w:sz w:val="16"/>
                <w:szCs w:val="16"/>
                <w:color w:val="auto"/>
              </w:rPr>
              <w:t>58,750</w:t>
            </w:r>
          </w:p>
        </w:tc>
        <w:tc>
          <w:tcPr>
            <w:tcW w:w="1660" w:type="dxa"/>
            <w:vAlign w:val="bottom"/>
          </w:tcPr>
          <w:p>
            <w:pPr>
              <w:jc w:val="right"/>
              <w:ind w:right="59"/>
              <w:spacing w:after="0"/>
              <w:rPr>
                <w:sz w:val="20"/>
                <w:szCs w:val="20"/>
                <w:color w:val="auto"/>
              </w:rPr>
            </w:pPr>
            <w:r>
              <w:rPr>
                <w:rFonts w:ascii="Calibri" w:cs="Calibri" w:eastAsia="Calibri" w:hAnsi="Calibri"/>
                <w:sz w:val="16"/>
                <w:szCs w:val="16"/>
                <w:color w:val="auto"/>
              </w:rPr>
              <w:t>4.75</w:t>
            </w:r>
          </w:p>
        </w:tc>
        <w:tc>
          <w:tcPr>
            <w:tcW w:w="1640" w:type="dxa"/>
            <w:vAlign w:val="bottom"/>
          </w:tcPr>
          <w:p>
            <w:pPr>
              <w:jc w:val="right"/>
              <w:spacing w:after="0"/>
              <w:rPr>
                <w:sz w:val="20"/>
                <w:szCs w:val="20"/>
                <w:color w:val="auto"/>
              </w:rPr>
            </w:pPr>
            <w:r>
              <w:rPr>
                <w:rFonts w:ascii="Calibri" w:cs="Calibri" w:eastAsia="Calibri" w:hAnsi="Calibri"/>
                <w:sz w:val="16"/>
                <w:szCs w:val="16"/>
                <w:color w:val="auto"/>
              </w:rPr>
              <w:t>49</w:t>
            </w:r>
          </w:p>
        </w:tc>
      </w:tr>
      <w:tr>
        <w:trPr>
          <w:trHeight w:val="21"/>
        </w:trPr>
        <w:tc>
          <w:tcPr>
            <w:tcW w:w="2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92"/>
        </w:trPr>
        <w:tc>
          <w:tcPr>
            <w:tcW w:w="2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79"/>
              <w:spacing w:after="0" w:line="192" w:lineRule="exact"/>
              <w:rPr>
                <w:sz w:val="20"/>
                <w:szCs w:val="20"/>
                <w:color w:val="auto"/>
              </w:rPr>
            </w:pPr>
            <w:r>
              <w:rPr>
                <w:rFonts w:ascii="Calibri" w:cs="Calibri" w:eastAsia="Calibri" w:hAnsi="Calibri"/>
                <w:sz w:val="16"/>
                <w:szCs w:val="16"/>
                <w:b w:val="1"/>
                <w:bCs w:val="1"/>
                <w:color w:val="auto"/>
              </w:rPr>
              <w:t>29,622,300</w:t>
            </w:r>
          </w:p>
        </w:tc>
        <w:tc>
          <w:tcPr>
            <w:tcW w:w="1780" w:type="dxa"/>
            <w:vAlign w:val="bottom"/>
            <w:tcBorders>
              <w:bottom w:val="single" w:sz="8" w:color="auto"/>
            </w:tcBorders>
          </w:tcPr>
          <w:p>
            <w:pPr>
              <w:jc w:val="right"/>
              <w:ind w:right="199"/>
              <w:spacing w:after="0" w:line="192" w:lineRule="exact"/>
              <w:rPr>
                <w:sz w:val="20"/>
                <w:szCs w:val="20"/>
                <w:color w:val="auto"/>
              </w:rPr>
            </w:pPr>
            <w:r>
              <w:rPr>
                <w:rFonts w:ascii="Calibri" w:cs="Calibri" w:eastAsia="Calibri" w:hAnsi="Calibri"/>
                <w:sz w:val="16"/>
                <w:szCs w:val="16"/>
                <w:b w:val="1"/>
                <w:bCs w:val="1"/>
                <w:color w:val="auto"/>
              </w:rPr>
              <w:t>26,265,825</w:t>
            </w:r>
          </w:p>
        </w:tc>
        <w:tc>
          <w:tcPr>
            <w:tcW w:w="1660" w:type="dxa"/>
            <w:vAlign w:val="bottom"/>
            <w:tcBorders>
              <w:bottom w:val="single" w:sz="8" w:color="auto"/>
            </w:tcBorders>
          </w:tcPr>
          <w:p>
            <w:pPr>
              <w:jc w:val="right"/>
              <w:ind w:right="99"/>
              <w:spacing w:after="0" w:line="192" w:lineRule="exact"/>
              <w:rPr>
                <w:sz w:val="20"/>
                <w:szCs w:val="20"/>
                <w:color w:val="auto"/>
              </w:rPr>
            </w:pPr>
            <w:r>
              <w:rPr>
                <w:rFonts w:ascii="Calibri" w:cs="Calibri" w:eastAsia="Calibri" w:hAnsi="Calibri"/>
                <w:sz w:val="16"/>
                <w:szCs w:val="16"/>
                <w:b w:val="1"/>
                <w:bCs w:val="1"/>
                <w:color w:val="auto"/>
              </w:rPr>
              <w:t>3.10</w:t>
            </w:r>
          </w:p>
        </w:tc>
        <w:tc>
          <w:tcPr>
            <w:tcW w:w="16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26,802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18 of 25</w:t>
      </w:r>
    </w:p>
    <w:p>
      <w:pPr>
        <w:sectPr>
          <w:pgSz w:w="11900" w:h="16838" w:orient="portrait"/>
          <w:cols w:equalWidth="0" w:num="1">
            <w:col w:w="11200"/>
          </w:cols>
          <w:pgMar w:left="380" w:top="162" w:right="319" w:bottom="1440" w:gutter="0" w:footer="0" w:header="0"/>
        </w:sectPr>
      </w:pPr>
    </w:p>
    <w:bookmarkStart w:id="21" w:name="page22"/>
    <w:bookmarkEnd w:id="21"/>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3"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3"/>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629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3"/>
        <w:spacing w:after="0" w:line="237" w:lineRule="auto"/>
        <w:rPr>
          <w:sz w:val="20"/>
          <w:szCs w:val="20"/>
          <w:color w:val="auto"/>
        </w:rPr>
      </w:pPr>
      <w:r>
        <w:rPr>
          <w:rFonts w:ascii="Calibri" w:cs="Calibri" w:eastAsia="Calibri" w:hAnsi="Calibri"/>
          <w:sz w:val="16"/>
          <w:szCs w:val="16"/>
          <w:color w:val="auto"/>
        </w:rPr>
        <w:t>The Company recognized share-based payments expense related to the issuance of stock optons for the three and nine months ended December 31, 2022 of $978 and $4,199, respectvely.</w:t>
      </w:r>
    </w:p>
    <w:p>
      <w:pPr>
        <w:spacing w:after="0" w:line="172" w:lineRule="exact"/>
        <w:rPr>
          <w:sz w:val="20"/>
          <w:szCs w:val="20"/>
          <w:color w:val="auto"/>
        </w:rPr>
      </w:pPr>
    </w:p>
    <w:p>
      <w:pPr>
        <w:ind w:left="283" w:right="20"/>
        <w:spacing w:after="0" w:line="237" w:lineRule="auto"/>
        <w:rPr>
          <w:sz w:val="20"/>
          <w:szCs w:val="20"/>
          <w:color w:val="auto"/>
        </w:rPr>
      </w:pPr>
      <w:r>
        <w:rPr>
          <w:rFonts w:ascii="Calibri" w:cs="Calibri" w:eastAsia="Calibri" w:hAnsi="Calibri"/>
          <w:sz w:val="16"/>
          <w:szCs w:val="16"/>
          <w:color w:val="auto"/>
        </w:rPr>
        <w:t>The outstanding optons and warrants disclosed above were ant-dilutve for the three and nine months ended December 31, 2022 and did not impact the calculaton of the loss per share.</w:t>
      </w:r>
    </w:p>
    <w:p>
      <w:pPr>
        <w:spacing w:after="0" w:line="158" w:lineRule="exact"/>
        <w:rPr>
          <w:sz w:val="20"/>
          <w:szCs w:val="20"/>
          <w:color w:val="auto"/>
        </w:rPr>
      </w:pPr>
    </w:p>
    <w:p>
      <w:pPr>
        <w:ind w:left="3"/>
        <w:spacing w:after="0"/>
        <w:tabs>
          <w:tab w:leader="none" w:pos="243" w:val="left"/>
        </w:tabs>
        <w:rPr>
          <w:sz w:val="20"/>
          <w:szCs w:val="20"/>
          <w:color w:val="auto"/>
        </w:rPr>
      </w:pPr>
      <w:r>
        <w:rPr>
          <w:rFonts w:ascii="Calibri" w:cs="Calibri" w:eastAsia="Calibri" w:hAnsi="Calibri"/>
          <w:sz w:val="16"/>
          <w:szCs w:val="16"/>
          <w:b w:val="1"/>
          <w:bCs w:val="1"/>
          <w:color w:val="2D5F91"/>
        </w:rPr>
        <w:t>9.</w:t>
      </w:r>
      <w:r>
        <w:rPr>
          <w:sz w:val="20"/>
          <w:szCs w:val="20"/>
          <w:color w:val="auto"/>
        </w:rPr>
        <w:tab/>
      </w:r>
      <w:r>
        <w:rPr>
          <w:rFonts w:ascii="Calibri" w:cs="Calibri" w:eastAsia="Calibri" w:hAnsi="Calibri"/>
          <w:sz w:val="15"/>
          <w:szCs w:val="15"/>
          <w:b w:val="1"/>
          <w:bCs w:val="1"/>
          <w:color w:val="2D5F91"/>
        </w:rPr>
        <w:t>RELATED PARTY TRANSACTIONS AND BALANCES</w:t>
      </w:r>
    </w:p>
    <w:p>
      <w:pPr>
        <w:spacing w:after="0" w:line="158" w:lineRule="exact"/>
        <w:rPr>
          <w:sz w:val="20"/>
          <w:szCs w:val="20"/>
          <w:color w:val="auto"/>
        </w:rPr>
      </w:pPr>
    </w:p>
    <w:p>
      <w:pPr>
        <w:ind w:left="283"/>
        <w:spacing w:after="0" w:line="237" w:lineRule="auto"/>
        <w:rPr>
          <w:sz w:val="20"/>
          <w:szCs w:val="20"/>
          <w:color w:val="auto"/>
        </w:rPr>
      </w:pPr>
      <w:r>
        <w:rPr>
          <w:rFonts w:ascii="Calibri" w:cs="Calibri" w:eastAsia="Calibri" w:hAnsi="Calibri"/>
          <w:sz w:val="16"/>
          <w:szCs w:val="16"/>
          <w:color w:val="auto"/>
        </w:rPr>
        <w:t>Key management personnel include persons having the authority and responsibility for planning, directng, and controlling the actvites of the Company as a whole. The Company has determined its key management personnel to be executve ofcers and directors of the Company.</w:t>
      </w:r>
    </w:p>
    <w:p>
      <w:pPr>
        <w:spacing w:after="0" w:line="170"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At December 31, 2022, accounts payable and accrued liabilites include accrued executve bonuses of $1,036.</w:t>
      </w:r>
    </w:p>
    <w:p>
      <w:pPr>
        <w:spacing w:after="0" w:line="156"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The remuneraton of key management personnel for the three and nine months ended December 31, 2021 and 2022 are as follows:</w:t>
      </w:r>
    </w:p>
    <w:p>
      <w:pPr>
        <w:spacing w:after="0" w:line="169"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alibri" w:cs="Calibri" w:eastAsia="Calibri" w:hAnsi="Calibri"/>
                <w:sz w:val="16"/>
                <w:szCs w:val="16"/>
                <w:b w:val="1"/>
                <w:bCs w:val="1"/>
                <w:color w:val="auto"/>
              </w:rPr>
              <w:t>Nine-months ended</w:t>
            </w:r>
          </w:p>
        </w:tc>
      </w:tr>
      <w:tr>
        <w:trPr>
          <w:trHeight w:val="193"/>
        </w:trPr>
        <w:tc>
          <w:tcPr>
            <w:tcW w:w="3540" w:type="dxa"/>
            <w:vAlign w:val="bottom"/>
          </w:tcPr>
          <w:p>
            <w:pPr>
              <w:spacing w:after="0"/>
              <w:rPr>
                <w:sz w:val="16"/>
                <w:szCs w:val="16"/>
                <w:color w:val="auto"/>
              </w:rPr>
            </w:pPr>
          </w:p>
        </w:tc>
        <w:tc>
          <w:tcPr>
            <w:tcW w:w="4320" w:type="dxa"/>
            <w:vAlign w:val="bottom"/>
            <w:gridSpan w:val="2"/>
          </w:tcPr>
          <w:p>
            <w:pPr>
              <w:jc w:val="right"/>
              <w:ind w:right="559"/>
              <w:spacing w:after="0" w:line="193" w:lineRule="exact"/>
              <w:rPr>
                <w:sz w:val="20"/>
                <w:szCs w:val="20"/>
                <w:color w:val="auto"/>
              </w:rPr>
            </w:pPr>
            <w:r>
              <w:rPr>
                <w:rFonts w:ascii="Calibri" w:cs="Calibri" w:eastAsia="Calibri" w:hAnsi="Calibri"/>
                <w:sz w:val="16"/>
                <w:szCs w:val="16"/>
                <w:b w:val="1"/>
                <w:bCs w:val="1"/>
                <w:color w:val="auto"/>
              </w:rPr>
              <w:t>Three-months ended December 31,</w:t>
            </w:r>
          </w:p>
        </w:tc>
        <w:tc>
          <w:tcPr>
            <w:tcW w:w="1140" w:type="dxa"/>
            <w:vAlign w:val="bottom"/>
          </w:tcPr>
          <w:p>
            <w:pPr>
              <w:spacing w:after="0"/>
              <w:rPr>
                <w:sz w:val="16"/>
                <w:szCs w:val="16"/>
                <w:color w:val="auto"/>
              </w:rPr>
            </w:pPr>
          </w:p>
        </w:tc>
        <w:tc>
          <w:tcPr>
            <w:tcW w:w="154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December 31,</w:t>
            </w:r>
          </w:p>
        </w:tc>
      </w:tr>
      <w:tr>
        <w:trPr>
          <w:trHeight w:val="206"/>
        </w:trPr>
        <w:tc>
          <w:tcPr>
            <w:tcW w:w="3540" w:type="dxa"/>
            <w:vAlign w:val="bottom"/>
          </w:tcPr>
          <w:p>
            <w:pPr>
              <w:spacing w:after="0"/>
              <w:rPr>
                <w:sz w:val="17"/>
                <w:szCs w:val="17"/>
                <w:color w:val="auto"/>
              </w:rPr>
            </w:pPr>
          </w:p>
        </w:tc>
        <w:tc>
          <w:tcPr>
            <w:tcW w:w="268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2022</w:t>
            </w:r>
          </w:p>
        </w:tc>
        <w:tc>
          <w:tcPr>
            <w:tcW w:w="16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2021</w:t>
            </w:r>
          </w:p>
        </w:tc>
        <w:tc>
          <w:tcPr>
            <w:tcW w:w="114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2022</w:t>
            </w:r>
          </w:p>
        </w:tc>
        <w:tc>
          <w:tcPr>
            <w:tcW w:w="1540" w:type="dxa"/>
            <w:vAlign w:val="bottom"/>
          </w:tcPr>
          <w:p>
            <w:pPr>
              <w:jc w:val="right"/>
              <w:spacing w:after="0"/>
              <w:rPr>
                <w:sz w:val="20"/>
                <w:szCs w:val="20"/>
                <w:color w:val="auto"/>
              </w:rPr>
            </w:pPr>
            <w:r>
              <w:rPr>
                <w:rFonts w:ascii="Calibri" w:cs="Calibri" w:eastAsia="Calibri" w:hAnsi="Calibri"/>
                <w:sz w:val="16"/>
                <w:szCs w:val="16"/>
                <w:b w:val="1"/>
                <w:bCs w:val="1"/>
                <w:color w:val="auto"/>
              </w:rPr>
              <w:t>2021</w:t>
            </w:r>
          </w:p>
        </w:tc>
      </w:tr>
      <w:tr>
        <w:trPr>
          <w:trHeight w:val="206"/>
        </w:trPr>
        <w:tc>
          <w:tcPr>
            <w:tcW w:w="3540" w:type="dxa"/>
            <w:vAlign w:val="bottom"/>
          </w:tcPr>
          <w:p>
            <w:pPr>
              <w:spacing w:after="0"/>
              <w:rPr>
                <w:sz w:val="17"/>
                <w:szCs w:val="17"/>
                <w:color w:val="auto"/>
              </w:rPr>
            </w:pPr>
          </w:p>
        </w:tc>
        <w:tc>
          <w:tcPr>
            <w:tcW w:w="268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64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14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w:t>
            </w:r>
          </w:p>
        </w:tc>
        <w:tc>
          <w:tcPr>
            <w:tcW w:w="154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1"/>
        </w:trPr>
        <w:tc>
          <w:tcPr>
            <w:tcW w:w="3540" w:type="dxa"/>
            <w:vAlign w:val="bottom"/>
          </w:tcPr>
          <w:p>
            <w:pPr>
              <w:ind w:left="60"/>
              <w:spacing w:after="0" w:line="191" w:lineRule="exact"/>
              <w:rPr>
                <w:sz w:val="20"/>
                <w:szCs w:val="20"/>
                <w:color w:val="auto"/>
              </w:rPr>
            </w:pPr>
            <w:r>
              <w:rPr>
                <w:rFonts w:ascii="Calibri" w:cs="Calibri" w:eastAsia="Calibri" w:hAnsi="Calibri"/>
                <w:sz w:val="15"/>
                <w:szCs w:val="15"/>
                <w:color w:val="auto"/>
              </w:rPr>
              <w:t>Payroll, consultng and benefts</w:t>
            </w:r>
            <w:r>
              <w:rPr>
                <w:rFonts w:ascii="Calibri" w:cs="Calibri" w:eastAsia="Calibri" w:hAnsi="Calibri"/>
                <w:sz w:val="20"/>
                <w:szCs w:val="20"/>
                <w:color w:val="auto"/>
                <w:vertAlign w:val="superscript"/>
              </w:rPr>
              <w:t>(1)</w:t>
            </w:r>
          </w:p>
        </w:tc>
        <w:tc>
          <w:tcPr>
            <w:tcW w:w="2680" w:type="dxa"/>
            <w:vAlign w:val="bottom"/>
          </w:tcPr>
          <w:p>
            <w:pPr>
              <w:jc w:val="right"/>
              <w:ind w:right="559"/>
              <w:spacing w:after="0" w:line="191" w:lineRule="exact"/>
              <w:rPr>
                <w:sz w:val="20"/>
                <w:szCs w:val="20"/>
                <w:color w:val="auto"/>
              </w:rPr>
            </w:pPr>
            <w:r>
              <w:rPr>
                <w:rFonts w:ascii="Calibri" w:cs="Calibri" w:eastAsia="Calibri" w:hAnsi="Calibri"/>
                <w:sz w:val="16"/>
                <w:szCs w:val="16"/>
                <w:b w:val="1"/>
                <w:bCs w:val="1"/>
                <w:color w:val="auto"/>
              </w:rPr>
              <w:t>1,436</w:t>
            </w:r>
          </w:p>
        </w:tc>
        <w:tc>
          <w:tcPr>
            <w:tcW w:w="1640" w:type="dxa"/>
            <w:vAlign w:val="bottom"/>
          </w:tcPr>
          <w:p>
            <w:pPr>
              <w:jc w:val="right"/>
              <w:ind w:right="559"/>
              <w:spacing w:after="0" w:line="191" w:lineRule="exact"/>
              <w:rPr>
                <w:sz w:val="20"/>
                <w:szCs w:val="20"/>
                <w:color w:val="auto"/>
              </w:rPr>
            </w:pPr>
            <w:r>
              <w:rPr>
                <w:rFonts w:ascii="Calibri" w:cs="Calibri" w:eastAsia="Calibri" w:hAnsi="Calibri"/>
                <w:sz w:val="16"/>
                <w:szCs w:val="16"/>
                <w:color w:val="auto"/>
              </w:rPr>
              <w:t>1,154</w:t>
            </w:r>
          </w:p>
        </w:tc>
        <w:tc>
          <w:tcPr>
            <w:tcW w:w="1140" w:type="dxa"/>
            <w:vAlign w:val="bottom"/>
          </w:tcPr>
          <w:p>
            <w:pPr>
              <w:jc w:val="right"/>
              <w:ind w:right="59"/>
              <w:spacing w:after="0" w:line="191" w:lineRule="exact"/>
              <w:rPr>
                <w:sz w:val="20"/>
                <w:szCs w:val="20"/>
                <w:color w:val="auto"/>
              </w:rPr>
            </w:pPr>
            <w:r>
              <w:rPr>
                <w:rFonts w:ascii="Calibri" w:cs="Calibri" w:eastAsia="Calibri" w:hAnsi="Calibri"/>
                <w:sz w:val="16"/>
                <w:szCs w:val="16"/>
                <w:b w:val="1"/>
                <w:bCs w:val="1"/>
                <w:color w:val="auto"/>
              </w:rPr>
              <w:t>4,216</w:t>
            </w:r>
          </w:p>
        </w:tc>
        <w:tc>
          <w:tcPr>
            <w:tcW w:w="1540" w:type="dxa"/>
            <w:vAlign w:val="bottom"/>
          </w:tcPr>
          <w:p>
            <w:pPr>
              <w:jc w:val="right"/>
              <w:spacing w:after="0" w:line="191" w:lineRule="exact"/>
              <w:rPr>
                <w:sz w:val="20"/>
                <w:szCs w:val="20"/>
                <w:color w:val="auto"/>
              </w:rPr>
            </w:pPr>
            <w:r>
              <w:rPr>
                <w:rFonts w:ascii="Calibri" w:cs="Calibri" w:eastAsia="Calibri" w:hAnsi="Calibri"/>
                <w:sz w:val="16"/>
                <w:szCs w:val="16"/>
                <w:color w:val="auto"/>
              </w:rPr>
              <w:t>4,107</w:t>
            </w:r>
          </w:p>
        </w:tc>
      </w:tr>
      <w:tr>
        <w:trPr>
          <w:trHeight w:val="193"/>
        </w:trPr>
        <w:tc>
          <w:tcPr>
            <w:tcW w:w="3540" w:type="dxa"/>
            <w:vAlign w:val="bottom"/>
          </w:tcPr>
          <w:p>
            <w:pPr>
              <w:ind w:left="60"/>
              <w:spacing w:after="0" w:line="193" w:lineRule="exact"/>
              <w:rPr>
                <w:sz w:val="20"/>
                <w:szCs w:val="20"/>
                <w:color w:val="auto"/>
              </w:rPr>
            </w:pPr>
            <w:r>
              <w:rPr>
                <w:rFonts w:ascii="Calibri" w:cs="Calibri" w:eastAsia="Calibri" w:hAnsi="Calibri"/>
                <w:sz w:val="16"/>
                <w:szCs w:val="16"/>
                <w:color w:val="auto"/>
              </w:rPr>
              <w:t>Share-based compensaton</w:t>
            </w:r>
          </w:p>
        </w:tc>
        <w:tc>
          <w:tcPr>
            <w:tcW w:w="26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540" w:type="dxa"/>
            <w:vAlign w:val="bottom"/>
          </w:tcPr>
          <w:p>
            <w:pPr>
              <w:spacing w:after="0"/>
              <w:rPr>
                <w:sz w:val="16"/>
                <w:szCs w:val="16"/>
                <w:color w:val="auto"/>
              </w:rPr>
            </w:pPr>
          </w:p>
        </w:tc>
      </w:tr>
      <w:tr>
        <w:trPr>
          <w:trHeight w:val="206"/>
        </w:trPr>
        <w:tc>
          <w:tcPr>
            <w:tcW w:w="3540" w:type="dxa"/>
            <w:vAlign w:val="bottom"/>
          </w:tcPr>
          <w:p>
            <w:pPr>
              <w:ind w:left="260"/>
              <w:spacing w:after="0"/>
              <w:rPr>
                <w:sz w:val="20"/>
                <w:szCs w:val="20"/>
                <w:color w:val="auto"/>
              </w:rPr>
            </w:pPr>
            <w:r>
              <w:rPr>
                <w:rFonts w:ascii="Calibri" w:cs="Calibri" w:eastAsia="Calibri" w:hAnsi="Calibri"/>
                <w:sz w:val="16"/>
                <w:szCs w:val="16"/>
                <w:color w:val="auto"/>
              </w:rPr>
              <w:t>Optons</w:t>
            </w:r>
          </w:p>
        </w:tc>
        <w:tc>
          <w:tcPr>
            <w:tcW w:w="268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379</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1,911</w:t>
            </w:r>
          </w:p>
        </w:tc>
        <w:tc>
          <w:tcPr>
            <w:tcW w:w="114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2,143</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6,890</w:t>
            </w:r>
          </w:p>
        </w:tc>
      </w:tr>
      <w:tr>
        <w:trPr>
          <w:trHeight w:val="206"/>
        </w:trPr>
        <w:tc>
          <w:tcPr>
            <w:tcW w:w="3540" w:type="dxa"/>
            <w:vAlign w:val="bottom"/>
          </w:tcPr>
          <w:p>
            <w:pPr>
              <w:ind w:left="260"/>
              <w:spacing w:after="0"/>
              <w:rPr>
                <w:sz w:val="20"/>
                <w:szCs w:val="20"/>
                <w:color w:val="auto"/>
              </w:rPr>
            </w:pPr>
            <w:r>
              <w:rPr>
                <w:rFonts w:ascii="Calibri" w:cs="Calibri" w:eastAsia="Calibri" w:hAnsi="Calibri"/>
                <w:sz w:val="16"/>
                <w:szCs w:val="16"/>
                <w:color w:val="auto"/>
              </w:rPr>
              <w:t>Warrants</w:t>
            </w:r>
          </w:p>
        </w:tc>
        <w:tc>
          <w:tcPr>
            <w:tcW w:w="268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640" w:type="dxa"/>
            <w:vAlign w:val="bottom"/>
          </w:tcPr>
          <w:p>
            <w:pPr>
              <w:jc w:val="right"/>
              <w:ind w:right="559"/>
              <w:spacing w:after="0"/>
              <w:rPr>
                <w:sz w:val="20"/>
                <w:szCs w:val="20"/>
                <w:color w:val="auto"/>
              </w:rPr>
            </w:pPr>
            <w:r>
              <w:rPr>
                <w:rFonts w:ascii="Calibri" w:cs="Calibri" w:eastAsia="Calibri" w:hAnsi="Calibri"/>
                <w:sz w:val="16"/>
                <w:szCs w:val="16"/>
                <w:color w:val="auto"/>
              </w:rPr>
              <w:t>30</w:t>
            </w:r>
          </w:p>
        </w:tc>
        <w:tc>
          <w:tcPr>
            <w:tcW w:w="1140" w:type="dxa"/>
            <w:vAlign w:val="bottom"/>
          </w:tcPr>
          <w:p>
            <w:pPr>
              <w:jc w:val="right"/>
              <w:ind w:right="59"/>
              <w:spacing w:after="0"/>
              <w:rPr>
                <w:sz w:val="20"/>
                <w:szCs w:val="20"/>
                <w:color w:val="auto"/>
              </w:rPr>
            </w:pPr>
            <w:r>
              <w:rPr>
                <w:rFonts w:ascii="Calibri" w:cs="Calibri" w:eastAsia="Calibri" w:hAnsi="Calibri"/>
                <w:sz w:val="16"/>
                <w:szCs w:val="16"/>
                <w:b w:val="1"/>
                <w:bCs w:val="1"/>
                <w:color w:val="auto"/>
              </w:rPr>
              <w:t>3</w:t>
            </w:r>
          </w:p>
        </w:tc>
        <w:tc>
          <w:tcPr>
            <w:tcW w:w="1540" w:type="dxa"/>
            <w:vAlign w:val="bottom"/>
          </w:tcPr>
          <w:p>
            <w:pPr>
              <w:jc w:val="right"/>
              <w:spacing w:after="0"/>
              <w:rPr>
                <w:sz w:val="20"/>
                <w:szCs w:val="20"/>
                <w:color w:val="auto"/>
              </w:rPr>
            </w:pPr>
            <w:r>
              <w:rPr>
                <w:rFonts w:ascii="Calibri" w:cs="Calibri" w:eastAsia="Calibri" w:hAnsi="Calibri"/>
                <w:sz w:val="16"/>
                <w:szCs w:val="16"/>
                <w:color w:val="auto"/>
              </w:rPr>
              <w:t>99</w:t>
            </w:r>
          </w:p>
        </w:tc>
      </w:tr>
      <w:tr>
        <w:trPr>
          <w:trHeight w:val="21"/>
        </w:trPr>
        <w:tc>
          <w:tcPr>
            <w:tcW w:w="3540" w:type="dxa"/>
            <w:vAlign w:val="bottom"/>
            <w:tcBorders>
              <w:bottom w:val="single" w:sz="8" w:color="auto"/>
            </w:tcBorders>
          </w:tcPr>
          <w:p>
            <w:pPr>
              <w:spacing w:after="0" w:line="20" w:lineRule="exact"/>
              <w:rPr>
                <w:sz w:val="1"/>
                <w:szCs w:val="1"/>
                <w:color w:val="auto"/>
              </w:rPr>
            </w:pPr>
          </w:p>
        </w:tc>
        <w:tc>
          <w:tcPr>
            <w:tcW w:w="26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92"/>
        </w:trPr>
        <w:tc>
          <w:tcPr>
            <w:tcW w:w="354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268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1,815</w:t>
            </w:r>
          </w:p>
        </w:tc>
        <w:tc>
          <w:tcPr>
            <w:tcW w:w="164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color w:val="auto"/>
              </w:rPr>
              <w:t>3,095</w:t>
            </w:r>
          </w:p>
        </w:tc>
        <w:tc>
          <w:tcPr>
            <w:tcW w:w="1140" w:type="dxa"/>
            <w:vAlign w:val="bottom"/>
            <w:tcBorders>
              <w:bottom w:val="single" w:sz="8" w:color="auto"/>
            </w:tcBorders>
          </w:tcPr>
          <w:p>
            <w:pPr>
              <w:jc w:val="right"/>
              <w:ind w:right="59"/>
              <w:spacing w:after="0" w:line="192" w:lineRule="exact"/>
              <w:rPr>
                <w:sz w:val="20"/>
                <w:szCs w:val="20"/>
                <w:color w:val="auto"/>
              </w:rPr>
            </w:pPr>
            <w:r>
              <w:rPr>
                <w:rFonts w:ascii="Calibri" w:cs="Calibri" w:eastAsia="Calibri" w:hAnsi="Calibri"/>
                <w:sz w:val="16"/>
                <w:szCs w:val="16"/>
                <w:b w:val="1"/>
                <w:bCs w:val="1"/>
                <w:color w:val="auto"/>
              </w:rPr>
              <w:t>6,362</w:t>
            </w:r>
          </w:p>
        </w:tc>
        <w:tc>
          <w:tcPr>
            <w:tcW w:w="15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11,096</w:t>
            </w:r>
          </w:p>
        </w:tc>
      </w:tr>
    </w:tbl>
    <w:p>
      <w:pPr>
        <w:spacing w:after="0" w:line="69" w:lineRule="exact"/>
        <w:rPr>
          <w:sz w:val="20"/>
          <w:szCs w:val="20"/>
          <w:color w:val="auto"/>
        </w:rPr>
      </w:pPr>
    </w:p>
    <w:p>
      <w:pPr>
        <w:jc w:val="both"/>
        <w:ind w:left="283" w:right="20" w:firstLine="8"/>
        <w:spacing w:after="0" w:line="224" w:lineRule="auto"/>
        <w:tabs>
          <w:tab w:leader="none" w:pos="431" w:val="left"/>
        </w:tabs>
        <w:numPr>
          <w:ilvl w:val="1"/>
          <w:numId w:val="6"/>
        </w:numPr>
        <w:rPr>
          <w:rFonts w:ascii="Calibri" w:cs="Calibri" w:eastAsia="Calibri" w:hAnsi="Calibri"/>
          <w:sz w:val="18"/>
          <w:szCs w:val="18"/>
          <w:i w:val="1"/>
          <w:iCs w:val="1"/>
          <w:color w:val="auto"/>
          <w:vertAlign w:val="superscript"/>
        </w:rPr>
      </w:pPr>
      <w:r>
        <w:rPr>
          <w:rFonts w:ascii="Calibri" w:cs="Calibri" w:eastAsia="Calibri" w:hAnsi="Calibri"/>
          <w:sz w:val="14"/>
          <w:szCs w:val="14"/>
          <w:i w:val="1"/>
          <w:iCs w:val="1"/>
          <w:color w:val="auto"/>
        </w:rPr>
        <w:t>For the three-month period ended December 31, 2022, includes $660 presented in the statement of loss and comprehensive loss as a part of “General and administratve costs” and $776 presented in the statement of loss and comprehensive loss as a part of “Research”. For the nine-month period ended December 31, 2022, includes $1,964 presented in the statement of loss and comprehensive loss as a part of “General and administratve costs” and $2,252 presented in the statement of loss and comprehensive loss as a part of “Research”.</w:t>
      </w:r>
    </w:p>
    <w:p>
      <w:pPr>
        <w:spacing w:after="0" w:line="148" w:lineRule="exact"/>
        <w:rPr>
          <w:rFonts w:ascii="Calibri" w:cs="Calibri" w:eastAsia="Calibri" w:hAnsi="Calibri"/>
          <w:sz w:val="18"/>
          <w:szCs w:val="18"/>
          <w:i w:val="1"/>
          <w:iCs w:val="1"/>
          <w:color w:val="auto"/>
          <w:vertAlign w:val="superscript"/>
        </w:rPr>
      </w:pPr>
    </w:p>
    <w:p>
      <w:pPr>
        <w:ind w:left="343" w:hanging="343"/>
        <w:spacing w:after="0"/>
        <w:tabs>
          <w:tab w:leader="none" w:pos="343" w:val="left"/>
        </w:tabs>
        <w:numPr>
          <w:ilvl w:val="0"/>
          <w:numId w:val="7"/>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GENERAL AND ADMINISTRATIVE EXPENSES</w:t>
      </w:r>
    </w:p>
    <w:p>
      <w:pPr>
        <w:spacing w:after="0" w:line="12" w:lineRule="exact"/>
        <w:rPr>
          <w:sz w:val="20"/>
          <w:szCs w:val="20"/>
          <w:color w:val="auto"/>
        </w:rPr>
      </w:pPr>
    </w:p>
    <w:tbl>
      <w:tblPr>
        <w:tblLayout w:type="fixed"/>
        <w:tblInd w:w="223" w:type="dxa"/>
        <w:tblCellMar>
          <w:top w:w="0" w:type="dxa"/>
          <w:left w:w="0" w:type="dxa"/>
          <w:bottom w:w="0" w:type="dxa"/>
          <w:right w:w="0" w:type="dxa"/>
        </w:tblCellMar>
      </w:tblPr>
      <w:tr>
        <w:trPr>
          <w:trHeight w:val="195"/>
        </w:trPr>
        <w:tc>
          <w:tcPr>
            <w:tcW w:w="36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Nine-months ended</w:t>
            </w:r>
          </w:p>
        </w:tc>
      </w:tr>
      <w:tr>
        <w:trPr>
          <w:trHeight w:val="193"/>
        </w:trPr>
        <w:tc>
          <w:tcPr>
            <w:tcW w:w="3640" w:type="dxa"/>
            <w:vAlign w:val="bottom"/>
          </w:tcPr>
          <w:p>
            <w:pPr>
              <w:spacing w:after="0"/>
              <w:rPr>
                <w:sz w:val="16"/>
                <w:szCs w:val="16"/>
                <w:color w:val="auto"/>
              </w:rPr>
            </w:pPr>
          </w:p>
        </w:tc>
        <w:tc>
          <w:tcPr>
            <w:tcW w:w="4460" w:type="dxa"/>
            <w:vAlign w:val="bottom"/>
            <w:gridSpan w:val="2"/>
          </w:tcPr>
          <w:p>
            <w:pPr>
              <w:jc w:val="right"/>
              <w:ind w:right="519"/>
              <w:spacing w:after="0" w:line="193" w:lineRule="exact"/>
              <w:rPr>
                <w:sz w:val="20"/>
                <w:szCs w:val="20"/>
                <w:color w:val="auto"/>
              </w:rPr>
            </w:pPr>
            <w:r>
              <w:rPr>
                <w:rFonts w:ascii="Calibri" w:cs="Calibri" w:eastAsia="Calibri" w:hAnsi="Calibri"/>
                <w:sz w:val="16"/>
                <w:szCs w:val="16"/>
                <w:b w:val="1"/>
                <w:bCs w:val="1"/>
                <w:color w:val="auto"/>
              </w:rPr>
              <w:t>Three-months ended December 31,</w:t>
            </w:r>
          </w:p>
        </w:tc>
        <w:tc>
          <w:tcPr>
            <w:tcW w:w="1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December 31,</w:t>
            </w:r>
          </w:p>
        </w:tc>
      </w:tr>
      <w:tr>
        <w:trPr>
          <w:trHeight w:val="206"/>
        </w:trPr>
        <w:tc>
          <w:tcPr>
            <w:tcW w:w="3640" w:type="dxa"/>
            <w:vAlign w:val="bottom"/>
          </w:tcPr>
          <w:p>
            <w:pPr>
              <w:spacing w:after="0"/>
              <w:rPr>
                <w:sz w:val="17"/>
                <w:szCs w:val="17"/>
                <w:color w:val="auto"/>
              </w:rPr>
            </w:pPr>
          </w:p>
        </w:tc>
        <w:tc>
          <w:tcPr>
            <w:tcW w:w="286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2022</w:t>
            </w:r>
          </w:p>
        </w:tc>
        <w:tc>
          <w:tcPr>
            <w:tcW w:w="160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2021</w:t>
            </w:r>
          </w:p>
        </w:tc>
        <w:tc>
          <w:tcPr>
            <w:tcW w:w="12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2022</w:t>
            </w:r>
          </w:p>
        </w:tc>
        <w:tc>
          <w:tcPr>
            <w:tcW w:w="1560" w:type="dxa"/>
            <w:vAlign w:val="bottom"/>
          </w:tcPr>
          <w:p>
            <w:pPr>
              <w:jc w:val="right"/>
              <w:spacing w:after="0"/>
              <w:rPr>
                <w:sz w:val="20"/>
                <w:szCs w:val="20"/>
                <w:color w:val="auto"/>
              </w:rPr>
            </w:pPr>
            <w:r>
              <w:rPr>
                <w:rFonts w:ascii="Calibri" w:cs="Calibri" w:eastAsia="Calibri" w:hAnsi="Calibri"/>
                <w:sz w:val="16"/>
                <w:szCs w:val="16"/>
                <w:b w:val="1"/>
                <w:bCs w:val="1"/>
                <w:color w:val="auto"/>
              </w:rPr>
              <w:t>2021</w:t>
            </w:r>
          </w:p>
        </w:tc>
      </w:tr>
      <w:tr>
        <w:trPr>
          <w:trHeight w:val="206"/>
        </w:trPr>
        <w:tc>
          <w:tcPr>
            <w:tcW w:w="3640" w:type="dxa"/>
            <w:vAlign w:val="bottom"/>
          </w:tcPr>
          <w:p>
            <w:pPr>
              <w:spacing w:after="0"/>
              <w:rPr>
                <w:sz w:val="17"/>
                <w:szCs w:val="17"/>
                <w:color w:val="auto"/>
              </w:rPr>
            </w:pPr>
          </w:p>
        </w:tc>
        <w:tc>
          <w:tcPr>
            <w:tcW w:w="2860" w:type="dxa"/>
            <w:vAlign w:val="bottom"/>
          </w:tcPr>
          <w:p>
            <w:pPr>
              <w:jc w:val="right"/>
              <w:ind w:right="559"/>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2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15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5"/>
        </w:trPr>
        <w:tc>
          <w:tcPr>
            <w:tcW w:w="3640" w:type="dxa"/>
            <w:vAlign w:val="bottom"/>
          </w:tcPr>
          <w:p>
            <w:pPr>
              <w:ind w:left="20"/>
              <w:spacing w:after="0" w:line="185" w:lineRule="exact"/>
              <w:rPr>
                <w:sz w:val="20"/>
                <w:szCs w:val="20"/>
                <w:color w:val="auto"/>
              </w:rPr>
            </w:pPr>
            <w:r>
              <w:rPr>
                <w:rFonts w:ascii="Calibri" w:cs="Calibri" w:eastAsia="Calibri" w:hAnsi="Calibri"/>
                <w:sz w:val="16"/>
                <w:szCs w:val="16"/>
                <w:color w:val="auto"/>
              </w:rPr>
              <w:t>Payroll, consultng and benefts</w:t>
            </w:r>
          </w:p>
        </w:tc>
        <w:tc>
          <w:tcPr>
            <w:tcW w:w="2860" w:type="dxa"/>
            <w:vAlign w:val="bottom"/>
          </w:tcPr>
          <w:p>
            <w:pPr>
              <w:jc w:val="right"/>
              <w:ind w:right="539"/>
              <w:spacing w:after="0" w:line="185" w:lineRule="exact"/>
              <w:rPr>
                <w:sz w:val="20"/>
                <w:szCs w:val="20"/>
                <w:color w:val="auto"/>
              </w:rPr>
            </w:pPr>
            <w:r>
              <w:rPr>
                <w:rFonts w:ascii="Calibri" w:cs="Calibri" w:eastAsia="Calibri" w:hAnsi="Calibri"/>
                <w:sz w:val="16"/>
                <w:szCs w:val="16"/>
                <w:color w:val="auto"/>
              </w:rPr>
              <w:t>1,419</w:t>
            </w:r>
          </w:p>
        </w:tc>
        <w:tc>
          <w:tcPr>
            <w:tcW w:w="1600" w:type="dxa"/>
            <w:vAlign w:val="bottom"/>
          </w:tcPr>
          <w:p>
            <w:pPr>
              <w:jc w:val="right"/>
              <w:ind w:right="519"/>
              <w:spacing w:after="0" w:line="185" w:lineRule="exact"/>
              <w:rPr>
                <w:sz w:val="20"/>
                <w:szCs w:val="20"/>
                <w:color w:val="auto"/>
              </w:rPr>
            </w:pPr>
            <w:r>
              <w:rPr>
                <w:rFonts w:ascii="Calibri" w:cs="Calibri" w:eastAsia="Calibri" w:hAnsi="Calibri"/>
                <w:sz w:val="16"/>
                <w:szCs w:val="16"/>
                <w:color w:val="auto"/>
              </w:rPr>
              <w:t>1,275</w:t>
            </w:r>
          </w:p>
        </w:tc>
        <w:tc>
          <w:tcPr>
            <w:tcW w:w="120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4,664</w:t>
            </w:r>
          </w:p>
        </w:tc>
        <w:tc>
          <w:tcPr>
            <w:tcW w:w="1560" w:type="dxa"/>
            <w:vAlign w:val="bottom"/>
          </w:tcPr>
          <w:p>
            <w:pPr>
              <w:jc w:val="right"/>
              <w:spacing w:after="0" w:line="185" w:lineRule="exact"/>
              <w:rPr>
                <w:sz w:val="20"/>
                <w:szCs w:val="20"/>
                <w:color w:val="auto"/>
              </w:rPr>
            </w:pPr>
            <w:r>
              <w:rPr>
                <w:rFonts w:ascii="Calibri" w:cs="Calibri" w:eastAsia="Calibri" w:hAnsi="Calibri"/>
                <w:sz w:val="16"/>
                <w:szCs w:val="16"/>
                <w:color w:val="auto"/>
              </w:rPr>
              <w:t>4,848</w:t>
            </w:r>
          </w:p>
        </w:tc>
      </w:tr>
      <w:tr>
        <w:trPr>
          <w:trHeight w:val="198"/>
        </w:trPr>
        <w:tc>
          <w:tcPr>
            <w:tcW w:w="3640" w:type="dxa"/>
            <w:vAlign w:val="bottom"/>
          </w:tcPr>
          <w:p>
            <w:pPr>
              <w:ind w:left="20"/>
              <w:spacing w:after="0"/>
              <w:rPr>
                <w:sz w:val="20"/>
                <w:szCs w:val="20"/>
                <w:color w:val="auto"/>
              </w:rPr>
            </w:pPr>
            <w:r>
              <w:rPr>
                <w:rFonts w:ascii="Calibri" w:cs="Calibri" w:eastAsia="Calibri" w:hAnsi="Calibri"/>
                <w:sz w:val="16"/>
                <w:szCs w:val="16"/>
                <w:color w:val="auto"/>
              </w:rPr>
              <w:t>Capital market</w:t>
            </w:r>
          </w:p>
        </w:tc>
        <w:tc>
          <w:tcPr>
            <w:tcW w:w="2860" w:type="dxa"/>
            <w:vAlign w:val="bottom"/>
          </w:tcPr>
          <w:p>
            <w:pPr>
              <w:jc w:val="right"/>
              <w:ind w:right="539"/>
              <w:spacing w:after="0"/>
              <w:rPr>
                <w:sz w:val="20"/>
                <w:szCs w:val="20"/>
                <w:color w:val="auto"/>
              </w:rPr>
            </w:pPr>
            <w:r>
              <w:rPr>
                <w:rFonts w:ascii="Calibri" w:cs="Calibri" w:eastAsia="Calibri" w:hAnsi="Calibri"/>
                <w:sz w:val="16"/>
                <w:szCs w:val="16"/>
                <w:color w:val="auto"/>
              </w:rPr>
              <w:t>1,788</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2,170</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4,052</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5,362</w:t>
            </w:r>
          </w:p>
        </w:tc>
      </w:tr>
      <w:tr>
        <w:trPr>
          <w:trHeight w:val="206"/>
        </w:trPr>
        <w:tc>
          <w:tcPr>
            <w:tcW w:w="3640" w:type="dxa"/>
            <w:vAlign w:val="bottom"/>
          </w:tcPr>
          <w:p>
            <w:pPr>
              <w:ind w:left="20"/>
              <w:spacing w:after="0"/>
              <w:rPr>
                <w:sz w:val="20"/>
                <w:szCs w:val="20"/>
                <w:color w:val="auto"/>
              </w:rPr>
            </w:pPr>
            <w:r>
              <w:rPr>
                <w:rFonts w:ascii="Calibri" w:cs="Calibri" w:eastAsia="Calibri" w:hAnsi="Calibri"/>
                <w:sz w:val="16"/>
                <w:szCs w:val="16"/>
                <w:color w:val="auto"/>
              </w:rPr>
              <w:t>Ofce and administraton</w:t>
            </w:r>
          </w:p>
        </w:tc>
        <w:tc>
          <w:tcPr>
            <w:tcW w:w="2860" w:type="dxa"/>
            <w:vAlign w:val="bottom"/>
          </w:tcPr>
          <w:p>
            <w:pPr>
              <w:jc w:val="right"/>
              <w:ind w:right="539"/>
              <w:spacing w:after="0"/>
              <w:rPr>
                <w:sz w:val="20"/>
                <w:szCs w:val="20"/>
                <w:color w:val="auto"/>
              </w:rPr>
            </w:pPr>
            <w:r>
              <w:rPr>
                <w:rFonts w:ascii="Calibri" w:cs="Calibri" w:eastAsia="Calibri" w:hAnsi="Calibri"/>
                <w:sz w:val="16"/>
                <w:szCs w:val="16"/>
                <w:color w:val="auto"/>
              </w:rPr>
              <w:t>896</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1,299</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3,046</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3,208</w:t>
            </w:r>
          </w:p>
        </w:tc>
      </w:tr>
      <w:tr>
        <w:trPr>
          <w:trHeight w:val="206"/>
        </w:trPr>
        <w:tc>
          <w:tcPr>
            <w:tcW w:w="364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860" w:type="dxa"/>
            <w:vAlign w:val="bottom"/>
          </w:tcPr>
          <w:p>
            <w:pPr>
              <w:jc w:val="right"/>
              <w:ind w:right="539"/>
              <w:spacing w:after="0"/>
              <w:rPr>
                <w:sz w:val="20"/>
                <w:szCs w:val="20"/>
                <w:color w:val="auto"/>
              </w:rPr>
            </w:pPr>
            <w:r>
              <w:rPr>
                <w:rFonts w:ascii="Calibri" w:cs="Calibri" w:eastAsia="Calibri" w:hAnsi="Calibri"/>
                <w:sz w:val="16"/>
                <w:szCs w:val="16"/>
                <w:color w:val="auto"/>
              </w:rPr>
              <w:t>257</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680</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1,908</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2,473</w:t>
            </w:r>
          </w:p>
        </w:tc>
      </w:tr>
      <w:tr>
        <w:trPr>
          <w:trHeight w:val="206"/>
        </w:trPr>
        <w:tc>
          <w:tcPr>
            <w:tcW w:w="3640" w:type="dxa"/>
            <w:vAlign w:val="bottom"/>
          </w:tcPr>
          <w:p>
            <w:pPr>
              <w:ind w:left="20"/>
              <w:spacing w:after="0"/>
              <w:rPr>
                <w:sz w:val="20"/>
                <w:szCs w:val="20"/>
                <w:color w:val="auto"/>
              </w:rPr>
            </w:pPr>
            <w:r>
              <w:rPr>
                <w:rFonts w:ascii="Calibri" w:cs="Calibri" w:eastAsia="Calibri" w:hAnsi="Calibri"/>
                <w:sz w:val="16"/>
                <w:szCs w:val="16"/>
                <w:color w:val="auto"/>
              </w:rPr>
              <w:t>Marketng media</w:t>
            </w:r>
          </w:p>
        </w:tc>
        <w:tc>
          <w:tcPr>
            <w:tcW w:w="2860" w:type="dxa"/>
            <w:vAlign w:val="bottom"/>
          </w:tcPr>
          <w:p>
            <w:pPr>
              <w:jc w:val="right"/>
              <w:ind w:right="539"/>
              <w:spacing w:after="0"/>
              <w:rPr>
                <w:sz w:val="20"/>
                <w:szCs w:val="20"/>
                <w:color w:val="auto"/>
              </w:rPr>
            </w:pPr>
            <w:r>
              <w:rPr>
                <w:rFonts w:ascii="Calibri" w:cs="Calibri" w:eastAsia="Calibri" w:hAnsi="Calibri"/>
                <w:sz w:val="16"/>
                <w:szCs w:val="16"/>
                <w:color w:val="auto"/>
              </w:rPr>
              <w:t>66</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399</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869</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1,154</w:t>
            </w:r>
          </w:p>
        </w:tc>
      </w:tr>
      <w:tr>
        <w:trPr>
          <w:trHeight w:val="206"/>
        </w:trPr>
        <w:tc>
          <w:tcPr>
            <w:tcW w:w="3640" w:type="dxa"/>
            <w:vAlign w:val="bottom"/>
          </w:tcPr>
          <w:p>
            <w:pPr>
              <w:ind w:left="20"/>
              <w:spacing w:after="0"/>
              <w:rPr>
                <w:sz w:val="20"/>
                <w:szCs w:val="20"/>
                <w:color w:val="auto"/>
              </w:rPr>
            </w:pPr>
            <w:r>
              <w:rPr>
                <w:rFonts w:ascii="Calibri" w:cs="Calibri" w:eastAsia="Calibri" w:hAnsi="Calibri"/>
                <w:sz w:val="16"/>
                <w:szCs w:val="16"/>
                <w:color w:val="auto"/>
              </w:rPr>
              <w:t>Investor relatons</w:t>
            </w:r>
          </w:p>
        </w:tc>
        <w:tc>
          <w:tcPr>
            <w:tcW w:w="2860" w:type="dxa"/>
            <w:vAlign w:val="bottom"/>
          </w:tcPr>
          <w:p>
            <w:pPr>
              <w:jc w:val="right"/>
              <w:ind w:right="539"/>
              <w:spacing w:after="0"/>
              <w:rPr>
                <w:sz w:val="20"/>
                <w:szCs w:val="20"/>
                <w:color w:val="auto"/>
              </w:rPr>
            </w:pPr>
            <w:r>
              <w:rPr>
                <w:rFonts w:ascii="Calibri" w:cs="Calibri" w:eastAsia="Calibri" w:hAnsi="Calibri"/>
                <w:sz w:val="16"/>
                <w:szCs w:val="16"/>
                <w:color w:val="auto"/>
              </w:rPr>
              <w:t>290</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578</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713</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1,608</w:t>
            </w:r>
          </w:p>
        </w:tc>
      </w:tr>
      <w:tr>
        <w:trPr>
          <w:trHeight w:val="206"/>
        </w:trPr>
        <w:tc>
          <w:tcPr>
            <w:tcW w:w="3640" w:type="dxa"/>
            <w:vAlign w:val="bottom"/>
          </w:tcPr>
          <w:p>
            <w:pPr>
              <w:ind w:left="20"/>
              <w:spacing w:after="0"/>
              <w:rPr>
                <w:sz w:val="20"/>
                <w:szCs w:val="20"/>
                <w:color w:val="auto"/>
              </w:rPr>
            </w:pPr>
            <w:r>
              <w:rPr>
                <w:rFonts w:ascii="Calibri" w:cs="Calibri" w:eastAsia="Calibri" w:hAnsi="Calibri"/>
                <w:sz w:val="16"/>
                <w:szCs w:val="16"/>
                <w:color w:val="auto"/>
              </w:rPr>
              <w:t>Business development</w:t>
            </w:r>
          </w:p>
        </w:tc>
        <w:tc>
          <w:tcPr>
            <w:tcW w:w="2860" w:type="dxa"/>
            <w:vAlign w:val="bottom"/>
          </w:tcPr>
          <w:p>
            <w:pPr>
              <w:jc w:val="right"/>
              <w:ind w:right="539"/>
              <w:spacing w:after="0"/>
              <w:rPr>
                <w:sz w:val="20"/>
                <w:szCs w:val="20"/>
                <w:color w:val="auto"/>
              </w:rPr>
            </w:pPr>
            <w:r>
              <w:rPr>
                <w:rFonts w:ascii="Calibri" w:cs="Calibri" w:eastAsia="Calibri" w:hAnsi="Calibri"/>
                <w:sz w:val="16"/>
                <w:szCs w:val="16"/>
                <w:color w:val="auto"/>
              </w:rPr>
              <w:t>71</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614</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609</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2,046</w:t>
            </w:r>
          </w:p>
        </w:tc>
      </w:tr>
      <w:tr>
        <w:trPr>
          <w:trHeight w:val="206"/>
        </w:trPr>
        <w:tc>
          <w:tcPr>
            <w:tcW w:w="3640" w:type="dxa"/>
            <w:vAlign w:val="bottom"/>
          </w:tcPr>
          <w:p>
            <w:pPr>
              <w:ind w:left="20"/>
              <w:spacing w:after="0"/>
              <w:rPr>
                <w:sz w:val="20"/>
                <w:szCs w:val="20"/>
                <w:color w:val="auto"/>
              </w:rPr>
            </w:pPr>
            <w:r>
              <w:rPr>
                <w:rFonts w:ascii="Calibri" w:cs="Calibri" w:eastAsia="Calibri" w:hAnsi="Calibri"/>
                <w:sz w:val="16"/>
                <w:szCs w:val="16"/>
                <w:color w:val="auto"/>
              </w:rPr>
              <w:t>Listng fees</w:t>
            </w:r>
          </w:p>
        </w:tc>
        <w:tc>
          <w:tcPr>
            <w:tcW w:w="2860" w:type="dxa"/>
            <w:vAlign w:val="bottom"/>
          </w:tcPr>
          <w:p>
            <w:pPr>
              <w:jc w:val="right"/>
              <w:ind w:right="539"/>
              <w:spacing w:after="0"/>
              <w:rPr>
                <w:sz w:val="20"/>
                <w:szCs w:val="20"/>
                <w:color w:val="auto"/>
              </w:rPr>
            </w:pPr>
            <w:r>
              <w:rPr>
                <w:rFonts w:ascii="Calibri" w:cs="Calibri" w:eastAsia="Calibri" w:hAnsi="Calibri"/>
                <w:sz w:val="16"/>
                <w:szCs w:val="16"/>
                <w:color w:val="auto"/>
              </w:rPr>
              <w:t>72</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20</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304</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357</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2"/>
        </w:trPr>
        <w:tc>
          <w:tcPr>
            <w:tcW w:w="3640" w:type="dxa"/>
            <w:vAlign w:val="bottom"/>
            <w:tcBorders>
              <w:bottom w:val="single" w:sz="8" w:color="auto"/>
            </w:tcBorders>
          </w:tcPr>
          <w:p>
            <w:pPr>
              <w:ind w:left="80"/>
              <w:spacing w:after="0" w:line="192" w:lineRule="exact"/>
              <w:rPr>
                <w:sz w:val="20"/>
                <w:szCs w:val="20"/>
                <w:color w:val="auto"/>
              </w:rPr>
            </w:pPr>
            <w:r>
              <w:rPr>
                <w:rFonts w:ascii="Calibri" w:cs="Calibri" w:eastAsia="Calibri" w:hAnsi="Calibri"/>
                <w:sz w:val="16"/>
                <w:szCs w:val="16"/>
                <w:b w:val="1"/>
                <w:bCs w:val="1"/>
                <w:color w:val="auto"/>
              </w:rPr>
              <w:t>Total</w:t>
            </w:r>
          </w:p>
        </w:tc>
        <w:tc>
          <w:tcPr>
            <w:tcW w:w="2860" w:type="dxa"/>
            <w:vAlign w:val="bottom"/>
            <w:tcBorders>
              <w:bottom w:val="single" w:sz="8" w:color="auto"/>
            </w:tcBorders>
          </w:tcPr>
          <w:p>
            <w:pPr>
              <w:jc w:val="right"/>
              <w:ind w:right="559"/>
              <w:spacing w:after="0" w:line="192" w:lineRule="exact"/>
              <w:rPr>
                <w:sz w:val="20"/>
                <w:szCs w:val="20"/>
                <w:color w:val="auto"/>
              </w:rPr>
            </w:pPr>
            <w:r>
              <w:rPr>
                <w:rFonts w:ascii="Calibri" w:cs="Calibri" w:eastAsia="Calibri" w:hAnsi="Calibri"/>
                <w:sz w:val="16"/>
                <w:szCs w:val="16"/>
                <w:b w:val="1"/>
                <w:bCs w:val="1"/>
                <w:color w:val="auto"/>
              </w:rPr>
              <w:t>4,859</w:t>
            </w:r>
          </w:p>
        </w:tc>
        <w:tc>
          <w:tcPr>
            <w:tcW w:w="160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color w:val="auto"/>
              </w:rPr>
              <w:t>7,035</w:t>
            </w:r>
          </w:p>
        </w:tc>
        <w:tc>
          <w:tcPr>
            <w:tcW w:w="120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16,165</w:t>
            </w:r>
          </w:p>
        </w:tc>
        <w:tc>
          <w:tcPr>
            <w:tcW w:w="15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21,056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19 of 25</w:t>
      </w:r>
    </w:p>
    <w:p>
      <w:pPr>
        <w:sectPr>
          <w:pgSz w:w="11900" w:h="16838" w:orient="portrait"/>
          <w:cols w:equalWidth="0" w:num="1">
            <w:col w:w="11263"/>
          </w:cols>
          <w:pgMar w:left="317" w:top="162" w:right="319" w:bottom="1440" w:gutter="0" w:footer="0" w:header="0"/>
        </w:sectPr>
      </w:pPr>
    </w:p>
    <w:bookmarkStart w:id="22" w:name="page23"/>
    <w:bookmarkEnd w:id="22"/>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180" w:type="dxa"/>
            <w:vAlign w:val="bottom"/>
            <w:gridSpan w:val="2"/>
          </w:tcPr>
          <w:p>
            <w:pPr>
              <w:spacing w:after="0"/>
              <w:rPr>
                <w:sz w:val="20"/>
                <w:szCs w:val="20"/>
                <w:color w:val="auto"/>
              </w:rPr>
            </w:pPr>
            <w:r>
              <w:rPr>
                <w:rFonts w:ascii="Calibri" w:cs="Calibri" w:eastAsia="Calibri" w:hAnsi="Calibri"/>
                <w:sz w:val="16"/>
                <w:szCs w:val="16"/>
                <w:b w:val="1"/>
                <w:bCs w:val="1"/>
                <w:color w:val="2D5F91"/>
              </w:rPr>
              <w:t>11.  RESEARCH EXPENSES</w:t>
            </w:r>
          </w:p>
        </w:tc>
        <w:tc>
          <w:tcPr>
            <w:tcW w:w="26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25"/>
        </w:trPr>
        <w:tc>
          <w:tcPr>
            <w:tcW w:w="2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60" w:type="dxa"/>
            <w:vAlign w:val="bottom"/>
          </w:tcPr>
          <w:p>
            <w:pPr>
              <w:jc w:val="right"/>
              <w:ind w:right="19"/>
              <w:spacing w:after="0"/>
              <w:rPr>
                <w:sz w:val="20"/>
                <w:szCs w:val="20"/>
                <w:color w:val="auto"/>
              </w:rPr>
            </w:pPr>
            <w:r>
              <w:rPr>
                <w:rFonts w:ascii="Calibri" w:cs="Calibri" w:eastAsia="Calibri" w:hAnsi="Calibri"/>
                <w:sz w:val="16"/>
                <w:szCs w:val="16"/>
                <w:b w:val="1"/>
                <w:bCs w:val="1"/>
                <w:color w:val="auto"/>
              </w:rPr>
              <w:t>Nine-months ended</w:t>
            </w:r>
          </w:p>
        </w:tc>
      </w:tr>
      <w:tr>
        <w:trPr>
          <w:trHeight w:val="193"/>
        </w:trPr>
        <w:tc>
          <w:tcPr>
            <w:tcW w:w="220" w:type="dxa"/>
            <w:vAlign w:val="bottom"/>
          </w:tcPr>
          <w:p>
            <w:pPr>
              <w:spacing w:after="0"/>
              <w:rPr>
                <w:sz w:val="16"/>
                <w:szCs w:val="16"/>
                <w:color w:val="auto"/>
              </w:rPr>
            </w:pPr>
          </w:p>
        </w:tc>
        <w:tc>
          <w:tcPr>
            <w:tcW w:w="3960" w:type="dxa"/>
            <w:vAlign w:val="bottom"/>
          </w:tcPr>
          <w:p>
            <w:pPr>
              <w:spacing w:after="0"/>
              <w:rPr>
                <w:sz w:val="16"/>
                <w:szCs w:val="16"/>
                <w:color w:val="auto"/>
              </w:rPr>
            </w:pPr>
          </w:p>
        </w:tc>
        <w:tc>
          <w:tcPr>
            <w:tcW w:w="4260" w:type="dxa"/>
            <w:vAlign w:val="bottom"/>
            <w:gridSpan w:val="2"/>
          </w:tcPr>
          <w:p>
            <w:pPr>
              <w:jc w:val="right"/>
              <w:ind w:right="519"/>
              <w:spacing w:after="0" w:line="193" w:lineRule="exact"/>
              <w:rPr>
                <w:sz w:val="20"/>
                <w:szCs w:val="20"/>
                <w:color w:val="auto"/>
              </w:rPr>
            </w:pPr>
            <w:r>
              <w:rPr>
                <w:rFonts w:ascii="Calibri" w:cs="Calibri" w:eastAsia="Calibri" w:hAnsi="Calibri"/>
                <w:sz w:val="16"/>
                <w:szCs w:val="16"/>
                <w:b w:val="1"/>
                <w:bCs w:val="1"/>
                <w:color w:val="auto"/>
              </w:rPr>
              <w:t>Three-months ended December 31,</w:t>
            </w:r>
          </w:p>
        </w:tc>
        <w:tc>
          <w:tcPr>
            <w:tcW w:w="1200" w:type="dxa"/>
            <w:vAlign w:val="bottom"/>
          </w:tcPr>
          <w:p>
            <w:pPr>
              <w:spacing w:after="0"/>
              <w:rPr>
                <w:sz w:val="16"/>
                <w:szCs w:val="16"/>
                <w:color w:val="auto"/>
              </w:rPr>
            </w:pPr>
          </w:p>
        </w:tc>
        <w:tc>
          <w:tcPr>
            <w:tcW w:w="156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December 31,</w:t>
            </w:r>
          </w:p>
        </w:tc>
      </w:tr>
      <w:tr>
        <w:trPr>
          <w:trHeight w:val="206"/>
        </w:trPr>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660" w:type="dxa"/>
            <w:vAlign w:val="bottom"/>
          </w:tcPr>
          <w:p>
            <w:pPr>
              <w:jc w:val="right"/>
              <w:ind w:right="579"/>
              <w:spacing w:after="0"/>
              <w:rPr>
                <w:sz w:val="20"/>
                <w:szCs w:val="20"/>
                <w:color w:val="auto"/>
              </w:rPr>
            </w:pPr>
            <w:r>
              <w:rPr>
                <w:rFonts w:ascii="Calibri" w:cs="Calibri" w:eastAsia="Calibri" w:hAnsi="Calibri"/>
                <w:sz w:val="16"/>
                <w:szCs w:val="16"/>
                <w:b w:val="1"/>
                <w:bCs w:val="1"/>
                <w:color w:val="auto"/>
              </w:rPr>
              <w:t>2022</w:t>
            </w:r>
          </w:p>
        </w:tc>
        <w:tc>
          <w:tcPr>
            <w:tcW w:w="160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2021</w:t>
            </w:r>
          </w:p>
        </w:tc>
        <w:tc>
          <w:tcPr>
            <w:tcW w:w="12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2022</w:t>
            </w:r>
          </w:p>
        </w:tc>
        <w:tc>
          <w:tcPr>
            <w:tcW w:w="1560" w:type="dxa"/>
            <w:vAlign w:val="bottom"/>
          </w:tcPr>
          <w:p>
            <w:pPr>
              <w:jc w:val="right"/>
              <w:spacing w:after="0"/>
              <w:rPr>
                <w:sz w:val="20"/>
                <w:szCs w:val="20"/>
                <w:color w:val="auto"/>
              </w:rPr>
            </w:pPr>
            <w:r>
              <w:rPr>
                <w:rFonts w:ascii="Calibri" w:cs="Calibri" w:eastAsia="Calibri" w:hAnsi="Calibri"/>
                <w:sz w:val="16"/>
                <w:szCs w:val="16"/>
                <w:b w:val="1"/>
                <w:bCs w:val="1"/>
                <w:color w:val="auto"/>
              </w:rPr>
              <w:t>2021</w:t>
            </w:r>
          </w:p>
        </w:tc>
      </w:tr>
      <w:tr>
        <w:trPr>
          <w:trHeight w:val="206"/>
        </w:trPr>
        <w:tc>
          <w:tcPr>
            <w:tcW w:w="2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2660" w:type="dxa"/>
            <w:vAlign w:val="bottom"/>
          </w:tcPr>
          <w:p>
            <w:pPr>
              <w:jc w:val="right"/>
              <w:ind w:right="579"/>
              <w:spacing w:after="0"/>
              <w:rPr>
                <w:sz w:val="20"/>
                <w:szCs w:val="20"/>
                <w:color w:val="auto"/>
              </w:rPr>
            </w:pPr>
            <w:r>
              <w:rPr>
                <w:rFonts w:ascii="Calibri" w:cs="Calibri" w:eastAsia="Calibri" w:hAnsi="Calibri"/>
                <w:sz w:val="16"/>
                <w:szCs w:val="16"/>
                <w:b w:val="1"/>
                <w:bCs w:val="1"/>
                <w:color w:val="auto"/>
              </w:rPr>
              <w:t>$</w:t>
            </w:r>
          </w:p>
        </w:tc>
        <w:tc>
          <w:tcPr>
            <w:tcW w:w="1600" w:type="dxa"/>
            <w:vAlign w:val="bottom"/>
          </w:tcPr>
          <w:p>
            <w:pPr>
              <w:jc w:val="right"/>
              <w:ind w:right="519"/>
              <w:spacing w:after="0"/>
              <w:rPr>
                <w:sz w:val="20"/>
                <w:szCs w:val="20"/>
                <w:color w:val="auto"/>
              </w:rPr>
            </w:pPr>
            <w:r>
              <w:rPr>
                <w:rFonts w:ascii="Calibri" w:cs="Calibri" w:eastAsia="Calibri" w:hAnsi="Calibri"/>
                <w:sz w:val="16"/>
                <w:szCs w:val="16"/>
                <w:b w:val="1"/>
                <w:bCs w:val="1"/>
                <w:color w:val="auto"/>
              </w:rPr>
              <w:t>$</w:t>
            </w:r>
          </w:p>
        </w:tc>
        <w:tc>
          <w:tcPr>
            <w:tcW w:w="1200" w:type="dxa"/>
            <w:vAlign w:val="bottom"/>
          </w:tcPr>
          <w:p>
            <w:pPr>
              <w:jc w:val="right"/>
              <w:ind w:right="79"/>
              <w:spacing w:after="0"/>
              <w:rPr>
                <w:sz w:val="20"/>
                <w:szCs w:val="20"/>
                <w:color w:val="auto"/>
              </w:rPr>
            </w:pPr>
            <w:r>
              <w:rPr>
                <w:rFonts w:ascii="Calibri" w:cs="Calibri" w:eastAsia="Calibri" w:hAnsi="Calibri"/>
                <w:sz w:val="16"/>
                <w:szCs w:val="16"/>
                <w:b w:val="1"/>
                <w:bCs w:val="1"/>
                <w:color w:val="auto"/>
              </w:rPr>
              <w:t>$</w:t>
            </w:r>
          </w:p>
        </w:tc>
        <w:tc>
          <w:tcPr>
            <w:tcW w:w="15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2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5"/>
        </w:trPr>
        <w:tc>
          <w:tcPr>
            <w:tcW w:w="220" w:type="dxa"/>
            <w:vAlign w:val="bottom"/>
          </w:tcPr>
          <w:p>
            <w:pPr>
              <w:spacing w:after="0"/>
              <w:rPr>
                <w:sz w:val="16"/>
                <w:szCs w:val="16"/>
                <w:color w:val="auto"/>
              </w:rPr>
            </w:pPr>
          </w:p>
        </w:tc>
        <w:tc>
          <w:tcPr>
            <w:tcW w:w="3960" w:type="dxa"/>
            <w:vAlign w:val="bottom"/>
          </w:tcPr>
          <w:p>
            <w:pPr>
              <w:ind w:left="20"/>
              <w:spacing w:after="0" w:line="185" w:lineRule="exact"/>
              <w:rPr>
                <w:sz w:val="20"/>
                <w:szCs w:val="20"/>
                <w:color w:val="auto"/>
              </w:rPr>
            </w:pPr>
            <w:r>
              <w:rPr>
                <w:rFonts w:ascii="Calibri" w:cs="Calibri" w:eastAsia="Calibri" w:hAnsi="Calibri"/>
                <w:sz w:val="16"/>
                <w:szCs w:val="16"/>
                <w:color w:val="auto"/>
              </w:rPr>
              <w:t>Advancement of development programs</w:t>
            </w:r>
          </w:p>
        </w:tc>
        <w:tc>
          <w:tcPr>
            <w:tcW w:w="2660" w:type="dxa"/>
            <w:vAlign w:val="bottom"/>
          </w:tcPr>
          <w:p>
            <w:pPr>
              <w:jc w:val="right"/>
              <w:ind w:right="579"/>
              <w:spacing w:after="0" w:line="185" w:lineRule="exact"/>
              <w:rPr>
                <w:sz w:val="20"/>
                <w:szCs w:val="20"/>
                <w:color w:val="auto"/>
              </w:rPr>
            </w:pPr>
            <w:r>
              <w:rPr>
                <w:rFonts w:ascii="Calibri" w:cs="Calibri" w:eastAsia="Calibri" w:hAnsi="Calibri"/>
                <w:sz w:val="16"/>
                <w:szCs w:val="16"/>
                <w:color w:val="auto"/>
              </w:rPr>
              <w:t>3,398</w:t>
            </w:r>
          </w:p>
        </w:tc>
        <w:tc>
          <w:tcPr>
            <w:tcW w:w="1600" w:type="dxa"/>
            <w:vAlign w:val="bottom"/>
          </w:tcPr>
          <w:p>
            <w:pPr>
              <w:jc w:val="right"/>
              <w:ind w:right="519"/>
              <w:spacing w:after="0" w:line="185" w:lineRule="exact"/>
              <w:rPr>
                <w:sz w:val="20"/>
                <w:szCs w:val="20"/>
                <w:color w:val="auto"/>
              </w:rPr>
            </w:pPr>
            <w:r>
              <w:rPr>
                <w:rFonts w:ascii="Calibri" w:cs="Calibri" w:eastAsia="Calibri" w:hAnsi="Calibri"/>
                <w:sz w:val="16"/>
                <w:szCs w:val="16"/>
                <w:color w:val="auto"/>
              </w:rPr>
              <w:t>2,847</w:t>
            </w:r>
          </w:p>
        </w:tc>
        <w:tc>
          <w:tcPr>
            <w:tcW w:w="1200" w:type="dxa"/>
            <w:vAlign w:val="bottom"/>
          </w:tcPr>
          <w:p>
            <w:pPr>
              <w:jc w:val="right"/>
              <w:ind w:right="79"/>
              <w:spacing w:after="0" w:line="185" w:lineRule="exact"/>
              <w:rPr>
                <w:sz w:val="20"/>
                <w:szCs w:val="20"/>
                <w:color w:val="auto"/>
              </w:rPr>
            </w:pPr>
            <w:r>
              <w:rPr>
                <w:rFonts w:ascii="Calibri" w:cs="Calibri" w:eastAsia="Calibri" w:hAnsi="Calibri"/>
                <w:sz w:val="16"/>
                <w:szCs w:val="16"/>
                <w:color w:val="auto"/>
              </w:rPr>
              <w:t>9,390</w:t>
            </w:r>
          </w:p>
        </w:tc>
        <w:tc>
          <w:tcPr>
            <w:tcW w:w="1560" w:type="dxa"/>
            <w:vAlign w:val="bottom"/>
          </w:tcPr>
          <w:p>
            <w:pPr>
              <w:jc w:val="right"/>
              <w:spacing w:after="0" w:line="185" w:lineRule="exact"/>
              <w:rPr>
                <w:sz w:val="20"/>
                <w:szCs w:val="20"/>
                <w:color w:val="auto"/>
              </w:rPr>
            </w:pPr>
            <w:r>
              <w:rPr>
                <w:rFonts w:ascii="Calibri" w:cs="Calibri" w:eastAsia="Calibri" w:hAnsi="Calibri"/>
                <w:sz w:val="16"/>
                <w:szCs w:val="16"/>
                <w:color w:val="auto"/>
              </w:rPr>
              <w:t>5,905</w:t>
            </w:r>
          </w:p>
        </w:tc>
      </w:tr>
      <w:tr>
        <w:trPr>
          <w:trHeight w:val="198"/>
        </w:trPr>
        <w:tc>
          <w:tcPr>
            <w:tcW w:w="22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Calibri" w:cs="Calibri" w:eastAsia="Calibri" w:hAnsi="Calibri"/>
                <w:sz w:val="16"/>
                <w:szCs w:val="16"/>
                <w:color w:val="auto"/>
              </w:rPr>
              <w:t>Payroll and benefts</w:t>
            </w:r>
          </w:p>
        </w:tc>
        <w:tc>
          <w:tcPr>
            <w:tcW w:w="2660" w:type="dxa"/>
            <w:vAlign w:val="bottom"/>
          </w:tcPr>
          <w:p>
            <w:pPr>
              <w:jc w:val="right"/>
              <w:ind w:right="579"/>
              <w:spacing w:after="0"/>
              <w:rPr>
                <w:sz w:val="20"/>
                <w:szCs w:val="20"/>
                <w:color w:val="auto"/>
              </w:rPr>
            </w:pPr>
            <w:r>
              <w:rPr>
                <w:rFonts w:ascii="Calibri" w:cs="Calibri" w:eastAsia="Calibri" w:hAnsi="Calibri"/>
                <w:sz w:val="16"/>
                <w:szCs w:val="16"/>
                <w:color w:val="auto"/>
              </w:rPr>
              <w:t>2,163</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1,621</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6,279</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4,164</w:t>
            </w:r>
          </w:p>
        </w:tc>
      </w:tr>
      <w:tr>
        <w:trPr>
          <w:trHeight w:val="206"/>
        </w:trPr>
        <w:tc>
          <w:tcPr>
            <w:tcW w:w="22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Calibri" w:cs="Calibri" w:eastAsia="Calibri" w:hAnsi="Calibri"/>
                <w:sz w:val="16"/>
                <w:szCs w:val="16"/>
                <w:color w:val="auto"/>
              </w:rPr>
              <w:t>Lab and administraton</w:t>
            </w:r>
          </w:p>
        </w:tc>
        <w:tc>
          <w:tcPr>
            <w:tcW w:w="2660" w:type="dxa"/>
            <w:vAlign w:val="bottom"/>
          </w:tcPr>
          <w:p>
            <w:pPr>
              <w:jc w:val="right"/>
              <w:ind w:right="579"/>
              <w:spacing w:after="0"/>
              <w:rPr>
                <w:sz w:val="20"/>
                <w:szCs w:val="20"/>
                <w:color w:val="auto"/>
              </w:rPr>
            </w:pPr>
            <w:r>
              <w:rPr>
                <w:rFonts w:ascii="Calibri" w:cs="Calibri" w:eastAsia="Calibri" w:hAnsi="Calibri"/>
                <w:sz w:val="16"/>
                <w:szCs w:val="16"/>
                <w:color w:val="auto"/>
              </w:rPr>
              <w:t>357</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55</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927</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250</w:t>
            </w:r>
          </w:p>
        </w:tc>
      </w:tr>
      <w:tr>
        <w:trPr>
          <w:trHeight w:val="206"/>
        </w:trPr>
        <w:tc>
          <w:tcPr>
            <w:tcW w:w="220" w:type="dxa"/>
            <w:vAlign w:val="bottom"/>
          </w:tcPr>
          <w:p>
            <w:pPr>
              <w:spacing w:after="0"/>
              <w:rPr>
                <w:sz w:val="17"/>
                <w:szCs w:val="17"/>
                <w:color w:val="auto"/>
              </w:rPr>
            </w:pPr>
          </w:p>
        </w:tc>
        <w:tc>
          <w:tcPr>
            <w:tcW w:w="3960" w:type="dxa"/>
            <w:vAlign w:val="bottom"/>
          </w:tcPr>
          <w:p>
            <w:pPr>
              <w:ind w:left="20"/>
              <w:spacing w:after="0"/>
              <w:rPr>
                <w:sz w:val="20"/>
                <w:szCs w:val="20"/>
                <w:color w:val="auto"/>
              </w:rPr>
            </w:pPr>
            <w:r>
              <w:rPr>
                <w:rFonts w:ascii="Calibri" w:cs="Calibri" w:eastAsia="Calibri" w:hAnsi="Calibri"/>
                <w:sz w:val="16"/>
                <w:szCs w:val="16"/>
                <w:color w:val="auto"/>
              </w:rPr>
              <w:t>Professional and consultng fees</w:t>
            </w:r>
          </w:p>
        </w:tc>
        <w:tc>
          <w:tcPr>
            <w:tcW w:w="2660" w:type="dxa"/>
            <w:vAlign w:val="bottom"/>
          </w:tcPr>
          <w:p>
            <w:pPr>
              <w:jc w:val="right"/>
              <w:ind w:right="579"/>
              <w:spacing w:after="0"/>
              <w:rPr>
                <w:sz w:val="20"/>
                <w:szCs w:val="20"/>
                <w:color w:val="auto"/>
              </w:rPr>
            </w:pPr>
            <w:r>
              <w:rPr>
                <w:rFonts w:ascii="Calibri" w:cs="Calibri" w:eastAsia="Calibri" w:hAnsi="Calibri"/>
                <w:sz w:val="16"/>
                <w:szCs w:val="16"/>
                <w:color w:val="auto"/>
              </w:rPr>
              <w:t>338</w:t>
            </w:r>
          </w:p>
        </w:tc>
        <w:tc>
          <w:tcPr>
            <w:tcW w:w="1600" w:type="dxa"/>
            <w:vAlign w:val="bottom"/>
          </w:tcPr>
          <w:p>
            <w:pPr>
              <w:jc w:val="right"/>
              <w:ind w:right="519"/>
              <w:spacing w:after="0"/>
              <w:rPr>
                <w:sz w:val="20"/>
                <w:szCs w:val="20"/>
                <w:color w:val="auto"/>
              </w:rPr>
            </w:pPr>
            <w:r>
              <w:rPr>
                <w:rFonts w:ascii="Calibri" w:cs="Calibri" w:eastAsia="Calibri" w:hAnsi="Calibri"/>
                <w:sz w:val="16"/>
                <w:szCs w:val="16"/>
                <w:color w:val="auto"/>
              </w:rPr>
              <w:t>440</w:t>
            </w:r>
          </w:p>
        </w:tc>
        <w:tc>
          <w:tcPr>
            <w:tcW w:w="1200" w:type="dxa"/>
            <w:vAlign w:val="bottom"/>
          </w:tcPr>
          <w:p>
            <w:pPr>
              <w:jc w:val="right"/>
              <w:ind w:right="79"/>
              <w:spacing w:after="0"/>
              <w:rPr>
                <w:sz w:val="20"/>
                <w:szCs w:val="20"/>
                <w:color w:val="auto"/>
              </w:rPr>
            </w:pPr>
            <w:r>
              <w:rPr>
                <w:rFonts w:ascii="Calibri" w:cs="Calibri" w:eastAsia="Calibri" w:hAnsi="Calibri"/>
                <w:sz w:val="16"/>
                <w:szCs w:val="16"/>
                <w:color w:val="auto"/>
              </w:rPr>
              <w:t>849</w:t>
            </w:r>
          </w:p>
        </w:tc>
        <w:tc>
          <w:tcPr>
            <w:tcW w:w="1560" w:type="dxa"/>
            <w:vAlign w:val="bottom"/>
          </w:tcPr>
          <w:p>
            <w:pPr>
              <w:jc w:val="right"/>
              <w:spacing w:after="0"/>
              <w:rPr>
                <w:sz w:val="20"/>
                <w:szCs w:val="20"/>
                <w:color w:val="auto"/>
              </w:rPr>
            </w:pPr>
            <w:r>
              <w:rPr>
                <w:rFonts w:ascii="Calibri" w:cs="Calibri" w:eastAsia="Calibri" w:hAnsi="Calibri"/>
                <w:sz w:val="16"/>
                <w:szCs w:val="16"/>
                <w:color w:val="auto"/>
              </w:rPr>
              <w:t>1,438</w:t>
            </w:r>
          </w:p>
        </w:tc>
      </w:tr>
      <w:tr>
        <w:trPr>
          <w:trHeight w:val="21"/>
        </w:trPr>
        <w:tc>
          <w:tcPr>
            <w:tcW w:w="220" w:type="dxa"/>
            <w:vAlign w:val="bottom"/>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2"/>
        </w:trPr>
        <w:tc>
          <w:tcPr>
            <w:tcW w:w="220" w:type="dxa"/>
            <w:vAlign w:val="bottom"/>
          </w:tcPr>
          <w:p>
            <w:pPr>
              <w:spacing w:after="0"/>
              <w:rPr>
                <w:sz w:val="16"/>
                <w:szCs w:val="16"/>
                <w:color w:val="auto"/>
              </w:rPr>
            </w:pPr>
          </w:p>
        </w:tc>
        <w:tc>
          <w:tcPr>
            <w:tcW w:w="3960" w:type="dxa"/>
            <w:vAlign w:val="bottom"/>
            <w:tcBorders>
              <w:bottom w:val="single" w:sz="8" w:color="auto"/>
            </w:tcBorders>
          </w:tcPr>
          <w:p>
            <w:pPr>
              <w:ind w:left="80"/>
              <w:spacing w:after="0" w:line="192" w:lineRule="exact"/>
              <w:rPr>
                <w:sz w:val="20"/>
                <w:szCs w:val="20"/>
                <w:color w:val="auto"/>
              </w:rPr>
            </w:pPr>
            <w:r>
              <w:rPr>
                <w:rFonts w:ascii="Calibri" w:cs="Calibri" w:eastAsia="Calibri" w:hAnsi="Calibri"/>
                <w:sz w:val="16"/>
                <w:szCs w:val="16"/>
                <w:b w:val="1"/>
                <w:bCs w:val="1"/>
                <w:color w:val="auto"/>
              </w:rPr>
              <w:t>Total</w:t>
            </w:r>
          </w:p>
        </w:tc>
        <w:tc>
          <w:tcPr>
            <w:tcW w:w="2660" w:type="dxa"/>
            <w:vAlign w:val="bottom"/>
            <w:tcBorders>
              <w:bottom w:val="single" w:sz="8" w:color="auto"/>
            </w:tcBorders>
          </w:tcPr>
          <w:p>
            <w:pPr>
              <w:jc w:val="right"/>
              <w:ind w:right="579"/>
              <w:spacing w:after="0" w:line="192" w:lineRule="exact"/>
              <w:rPr>
                <w:sz w:val="20"/>
                <w:szCs w:val="20"/>
                <w:color w:val="auto"/>
              </w:rPr>
            </w:pPr>
            <w:r>
              <w:rPr>
                <w:rFonts w:ascii="Calibri" w:cs="Calibri" w:eastAsia="Calibri" w:hAnsi="Calibri"/>
                <w:sz w:val="16"/>
                <w:szCs w:val="16"/>
                <w:b w:val="1"/>
                <w:bCs w:val="1"/>
                <w:color w:val="auto"/>
              </w:rPr>
              <w:t>6,256</w:t>
            </w:r>
          </w:p>
        </w:tc>
        <w:tc>
          <w:tcPr>
            <w:tcW w:w="1600" w:type="dxa"/>
            <w:vAlign w:val="bottom"/>
            <w:tcBorders>
              <w:bottom w:val="single" w:sz="8" w:color="auto"/>
            </w:tcBorders>
          </w:tcPr>
          <w:p>
            <w:pPr>
              <w:jc w:val="right"/>
              <w:ind w:right="519"/>
              <w:spacing w:after="0" w:line="192" w:lineRule="exact"/>
              <w:rPr>
                <w:sz w:val="20"/>
                <w:szCs w:val="20"/>
                <w:color w:val="auto"/>
              </w:rPr>
            </w:pPr>
            <w:r>
              <w:rPr>
                <w:rFonts w:ascii="Calibri" w:cs="Calibri" w:eastAsia="Calibri" w:hAnsi="Calibri"/>
                <w:sz w:val="16"/>
                <w:szCs w:val="16"/>
                <w:color w:val="auto"/>
              </w:rPr>
              <w:t>4,963</w:t>
            </w:r>
          </w:p>
        </w:tc>
        <w:tc>
          <w:tcPr>
            <w:tcW w:w="1200" w:type="dxa"/>
            <w:vAlign w:val="bottom"/>
            <w:tcBorders>
              <w:bottom w:val="single" w:sz="8" w:color="auto"/>
            </w:tcBorders>
          </w:tcPr>
          <w:p>
            <w:pPr>
              <w:jc w:val="right"/>
              <w:ind w:right="79"/>
              <w:spacing w:after="0" w:line="192" w:lineRule="exact"/>
              <w:rPr>
                <w:sz w:val="20"/>
                <w:szCs w:val="20"/>
                <w:color w:val="auto"/>
              </w:rPr>
            </w:pPr>
            <w:r>
              <w:rPr>
                <w:rFonts w:ascii="Calibri" w:cs="Calibri" w:eastAsia="Calibri" w:hAnsi="Calibri"/>
                <w:sz w:val="16"/>
                <w:szCs w:val="16"/>
                <w:b w:val="1"/>
                <w:bCs w:val="1"/>
                <w:color w:val="auto"/>
              </w:rPr>
              <w:t>17,445</w:t>
            </w:r>
          </w:p>
        </w:tc>
        <w:tc>
          <w:tcPr>
            <w:tcW w:w="15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11,757</w:t>
            </w:r>
          </w:p>
        </w:tc>
      </w:tr>
    </w:tbl>
    <w:p>
      <w:pPr>
        <w:spacing w:after="0" w:line="221"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12.</w:t>
      </w:r>
      <w:r>
        <w:rPr>
          <w:sz w:val="20"/>
          <w:szCs w:val="20"/>
          <w:color w:val="auto"/>
        </w:rPr>
        <w:tab/>
      </w:r>
      <w:r>
        <w:rPr>
          <w:rFonts w:ascii="Calibri" w:cs="Calibri" w:eastAsia="Calibri" w:hAnsi="Calibri"/>
          <w:sz w:val="15"/>
          <w:szCs w:val="15"/>
          <w:b w:val="1"/>
          <w:bCs w:val="1"/>
          <w:color w:val="2D5F91"/>
        </w:rPr>
        <w:t>CONTRACTS AND COMMITMENTS</w:t>
      </w:r>
    </w:p>
    <w:p>
      <w:pPr>
        <w:spacing w:after="0" w:line="171" w:lineRule="exact"/>
        <w:rPr>
          <w:sz w:val="20"/>
          <w:szCs w:val="20"/>
          <w:color w:val="auto"/>
        </w:rPr>
      </w:pPr>
    </w:p>
    <w:p>
      <w:pPr>
        <w:jc w:val="both"/>
        <w:ind w:left="280" w:right="20"/>
        <w:spacing w:after="0" w:line="238" w:lineRule="auto"/>
        <w:rPr>
          <w:sz w:val="20"/>
          <w:szCs w:val="20"/>
          <w:color w:val="auto"/>
        </w:rPr>
      </w:pPr>
      <w:r>
        <w:rPr>
          <w:rFonts w:ascii="Calibri" w:cs="Calibri" w:eastAsia="Calibri" w:hAnsi="Calibri"/>
          <w:sz w:val="16"/>
          <w:szCs w:val="16"/>
          <w:color w:val="auto"/>
        </w:rPr>
        <w:t>As at December 31, 2022, the Company had entered into agreements for various studies which may require the Company to spend up to an additonal $11,106 (US$8,201). The Company expects to pay this amount within the 12 months ending December 31, 2023, however the tming and certainty of the payments are contngent on availability of materials and successful completon of certain milestones. The Company has the right to cancel the studies at its discreton, in which case a cancellaton fee may apply, however the Company is not liable to pay the full amount of the studies.</w:t>
      </w:r>
    </w:p>
    <w:p>
      <w:pPr>
        <w:spacing w:after="0" w:line="159" w:lineRule="exact"/>
        <w:rPr>
          <w:sz w:val="20"/>
          <w:szCs w:val="20"/>
          <w:color w:val="auto"/>
        </w:rPr>
      </w:pPr>
    </w:p>
    <w:p>
      <w:pPr>
        <w:jc w:val="both"/>
        <w:ind w:left="280"/>
        <w:spacing w:after="0" w:line="238" w:lineRule="auto"/>
        <w:rPr>
          <w:sz w:val="20"/>
          <w:szCs w:val="20"/>
          <w:color w:val="auto"/>
        </w:rPr>
      </w:pPr>
      <w:r>
        <w:rPr>
          <w:rFonts w:ascii="Calibri" w:cs="Calibri" w:eastAsia="Calibri" w:hAnsi="Calibri"/>
          <w:sz w:val="16"/>
          <w:szCs w:val="16"/>
          <w:color w:val="auto"/>
        </w:rPr>
        <w:t>The Company has entered into an exclusive license agreement with Mindset to acquire a class of tryptamine-based molecules. Upon the successful completon of certain milestones contemplated in the agreement, the Company may have to pay additonal consideraton of up to $12,867 (US$9,500). At the sole discreton of Cybin, the milestones may be paid in cash or in Common Shares, or a combinaton thereof, subject to the approval of the Neo Exchange Inc. Due to the nature of the arrangement, the tming and probability of future potental payments cannot be determined at this tme, and no accrual has been recorded. Further, there is no assurance that the aforementoned milestones will be met at all. The agreement also contemplates a sales royalty of approximately 2% for all commercialized licensed products within the scope of the agreement.</w:t>
      </w:r>
    </w:p>
    <w:p>
      <w:pPr>
        <w:spacing w:after="0" w:line="376"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13.</w:t>
      </w:r>
      <w:r>
        <w:rPr>
          <w:sz w:val="20"/>
          <w:szCs w:val="20"/>
          <w:color w:val="auto"/>
        </w:rPr>
        <w:tab/>
      </w:r>
      <w:r>
        <w:rPr>
          <w:rFonts w:ascii="Calibri" w:cs="Calibri" w:eastAsia="Calibri" w:hAnsi="Calibri"/>
          <w:sz w:val="15"/>
          <w:szCs w:val="15"/>
          <w:b w:val="1"/>
          <w:bCs w:val="1"/>
          <w:color w:val="2D5F91"/>
        </w:rPr>
        <w:t>CAPITAL MANAGEMENT</w:t>
      </w:r>
    </w:p>
    <w:p>
      <w:pPr>
        <w:spacing w:after="0" w:line="171" w:lineRule="exact"/>
        <w:rPr>
          <w:sz w:val="20"/>
          <w:szCs w:val="20"/>
          <w:color w:val="auto"/>
        </w:rPr>
      </w:pPr>
    </w:p>
    <w:p>
      <w:pPr>
        <w:jc w:val="both"/>
        <w:ind w:left="280"/>
        <w:spacing w:after="0" w:line="257" w:lineRule="auto"/>
        <w:rPr>
          <w:sz w:val="20"/>
          <w:szCs w:val="20"/>
          <w:color w:val="auto"/>
        </w:rPr>
      </w:pPr>
      <w:r>
        <w:rPr>
          <w:rFonts w:ascii="Calibri" w:cs="Calibri" w:eastAsia="Calibri" w:hAnsi="Calibri"/>
          <w:sz w:val="15"/>
          <w:szCs w:val="15"/>
          <w:color w:val="auto"/>
        </w:rPr>
        <w:t>The Company’s objectves when managing capital are to safeguard the Company’s ability to contnue as a going concern in order to pursue business opportunites and to maintain a fexible capital structure that optmizes the costs of capital at an acceptable risk. The Company’s intentons are to (i) provide fnancial capacity and fexibility in order to preserve its ability to meet its strategic objectves and fnancial obligatons; (ii) maintain a capital structure which allows the Company to respond to changes in economic and marketplace conditons and afords the Company the ability to partcipate in new investments; (iii) optmize the use of its capital to provide an appropriate investment return to its shareholders equal with the level of risk; and (iv) maintain a fexible capital structure which optmizes the cost of capital at acceptable levels of risk.</w:t>
      </w:r>
    </w:p>
    <w:p>
      <w:pPr>
        <w:spacing w:after="0" w:line="147" w:lineRule="exact"/>
        <w:rPr>
          <w:sz w:val="20"/>
          <w:szCs w:val="20"/>
          <w:color w:val="auto"/>
        </w:rPr>
      </w:pPr>
    </w:p>
    <w:p>
      <w:pPr>
        <w:jc w:val="both"/>
        <w:ind w:left="280" w:right="20"/>
        <w:spacing w:after="0" w:line="238" w:lineRule="auto"/>
        <w:rPr>
          <w:sz w:val="20"/>
          <w:szCs w:val="20"/>
          <w:color w:val="auto"/>
        </w:rPr>
      </w:pPr>
      <w:r>
        <w:rPr>
          <w:rFonts w:ascii="Calibri" w:cs="Calibri" w:eastAsia="Calibri" w:hAnsi="Calibri"/>
          <w:sz w:val="16"/>
          <w:szCs w:val="16"/>
          <w:color w:val="auto"/>
        </w:rPr>
        <w:t>The Company’s fnancial strategy is formulated and adapted according to market conditons in order to maintain a fexible capital structure that is consistent with its objectves and the risk characteristcs of its underlying assets. The Company manages its capital structure and makes adjustments to it in light of changes in economic conditons and the risk characteristcs of its underlying assets. The Company maintains or adjusts its capital level to enable it to meet its objectves by raising capital through the issuance of securites.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20 of 25</w:t>
      </w:r>
    </w:p>
    <w:p>
      <w:pPr>
        <w:sectPr>
          <w:pgSz w:w="11900" w:h="16838" w:orient="portrait"/>
          <w:cols w:equalWidth="0" w:num="1">
            <w:col w:w="11260"/>
          </w:cols>
          <w:pgMar w:left="320" w:top="162" w:right="319" w:bottom="1440" w:gutter="0" w:footer="0" w:header="0"/>
        </w:sectPr>
      </w:pPr>
    </w:p>
    <w:bookmarkStart w:id="23" w:name="page24"/>
    <w:bookmarkEnd w:id="23"/>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0" w:right="12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capital management objectves, policies and processes generally remained unchanged during the three-month period ended December 31, 2022.</w:t>
      </w:r>
    </w:p>
    <w:p>
      <w:pPr>
        <w:spacing w:after="0" w:line="171" w:lineRule="exact"/>
        <w:rPr>
          <w:sz w:val="20"/>
          <w:szCs w:val="20"/>
          <w:color w:val="auto"/>
        </w:rPr>
      </w:pPr>
    </w:p>
    <w:p>
      <w:pPr>
        <w:ind w:left="280"/>
        <w:spacing w:after="0" w:line="237" w:lineRule="auto"/>
        <w:rPr>
          <w:sz w:val="20"/>
          <w:szCs w:val="20"/>
          <w:color w:val="auto"/>
        </w:rPr>
      </w:pPr>
      <w:r>
        <w:rPr>
          <w:rFonts w:ascii="Calibri" w:cs="Calibri" w:eastAsia="Calibri" w:hAnsi="Calibri"/>
          <w:sz w:val="16"/>
          <w:szCs w:val="16"/>
          <w:color w:val="auto"/>
        </w:rPr>
        <w:t>The Company requires capital to fund existng and future operatons and meet regulatory capital requirements. The Company’s policy is to maintain adequate levels of capital at all tmes.</w:t>
      </w:r>
    </w:p>
    <w:p>
      <w:pPr>
        <w:spacing w:after="0" w:line="158"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420" w:type="dxa"/>
            <w:vAlign w:val="bottom"/>
          </w:tcPr>
          <w:p>
            <w:pPr>
              <w:spacing w:after="0"/>
              <w:rPr>
                <w:sz w:val="20"/>
                <w:szCs w:val="20"/>
                <w:color w:val="auto"/>
              </w:rPr>
            </w:pPr>
            <w:r>
              <w:rPr>
                <w:rFonts w:ascii="Calibri" w:cs="Calibri" w:eastAsia="Calibri" w:hAnsi="Calibri"/>
                <w:sz w:val="16"/>
                <w:szCs w:val="16"/>
                <w:color w:val="auto"/>
              </w:rPr>
              <w:t>The Company’s capital structure includes the following:</w:t>
            </w:r>
          </w:p>
        </w:tc>
        <w:tc>
          <w:tcPr>
            <w:tcW w:w="36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8"/>
        </w:trPr>
        <w:tc>
          <w:tcPr>
            <w:tcW w:w="542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December 31, 2022</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2022</w:t>
            </w:r>
          </w:p>
        </w:tc>
      </w:tr>
      <w:tr>
        <w:trPr>
          <w:trHeight w:val="206"/>
        </w:trPr>
        <w:tc>
          <w:tcPr>
            <w:tcW w:w="5420" w:type="dxa"/>
            <w:vAlign w:val="bottom"/>
          </w:tcPr>
          <w:p>
            <w:pPr>
              <w:spacing w:after="0"/>
              <w:rPr>
                <w:sz w:val="17"/>
                <w:szCs w:val="17"/>
                <w:color w:val="auto"/>
              </w:rPr>
            </w:pP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5"/>
        </w:trPr>
        <w:tc>
          <w:tcPr>
            <w:tcW w:w="5420" w:type="dxa"/>
            <w:vAlign w:val="bottom"/>
          </w:tcPr>
          <w:p>
            <w:pPr>
              <w:ind w:left="60"/>
              <w:spacing w:after="0" w:line="185" w:lineRule="exact"/>
              <w:rPr>
                <w:sz w:val="20"/>
                <w:szCs w:val="20"/>
                <w:color w:val="auto"/>
              </w:rPr>
            </w:pPr>
            <w:r>
              <w:rPr>
                <w:rFonts w:ascii="Calibri" w:cs="Calibri" w:eastAsia="Calibri" w:hAnsi="Calibri"/>
                <w:sz w:val="16"/>
                <w:szCs w:val="16"/>
                <w:color w:val="auto"/>
              </w:rPr>
              <w:t>Shareholders’ equity comprised of:</w:t>
            </w:r>
          </w:p>
        </w:tc>
        <w:tc>
          <w:tcPr>
            <w:tcW w:w="36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8"/>
        </w:trPr>
        <w:tc>
          <w:tcPr>
            <w:tcW w:w="5420" w:type="dxa"/>
            <w:vAlign w:val="bottom"/>
          </w:tcPr>
          <w:p>
            <w:pPr>
              <w:ind w:left="160"/>
              <w:spacing w:after="0"/>
              <w:rPr>
                <w:sz w:val="20"/>
                <w:szCs w:val="20"/>
                <w:color w:val="auto"/>
              </w:rPr>
            </w:pPr>
            <w:r>
              <w:rPr>
                <w:rFonts w:ascii="Calibri" w:cs="Calibri" w:eastAsia="Calibri" w:hAnsi="Calibri"/>
                <w:sz w:val="16"/>
                <w:szCs w:val="16"/>
                <w:color w:val="auto"/>
              </w:rPr>
              <w:t>Share capital</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153,017</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141,451</w:t>
            </w:r>
          </w:p>
        </w:tc>
      </w:tr>
      <w:tr>
        <w:trPr>
          <w:trHeight w:val="206"/>
        </w:trPr>
        <w:tc>
          <w:tcPr>
            <w:tcW w:w="5420" w:type="dxa"/>
            <w:vAlign w:val="bottom"/>
          </w:tcPr>
          <w:p>
            <w:pPr>
              <w:ind w:left="160"/>
              <w:spacing w:after="0"/>
              <w:rPr>
                <w:sz w:val="20"/>
                <w:szCs w:val="20"/>
                <w:color w:val="auto"/>
              </w:rPr>
            </w:pPr>
            <w:r>
              <w:rPr>
                <w:rFonts w:ascii="Calibri" w:cs="Calibri" w:eastAsia="Calibri" w:hAnsi="Calibri"/>
                <w:sz w:val="16"/>
                <w:szCs w:val="16"/>
                <w:color w:val="auto"/>
              </w:rPr>
              <w:t>Contributed surplus</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2,102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525</w:t>
            </w:r>
          </w:p>
        </w:tc>
      </w:tr>
      <w:tr>
        <w:trPr>
          <w:trHeight w:val="206"/>
        </w:trPr>
        <w:tc>
          <w:tcPr>
            <w:tcW w:w="5420" w:type="dxa"/>
            <w:vAlign w:val="bottom"/>
          </w:tcPr>
          <w:p>
            <w:pPr>
              <w:ind w:left="160"/>
              <w:spacing w:after="0"/>
              <w:rPr>
                <w:sz w:val="20"/>
                <w:szCs w:val="20"/>
                <w:color w:val="auto"/>
              </w:rPr>
            </w:pPr>
            <w:r>
              <w:rPr>
                <w:rFonts w:ascii="Calibri" w:cs="Calibri" w:eastAsia="Calibri" w:hAnsi="Calibri"/>
                <w:sz w:val="16"/>
                <w:szCs w:val="16"/>
                <w:color w:val="auto"/>
              </w:rPr>
              <w:t>Optons reserve</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26,802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23,783</w:t>
            </w:r>
          </w:p>
        </w:tc>
      </w:tr>
      <w:tr>
        <w:trPr>
          <w:trHeight w:val="206"/>
        </w:trPr>
        <w:tc>
          <w:tcPr>
            <w:tcW w:w="5420" w:type="dxa"/>
            <w:vAlign w:val="bottom"/>
          </w:tcPr>
          <w:p>
            <w:pPr>
              <w:ind w:left="160"/>
              <w:spacing w:after="0"/>
              <w:rPr>
                <w:sz w:val="20"/>
                <w:szCs w:val="20"/>
                <w:color w:val="auto"/>
              </w:rPr>
            </w:pPr>
            <w:r>
              <w:rPr>
                <w:rFonts w:ascii="Calibri" w:cs="Calibri" w:eastAsia="Calibri" w:hAnsi="Calibri"/>
                <w:sz w:val="16"/>
                <w:szCs w:val="16"/>
                <w:color w:val="auto"/>
              </w:rPr>
              <w:t>Warrants reserve</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10,873</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11,423</w:t>
            </w:r>
          </w:p>
        </w:tc>
      </w:tr>
      <w:tr>
        <w:trPr>
          <w:trHeight w:val="206"/>
        </w:trPr>
        <w:tc>
          <w:tcPr>
            <w:tcW w:w="5420" w:type="dxa"/>
            <w:vAlign w:val="bottom"/>
          </w:tcPr>
          <w:p>
            <w:pPr>
              <w:ind w:left="160"/>
              <w:spacing w:after="0"/>
              <w:rPr>
                <w:sz w:val="20"/>
                <w:szCs w:val="20"/>
                <w:color w:val="auto"/>
              </w:rPr>
            </w:pPr>
            <w:r>
              <w:rPr>
                <w:rFonts w:ascii="Calibri" w:cs="Calibri" w:eastAsia="Calibri" w:hAnsi="Calibri"/>
                <w:sz w:val="16"/>
                <w:szCs w:val="16"/>
                <w:color w:val="auto"/>
              </w:rPr>
              <w:t>Accumulated other comprehensive income (loss)</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(2,038)</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(366)</w:t>
            </w:r>
          </w:p>
        </w:tc>
      </w:tr>
      <w:tr>
        <w:trPr>
          <w:trHeight w:val="206"/>
        </w:trPr>
        <w:tc>
          <w:tcPr>
            <w:tcW w:w="5420" w:type="dxa"/>
            <w:vAlign w:val="bottom"/>
          </w:tcPr>
          <w:p>
            <w:pPr>
              <w:ind w:left="160"/>
              <w:spacing w:after="0"/>
              <w:rPr>
                <w:sz w:val="20"/>
                <w:szCs w:val="20"/>
                <w:color w:val="auto"/>
              </w:rPr>
            </w:pPr>
            <w:r>
              <w:rPr>
                <w:rFonts w:ascii="Calibri" w:cs="Calibri" w:eastAsia="Calibri" w:hAnsi="Calibri"/>
                <w:sz w:val="16"/>
                <w:szCs w:val="16"/>
                <w:color w:val="auto"/>
              </w:rPr>
              <w:t>Defcit</w:t>
            </w:r>
          </w:p>
        </w:tc>
        <w:tc>
          <w:tcPr>
            <w:tcW w:w="360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(134,431)</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(100,661)</w:t>
            </w:r>
          </w:p>
        </w:tc>
      </w:tr>
      <w:tr>
        <w:trPr>
          <w:trHeight w:val="21"/>
        </w:trPr>
        <w:tc>
          <w:tcPr>
            <w:tcW w:w="5420" w:type="dxa"/>
            <w:vAlign w:val="bottom"/>
            <w:tcBorders>
              <w:bottom w:val="single" w:sz="8" w:color="auto"/>
            </w:tcBorders>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2"/>
        </w:trPr>
        <w:tc>
          <w:tcPr>
            <w:tcW w:w="5420" w:type="dxa"/>
            <w:vAlign w:val="bottom"/>
            <w:tcBorders>
              <w:bottom w:val="single" w:sz="8" w:color="auto"/>
            </w:tcBorders>
          </w:tcPr>
          <w:p>
            <w:pPr>
              <w:ind w:left="60"/>
              <w:spacing w:after="0" w:line="192" w:lineRule="exact"/>
              <w:rPr>
                <w:sz w:val="20"/>
                <w:szCs w:val="20"/>
                <w:color w:val="auto"/>
              </w:rPr>
            </w:pPr>
            <w:r>
              <w:rPr>
                <w:rFonts w:ascii="Calibri" w:cs="Calibri" w:eastAsia="Calibri" w:hAnsi="Calibri"/>
                <w:sz w:val="16"/>
                <w:szCs w:val="16"/>
                <w:b w:val="1"/>
                <w:bCs w:val="1"/>
                <w:color w:val="auto"/>
              </w:rPr>
              <w:t>Total</w:t>
            </w:r>
          </w:p>
        </w:tc>
        <w:tc>
          <w:tcPr>
            <w:tcW w:w="360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56,325</w:t>
            </w:r>
          </w:p>
        </w:tc>
        <w:tc>
          <w:tcPr>
            <w:tcW w:w="15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76,155</w:t>
            </w:r>
          </w:p>
        </w:tc>
      </w:tr>
    </w:tbl>
    <w:p>
      <w:pPr>
        <w:spacing w:after="0" w:line="221" w:lineRule="exact"/>
        <w:rPr>
          <w:sz w:val="20"/>
          <w:szCs w:val="20"/>
          <w:color w:val="auto"/>
        </w:rPr>
      </w:pPr>
    </w:p>
    <w:p>
      <w:pPr>
        <w:spacing w:after="0"/>
        <w:tabs>
          <w:tab w:leader="none" w:pos="320" w:val="left"/>
        </w:tabs>
        <w:rPr>
          <w:sz w:val="20"/>
          <w:szCs w:val="20"/>
          <w:color w:val="auto"/>
        </w:rPr>
      </w:pPr>
      <w:r>
        <w:rPr>
          <w:rFonts w:ascii="Calibri" w:cs="Calibri" w:eastAsia="Calibri" w:hAnsi="Calibri"/>
          <w:sz w:val="16"/>
          <w:szCs w:val="16"/>
          <w:b w:val="1"/>
          <w:bCs w:val="1"/>
          <w:color w:val="2D5F91"/>
        </w:rPr>
        <w:t>14.</w:t>
      </w:r>
      <w:r>
        <w:rPr>
          <w:sz w:val="20"/>
          <w:szCs w:val="20"/>
          <w:color w:val="auto"/>
        </w:rPr>
        <w:tab/>
      </w:r>
      <w:r>
        <w:rPr>
          <w:rFonts w:ascii="Calibri" w:cs="Calibri" w:eastAsia="Calibri" w:hAnsi="Calibri"/>
          <w:sz w:val="15"/>
          <w:szCs w:val="15"/>
          <w:b w:val="1"/>
          <w:bCs w:val="1"/>
          <w:color w:val="2D5F91"/>
        </w:rPr>
        <w:t>FINANCIAL INSTRUMENTS</w:t>
      </w:r>
    </w:p>
    <w:p>
      <w:pPr>
        <w:spacing w:after="0" w:line="168"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Company’s fnancial instruments are exposed to certain fnancial risks, which include currency risk, credit risk, liquidity risk and interest rate risk.</w:t>
      </w:r>
    </w:p>
    <w:p>
      <w:pPr>
        <w:spacing w:after="0" w:line="156"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740" w:type="dxa"/>
            <w:vAlign w:val="bottom"/>
          </w:tcPr>
          <w:p>
            <w:pPr>
              <w:spacing w:after="0"/>
              <w:rPr>
                <w:sz w:val="20"/>
                <w:szCs w:val="20"/>
                <w:color w:val="auto"/>
              </w:rPr>
            </w:pPr>
            <w:r>
              <w:rPr>
                <w:rFonts w:ascii="Calibri" w:cs="Calibri" w:eastAsia="Calibri" w:hAnsi="Calibri"/>
                <w:sz w:val="16"/>
                <w:szCs w:val="16"/>
                <w:color w:val="auto"/>
              </w:rPr>
              <w:t>The Company has classifed its fnancial instruments as follows:</w:t>
            </w:r>
          </w:p>
        </w:tc>
        <w:tc>
          <w:tcPr>
            <w:tcW w:w="33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388"/>
        </w:trPr>
        <w:tc>
          <w:tcPr>
            <w:tcW w:w="5740" w:type="dxa"/>
            <w:vAlign w:val="bottom"/>
          </w:tcPr>
          <w:p>
            <w:pPr>
              <w:ind w:left="60"/>
              <w:spacing w:after="0"/>
              <w:rPr>
                <w:sz w:val="20"/>
                <w:szCs w:val="20"/>
                <w:color w:val="auto"/>
              </w:rPr>
            </w:pPr>
            <w:r>
              <w:rPr>
                <w:rFonts w:ascii="Calibri" w:cs="Calibri" w:eastAsia="Calibri" w:hAnsi="Calibri"/>
                <w:sz w:val="16"/>
                <w:szCs w:val="16"/>
                <w:b w:val="1"/>
                <w:bCs w:val="1"/>
                <w:color w:val="auto"/>
              </w:rPr>
              <w:t>As at</w:t>
            </w:r>
          </w:p>
        </w:tc>
        <w:tc>
          <w:tcPr>
            <w:tcW w:w="3380" w:type="dxa"/>
            <w:vAlign w:val="bottom"/>
          </w:tcPr>
          <w:p>
            <w:pPr>
              <w:jc w:val="right"/>
              <w:ind w:right="321"/>
              <w:spacing w:after="0"/>
              <w:rPr>
                <w:sz w:val="20"/>
                <w:szCs w:val="20"/>
                <w:color w:val="auto"/>
              </w:rPr>
            </w:pPr>
            <w:r>
              <w:rPr>
                <w:rFonts w:ascii="Calibri" w:cs="Calibri" w:eastAsia="Calibri" w:hAnsi="Calibri"/>
                <w:sz w:val="16"/>
                <w:szCs w:val="16"/>
                <w:b w:val="1"/>
                <w:bCs w:val="1"/>
                <w:color w:val="auto"/>
              </w:rPr>
              <w:t>December 31, 2022</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2022</w:t>
            </w:r>
          </w:p>
        </w:tc>
      </w:tr>
      <w:tr>
        <w:trPr>
          <w:trHeight w:val="206"/>
        </w:trPr>
        <w:tc>
          <w:tcPr>
            <w:tcW w:w="5740" w:type="dxa"/>
            <w:vAlign w:val="bottom"/>
          </w:tcPr>
          <w:p>
            <w:pPr>
              <w:spacing w:after="0"/>
              <w:rPr>
                <w:sz w:val="17"/>
                <w:szCs w:val="17"/>
                <w:color w:val="auto"/>
              </w:rPr>
            </w:pPr>
          </w:p>
        </w:tc>
        <w:tc>
          <w:tcPr>
            <w:tcW w:w="3380" w:type="dxa"/>
            <w:vAlign w:val="bottom"/>
          </w:tcPr>
          <w:p>
            <w:pPr>
              <w:jc w:val="right"/>
              <w:ind w:right="321"/>
              <w:spacing w:after="0"/>
              <w:rPr>
                <w:sz w:val="20"/>
                <w:szCs w:val="20"/>
                <w:color w:val="auto"/>
              </w:rPr>
            </w:pPr>
            <w:r>
              <w:rPr>
                <w:rFonts w:ascii="Calibri" w:cs="Calibri" w:eastAsia="Calibri" w:hAnsi="Calibri"/>
                <w:sz w:val="16"/>
                <w:szCs w:val="16"/>
                <w:b w:val="1"/>
                <w:bCs w:val="1"/>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b w:val="1"/>
                <w:bCs w:val="1"/>
                <w:color w:val="auto"/>
              </w:rPr>
              <w:t>$</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85"/>
        </w:trPr>
        <w:tc>
          <w:tcPr>
            <w:tcW w:w="5740" w:type="dxa"/>
            <w:vAlign w:val="bottom"/>
          </w:tcPr>
          <w:p>
            <w:pPr>
              <w:ind w:left="60"/>
              <w:spacing w:after="0" w:line="185" w:lineRule="exact"/>
              <w:rPr>
                <w:sz w:val="20"/>
                <w:szCs w:val="20"/>
                <w:color w:val="auto"/>
              </w:rPr>
            </w:pPr>
            <w:r>
              <w:rPr>
                <w:rFonts w:ascii="Calibri" w:cs="Calibri" w:eastAsia="Calibri" w:hAnsi="Calibri"/>
                <w:sz w:val="16"/>
                <w:szCs w:val="16"/>
                <w:b w:val="1"/>
                <w:bCs w:val="1"/>
                <w:color w:val="auto"/>
              </w:rPr>
              <w:t>Financial assets, measured at fair value:</w:t>
            </w:r>
          </w:p>
        </w:tc>
        <w:tc>
          <w:tcPr>
            <w:tcW w:w="33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98"/>
        </w:trPr>
        <w:tc>
          <w:tcPr>
            <w:tcW w:w="5740" w:type="dxa"/>
            <w:vAlign w:val="bottom"/>
          </w:tcPr>
          <w:p>
            <w:pPr>
              <w:ind w:left="160"/>
              <w:spacing w:after="0"/>
              <w:rPr>
                <w:sz w:val="20"/>
                <w:szCs w:val="20"/>
                <w:color w:val="auto"/>
              </w:rPr>
            </w:pPr>
            <w:r>
              <w:rPr>
                <w:rFonts w:ascii="Calibri" w:cs="Calibri" w:eastAsia="Calibri" w:hAnsi="Calibri"/>
                <w:sz w:val="16"/>
                <w:szCs w:val="16"/>
                <w:color w:val="auto"/>
              </w:rPr>
              <w:t>Cash</w:t>
            </w:r>
          </w:p>
        </w:tc>
        <w:tc>
          <w:tcPr>
            <w:tcW w:w="3380" w:type="dxa"/>
            <w:vAlign w:val="bottom"/>
          </w:tcPr>
          <w:p>
            <w:pPr>
              <w:jc w:val="right"/>
              <w:ind w:right="321"/>
              <w:spacing w:after="0"/>
              <w:rPr>
                <w:sz w:val="20"/>
                <w:szCs w:val="20"/>
                <w:color w:val="auto"/>
              </w:rPr>
            </w:pPr>
            <w:r>
              <w:rPr>
                <w:rFonts w:ascii="Calibri" w:cs="Calibri" w:eastAsia="Calibri" w:hAnsi="Calibri"/>
                <w:sz w:val="16"/>
                <w:szCs w:val="16"/>
                <w:b w:val="1"/>
                <w:bCs w:val="1"/>
                <w:color w:val="auto"/>
              </w:rPr>
              <w:t>22,511</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53,641</w:t>
            </w:r>
          </w:p>
        </w:tc>
      </w:tr>
      <w:tr>
        <w:trPr>
          <w:trHeight w:val="206"/>
        </w:trPr>
        <w:tc>
          <w:tcPr>
            <w:tcW w:w="5740" w:type="dxa"/>
            <w:vAlign w:val="bottom"/>
          </w:tcPr>
          <w:p>
            <w:pPr>
              <w:ind w:left="160"/>
              <w:spacing w:after="0"/>
              <w:rPr>
                <w:sz w:val="20"/>
                <w:szCs w:val="20"/>
                <w:color w:val="auto"/>
              </w:rPr>
            </w:pPr>
            <w:r>
              <w:rPr>
                <w:rFonts w:ascii="Calibri" w:cs="Calibri" w:eastAsia="Calibri" w:hAnsi="Calibri"/>
                <w:sz w:val="16"/>
                <w:szCs w:val="16"/>
                <w:color w:val="auto"/>
              </w:rPr>
              <w:t>Investments</w:t>
            </w:r>
          </w:p>
        </w:tc>
        <w:tc>
          <w:tcPr>
            <w:tcW w:w="3380" w:type="dxa"/>
            <w:vAlign w:val="bottom"/>
          </w:tcPr>
          <w:p>
            <w:pPr>
              <w:jc w:val="right"/>
              <w:ind w:right="321"/>
              <w:spacing w:after="0"/>
              <w:rPr>
                <w:sz w:val="20"/>
                <w:szCs w:val="20"/>
                <w:color w:val="auto"/>
              </w:rPr>
            </w:pPr>
            <w:r>
              <w:rPr>
                <w:rFonts w:ascii="Calibri" w:cs="Calibri" w:eastAsia="Calibri" w:hAnsi="Calibri"/>
                <w:sz w:val="16"/>
                <w:szCs w:val="16"/>
                <w:b w:val="1"/>
                <w:bCs w:val="1"/>
                <w:color w:val="auto"/>
              </w:rPr>
              <w:t>125</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242</w:t>
            </w:r>
          </w:p>
        </w:tc>
      </w:tr>
      <w:tr>
        <w:trPr>
          <w:trHeight w:val="206"/>
        </w:trPr>
        <w:tc>
          <w:tcPr>
            <w:tcW w:w="5740" w:type="dxa"/>
            <w:vAlign w:val="bottom"/>
          </w:tcPr>
          <w:p>
            <w:pPr>
              <w:ind w:left="60"/>
              <w:spacing w:after="0"/>
              <w:rPr>
                <w:sz w:val="20"/>
                <w:szCs w:val="20"/>
                <w:color w:val="auto"/>
              </w:rPr>
            </w:pPr>
            <w:r>
              <w:rPr>
                <w:rFonts w:ascii="Calibri" w:cs="Calibri" w:eastAsia="Calibri" w:hAnsi="Calibri"/>
                <w:sz w:val="16"/>
                <w:szCs w:val="16"/>
                <w:b w:val="1"/>
                <w:bCs w:val="1"/>
                <w:color w:val="auto"/>
              </w:rPr>
              <w:t>Financial assets, measured at amortzed cost:</w:t>
            </w:r>
          </w:p>
        </w:tc>
        <w:tc>
          <w:tcPr>
            <w:tcW w:w="3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6"/>
        </w:trPr>
        <w:tc>
          <w:tcPr>
            <w:tcW w:w="5740" w:type="dxa"/>
            <w:vAlign w:val="bottom"/>
          </w:tcPr>
          <w:p>
            <w:pPr>
              <w:ind w:left="160"/>
              <w:spacing w:after="0"/>
              <w:rPr>
                <w:sz w:val="20"/>
                <w:szCs w:val="20"/>
                <w:color w:val="auto"/>
              </w:rPr>
            </w:pPr>
            <w:r>
              <w:rPr>
                <w:rFonts w:ascii="Calibri" w:cs="Calibri" w:eastAsia="Calibri" w:hAnsi="Calibri"/>
                <w:sz w:val="16"/>
                <w:szCs w:val="16"/>
                <w:color w:val="auto"/>
              </w:rPr>
              <w:t>Accounts receivable</w:t>
            </w:r>
          </w:p>
        </w:tc>
        <w:tc>
          <w:tcPr>
            <w:tcW w:w="3380" w:type="dxa"/>
            <w:vAlign w:val="bottom"/>
          </w:tcPr>
          <w:p>
            <w:pPr>
              <w:jc w:val="right"/>
              <w:ind w:right="321"/>
              <w:spacing w:after="0"/>
              <w:rPr>
                <w:sz w:val="20"/>
                <w:szCs w:val="20"/>
                <w:color w:val="auto"/>
              </w:rPr>
            </w:pPr>
            <w:r>
              <w:rPr>
                <w:rFonts w:ascii="Calibri" w:cs="Calibri" w:eastAsia="Calibri" w:hAnsi="Calibri"/>
                <w:sz w:val="16"/>
                <w:szCs w:val="16"/>
                <w:b w:val="1"/>
                <w:bCs w:val="1"/>
                <w:color w:val="auto"/>
              </w:rPr>
              <w:t>52</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28</w:t>
            </w:r>
          </w:p>
        </w:tc>
      </w:tr>
      <w:tr>
        <w:trPr>
          <w:trHeight w:val="206"/>
        </w:trPr>
        <w:tc>
          <w:tcPr>
            <w:tcW w:w="5740" w:type="dxa"/>
            <w:vAlign w:val="bottom"/>
          </w:tcPr>
          <w:p>
            <w:pPr>
              <w:ind w:left="60"/>
              <w:spacing w:after="0"/>
              <w:rPr>
                <w:sz w:val="20"/>
                <w:szCs w:val="20"/>
                <w:color w:val="auto"/>
              </w:rPr>
            </w:pPr>
            <w:r>
              <w:rPr>
                <w:rFonts w:ascii="Calibri" w:cs="Calibri" w:eastAsia="Calibri" w:hAnsi="Calibri"/>
                <w:sz w:val="16"/>
                <w:szCs w:val="16"/>
                <w:b w:val="1"/>
                <w:bCs w:val="1"/>
                <w:color w:val="auto"/>
              </w:rPr>
              <w:t>Financial liabilites, measured at fair value:</w:t>
            </w:r>
          </w:p>
        </w:tc>
        <w:tc>
          <w:tcPr>
            <w:tcW w:w="33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55"/>
        </w:trPr>
        <w:tc>
          <w:tcPr>
            <w:tcW w:w="5740" w:type="dxa"/>
            <w:vAlign w:val="bottom"/>
          </w:tcPr>
          <w:p>
            <w:pPr>
              <w:ind w:left="160"/>
              <w:spacing w:after="0"/>
              <w:rPr>
                <w:sz w:val="20"/>
                <w:szCs w:val="20"/>
                <w:color w:val="auto"/>
              </w:rPr>
            </w:pPr>
            <w:r>
              <w:rPr>
                <w:rFonts w:ascii="Calibri" w:cs="Calibri" w:eastAsia="Calibri" w:hAnsi="Calibri"/>
                <w:sz w:val="16"/>
                <w:szCs w:val="16"/>
                <w:color w:val="auto"/>
              </w:rPr>
              <w:t>Contngent consideraton payable</w:t>
            </w:r>
          </w:p>
        </w:tc>
        <w:tc>
          <w:tcPr>
            <w:tcW w:w="3380" w:type="dxa"/>
            <w:vAlign w:val="bottom"/>
          </w:tcPr>
          <w:p>
            <w:pPr>
              <w:jc w:val="right"/>
              <w:ind w:right="321"/>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2,646</w:t>
            </w:r>
          </w:p>
        </w:tc>
      </w:tr>
      <w:tr>
        <w:trPr>
          <w:trHeight w:val="194"/>
        </w:trPr>
        <w:tc>
          <w:tcPr>
            <w:tcW w:w="5740" w:type="dxa"/>
            <w:vAlign w:val="bottom"/>
          </w:tcPr>
          <w:p>
            <w:pPr>
              <w:ind w:left="60"/>
              <w:spacing w:after="0" w:line="194" w:lineRule="exact"/>
              <w:rPr>
                <w:sz w:val="20"/>
                <w:szCs w:val="20"/>
                <w:color w:val="auto"/>
              </w:rPr>
            </w:pPr>
            <w:r>
              <w:rPr>
                <w:rFonts w:ascii="Calibri" w:cs="Calibri" w:eastAsia="Calibri" w:hAnsi="Calibri"/>
                <w:sz w:val="16"/>
                <w:szCs w:val="16"/>
                <w:b w:val="1"/>
                <w:bCs w:val="1"/>
                <w:color w:val="auto"/>
              </w:rPr>
              <w:t>Financial liabilites, measured at amortzed cost:</w:t>
            </w:r>
          </w:p>
        </w:tc>
        <w:tc>
          <w:tcPr>
            <w:tcW w:w="338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206"/>
        </w:trPr>
        <w:tc>
          <w:tcPr>
            <w:tcW w:w="5740" w:type="dxa"/>
            <w:vAlign w:val="bottom"/>
          </w:tcPr>
          <w:p>
            <w:pPr>
              <w:ind w:left="160"/>
              <w:spacing w:after="0"/>
              <w:rPr>
                <w:sz w:val="20"/>
                <w:szCs w:val="20"/>
                <w:color w:val="auto"/>
              </w:rPr>
            </w:pPr>
            <w:r>
              <w:rPr>
                <w:rFonts w:ascii="Calibri" w:cs="Calibri" w:eastAsia="Calibri" w:hAnsi="Calibri"/>
                <w:sz w:val="16"/>
                <w:szCs w:val="16"/>
                <w:color w:val="auto"/>
              </w:rPr>
              <w:t>Accounts payable and accrued liabilites</w:t>
            </w:r>
          </w:p>
        </w:tc>
        <w:tc>
          <w:tcPr>
            <w:tcW w:w="3380" w:type="dxa"/>
            <w:vAlign w:val="bottom"/>
          </w:tcPr>
          <w:p>
            <w:pPr>
              <w:jc w:val="right"/>
              <w:ind w:right="321"/>
              <w:spacing w:after="0"/>
              <w:rPr>
                <w:sz w:val="20"/>
                <w:szCs w:val="20"/>
                <w:color w:val="auto"/>
              </w:rPr>
            </w:pPr>
            <w:r>
              <w:rPr>
                <w:rFonts w:ascii="Calibri" w:cs="Calibri" w:eastAsia="Calibri" w:hAnsi="Calibri"/>
                <w:sz w:val="16"/>
                <w:szCs w:val="16"/>
                <w:b w:val="1"/>
                <w:bCs w:val="1"/>
                <w:color w:val="auto"/>
              </w:rPr>
              <w:t>4,369</w:t>
            </w:r>
          </w:p>
        </w:tc>
        <w:tc>
          <w:tcPr>
            <w:tcW w:w="1460" w:type="dxa"/>
            <w:vAlign w:val="bottom"/>
          </w:tcPr>
          <w:p>
            <w:pPr>
              <w:jc w:val="right"/>
              <w:spacing w:after="0"/>
              <w:rPr>
                <w:sz w:val="20"/>
                <w:szCs w:val="20"/>
                <w:color w:val="auto"/>
              </w:rPr>
            </w:pPr>
            <w:r>
              <w:rPr>
                <w:rFonts w:ascii="Calibri" w:cs="Calibri" w:eastAsia="Calibri" w:hAnsi="Calibri"/>
                <w:sz w:val="16"/>
                <w:szCs w:val="16"/>
                <w:color w:val="auto"/>
              </w:rPr>
              <w:t>5,262</w:t>
            </w:r>
          </w:p>
        </w:tc>
      </w:tr>
      <w:tr>
        <w:trPr>
          <w:trHeight w:val="21"/>
        </w:trPr>
        <w:tc>
          <w:tcPr>
            <w:tcW w:w="574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280"/>
        <w:spacing w:after="0"/>
        <w:rPr>
          <w:sz w:val="20"/>
          <w:szCs w:val="20"/>
          <w:color w:val="auto"/>
        </w:rPr>
      </w:pPr>
      <w:r>
        <w:rPr>
          <w:rFonts w:ascii="Calibri" w:cs="Calibri" w:eastAsia="Calibri" w:hAnsi="Calibri"/>
          <w:sz w:val="16"/>
          <w:szCs w:val="16"/>
          <w:color w:val="auto"/>
        </w:rPr>
        <w:t>The carrying value of the Company’s fnancial instruments approximate their fair value.</w:t>
      </w:r>
    </w:p>
    <w:p>
      <w:pPr>
        <w:spacing w:after="0" w:line="168"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u w:val="single" w:color="auto"/>
          <w:color w:val="auto"/>
        </w:rPr>
        <w:t>Fair value Hierarchy of Financial Instruments</w:t>
      </w:r>
    </w:p>
    <w:p>
      <w:pPr>
        <w:spacing w:after="0" w:line="158" w:lineRule="exact"/>
        <w:rPr>
          <w:sz w:val="20"/>
          <w:szCs w:val="20"/>
          <w:color w:val="auto"/>
        </w:rPr>
      </w:pPr>
    </w:p>
    <w:p>
      <w:pPr>
        <w:ind w:left="280"/>
        <w:spacing w:after="0" w:line="237" w:lineRule="auto"/>
        <w:rPr>
          <w:sz w:val="20"/>
          <w:szCs w:val="20"/>
          <w:color w:val="auto"/>
        </w:rPr>
      </w:pPr>
      <w:r>
        <w:rPr>
          <w:rFonts w:ascii="Calibri" w:cs="Calibri" w:eastAsia="Calibri" w:hAnsi="Calibri"/>
          <w:sz w:val="16"/>
          <w:szCs w:val="16"/>
          <w:color w:val="auto"/>
        </w:rPr>
        <w:t>The Company has categorized its fnancial instruments that are carried at fair value, based on the priority of the inputs to the valuaton techniques used to measure fair value, into a three-level fair value hierarchy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21 of 25</w:t>
      </w:r>
    </w:p>
    <w:p>
      <w:pPr>
        <w:sectPr>
          <w:pgSz w:w="11900" w:h="16838" w:orient="portrait"/>
          <w:cols w:equalWidth="0" w:num="1">
            <w:col w:w="11240"/>
          </w:cols>
          <w:pgMar w:left="320" w:top="162" w:right="339" w:bottom="1440" w:gutter="0" w:footer="0" w:header="0"/>
        </w:sectPr>
      </w:pPr>
    </w:p>
    <w:bookmarkStart w:id="24" w:name="page25"/>
    <w:bookmarkEnd w:id="24"/>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Level 1: Fair value is based on unadjusted quoted prices for identcal assets or liabilites in an actve market. The types of assets and liabilites classifed as Level 1 generally included cash.</w:t>
      </w:r>
    </w:p>
    <w:p>
      <w:pPr>
        <w:spacing w:after="0" w:line="172" w:lineRule="exact"/>
        <w:rPr>
          <w:sz w:val="20"/>
          <w:szCs w:val="20"/>
          <w:color w:val="auto"/>
        </w:rPr>
      </w:pPr>
    </w:p>
    <w:p>
      <w:pPr>
        <w:jc w:val="both"/>
        <w:ind w:left="220"/>
        <w:spacing w:after="0" w:line="238" w:lineRule="auto"/>
        <w:rPr>
          <w:sz w:val="20"/>
          <w:szCs w:val="20"/>
          <w:color w:val="auto"/>
        </w:rPr>
      </w:pPr>
      <w:r>
        <w:rPr>
          <w:rFonts w:ascii="Calibri" w:cs="Calibri" w:eastAsia="Calibri" w:hAnsi="Calibri"/>
          <w:sz w:val="16"/>
          <w:szCs w:val="16"/>
          <w:color w:val="auto"/>
        </w:rPr>
        <w:t>Level 2: Fair value is based on quoted prices for similar assets or liabilites in actve markets, valuaton that is based on signifcant observable inputs, or inputs that are derived principally from or corroborated with observable market data through correlaton or other means. Currently, the Company has no fnancial instruments that would be classifed as Level 2.</w:t>
      </w:r>
    </w:p>
    <w:p>
      <w:pPr>
        <w:spacing w:after="0" w:line="159"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Level 3: Fair value is based on valuaton techniques that require one or more signifcant inputs that are not based on observable market inputs. These unobservable inputs refect the Company’s assumptons about the assumptons market partcipants would use in pricing the asset or liability. The investments and the contngent liabilites are classifed as Level 3.</w:t>
      </w:r>
    </w:p>
    <w:p>
      <w:pPr>
        <w:spacing w:after="0" w:line="157"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There were no transfers between levels of the fair value hierarchy for the three and nine months ended December 31, 2022.</w:t>
      </w:r>
    </w:p>
    <w:p>
      <w:pPr>
        <w:spacing w:after="0" w:line="16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following table presents the changes in level 3 fnancial instruments for the nine-month period ended December 31, 2022:</w:t>
      </w:r>
    </w:p>
    <w:p>
      <w:pPr>
        <w:spacing w:after="0" w:line="193"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20"/>
              <w:spacing w:after="0"/>
              <w:rPr>
                <w:sz w:val="20"/>
                <w:szCs w:val="20"/>
                <w:color w:val="auto"/>
              </w:rPr>
            </w:pPr>
            <w:r>
              <w:rPr>
                <w:rFonts w:ascii="Calibri" w:cs="Calibri" w:eastAsia="Calibri" w:hAnsi="Calibri"/>
                <w:sz w:val="16"/>
                <w:szCs w:val="16"/>
                <w:b w:val="1"/>
                <w:bCs w:val="1"/>
                <w:color w:val="auto"/>
              </w:rPr>
              <w:t>$</w:t>
            </w:r>
          </w:p>
        </w:tc>
        <w:tc>
          <w:tcPr>
            <w:tcW w:w="0" w:type="dxa"/>
            <w:vAlign w:val="bottom"/>
          </w:tcPr>
          <w:p>
            <w:pPr>
              <w:spacing w:after="0"/>
              <w:rPr>
                <w:sz w:val="1"/>
                <w:szCs w:val="1"/>
                <w:color w:val="auto"/>
              </w:rPr>
            </w:pPr>
          </w:p>
        </w:tc>
      </w:tr>
      <w:tr>
        <w:trPr>
          <w:trHeight w:val="45"/>
        </w:trPr>
        <w:tc>
          <w:tcPr>
            <w:tcW w:w="1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ind w:left="20"/>
              <w:spacing w:after="0" w:line="185" w:lineRule="exact"/>
              <w:rPr>
                <w:sz w:val="20"/>
                <w:szCs w:val="20"/>
                <w:color w:val="auto"/>
              </w:rPr>
            </w:pPr>
            <w:r>
              <w:rPr>
                <w:rFonts w:ascii="Calibri" w:cs="Calibri" w:eastAsia="Calibri" w:hAnsi="Calibri"/>
                <w:sz w:val="16"/>
                <w:szCs w:val="16"/>
                <w:color w:val="auto"/>
              </w:rPr>
              <w:t>Balance as at March 31, 2022</w:t>
            </w: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60"/>
              <w:spacing w:after="0" w:line="185" w:lineRule="exact"/>
              <w:rPr>
                <w:sz w:val="20"/>
                <w:szCs w:val="20"/>
                <w:color w:val="auto"/>
              </w:rPr>
            </w:pPr>
            <w:r>
              <w:rPr>
                <w:rFonts w:ascii="Calibri" w:cs="Calibri" w:eastAsia="Calibri" w:hAnsi="Calibri"/>
                <w:sz w:val="16"/>
                <w:szCs w:val="16"/>
                <w:color w:val="auto"/>
              </w:rPr>
              <w:t>242</w:t>
            </w:r>
          </w:p>
        </w:tc>
        <w:tc>
          <w:tcPr>
            <w:tcW w:w="0" w:type="dxa"/>
            <w:vAlign w:val="bottom"/>
          </w:tcPr>
          <w:p>
            <w:pPr>
              <w:spacing w:after="0"/>
              <w:rPr>
                <w:sz w:val="1"/>
                <w:szCs w:val="1"/>
                <w:color w:val="auto"/>
              </w:rPr>
            </w:pPr>
          </w:p>
        </w:tc>
      </w:tr>
      <w:tr>
        <w:trPr>
          <w:trHeight w:val="247"/>
        </w:trPr>
        <w:tc>
          <w:tcPr>
            <w:tcW w:w="2240" w:type="dxa"/>
            <w:vAlign w:val="bottom"/>
            <w:gridSpan w:val="2"/>
          </w:tcPr>
          <w:p>
            <w:pPr>
              <w:ind w:left="20"/>
              <w:spacing w:after="0"/>
              <w:rPr>
                <w:sz w:val="20"/>
                <w:szCs w:val="20"/>
                <w:color w:val="auto"/>
              </w:rPr>
            </w:pPr>
            <w:r>
              <w:rPr>
                <w:rFonts w:ascii="Calibri" w:cs="Calibri" w:eastAsia="Calibri" w:hAnsi="Calibri"/>
                <w:sz w:val="16"/>
                <w:szCs w:val="16"/>
                <w:color w:val="auto"/>
              </w:rPr>
              <w:t>Interest income</w:t>
            </w:r>
          </w:p>
        </w:tc>
        <w:tc>
          <w:tcPr>
            <w:tcW w:w="1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58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18</w:t>
            </w:r>
          </w:p>
        </w:tc>
        <w:tc>
          <w:tcPr>
            <w:tcW w:w="0" w:type="dxa"/>
            <w:vAlign w:val="bottom"/>
          </w:tcPr>
          <w:p>
            <w:pPr>
              <w:spacing w:after="0"/>
              <w:rPr>
                <w:sz w:val="1"/>
                <w:szCs w:val="1"/>
                <w:color w:val="auto"/>
              </w:rPr>
            </w:pPr>
          </w:p>
        </w:tc>
      </w:tr>
      <w:tr>
        <w:trPr>
          <w:trHeight w:val="206"/>
        </w:trPr>
        <w:tc>
          <w:tcPr>
            <w:tcW w:w="5300" w:type="dxa"/>
            <w:vAlign w:val="bottom"/>
            <w:gridSpan w:val="4"/>
          </w:tcPr>
          <w:p>
            <w:pPr>
              <w:ind w:left="20"/>
              <w:spacing w:after="0"/>
              <w:rPr>
                <w:sz w:val="20"/>
                <w:szCs w:val="20"/>
                <w:color w:val="auto"/>
              </w:rPr>
            </w:pPr>
            <w:r>
              <w:rPr>
                <w:rFonts w:ascii="Calibri" w:cs="Calibri" w:eastAsia="Calibri" w:hAnsi="Calibri"/>
                <w:sz w:val="16"/>
                <w:szCs w:val="16"/>
                <w:color w:val="auto"/>
              </w:rPr>
              <w:t>Change in fair value of investments measured at fair value through proft or loss</w:t>
            </w:r>
          </w:p>
        </w:tc>
        <w:tc>
          <w:tcPr>
            <w:tcW w:w="1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580" w:type="dxa"/>
            <w:vAlign w:val="bottom"/>
            <w:gridSpan w:val="2"/>
          </w:tcPr>
          <w:p>
            <w:pPr>
              <w:jc w:val="right"/>
              <w:ind w:right="60"/>
              <w:spacing w:after="0"/>
              <w:rPr>
                <w:sz w:val="20"/>
                <w:szCs w:val="20"/>
                <w:color w:val="auto"/>
              </w:rPr>
            </w:pPr>
            <w:r>
              <w:rPr>
                <w:rFonts w:ascii="Calibri" w:cs="Calibri" w:eastAsia="Calibri" w:hAnsi="Calibri"/>
                <w:sz w:val="16"/>
                <w:szCs w:val="16"/>
                <w:color w:val="auto"/>
              </w:rPr>
              <w:t>(135)</w:t>
            </w:r>
          </w:p>
        </w:tc>
        <w:tc>
          <w:tcPr>
            <w:tcW w:w="0" w:type="dxa"/>
            <w:vAlign w:val="bottom"/>
          </w:tcPr>
          <w:p>
            <w:pPr>
              <w:spacing w:after="0"/>
              <w:rPr>
                <w:sz w:val="1"/>
                <w:szCs w:val="1"/>
                <w:color w:val="auto"/>
              </w:rPr>
            </w:pPr>
          </w:p>
        </w:tc>
      </w:tr>
      <w:tr>
        <w:trPr>
          <w:trHeight w:val="45"/>
        </w:trPr>
        <w:tc>
          <w:tcPr>
            <w:tcW w:w="14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86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240" w:type="dxa"/>
            <w:vAlign w:val="bottom"/>
            <w:gridSpan w:val="2"/>
          </w:tcPr>
          <w:p>
            <w:pPr>
              <w:ind w:left="20"/>
              <w:spacing w:after="0" w:line="185" w:lineRule="exact"/>
              <w:rPr>
                <w:sz w:val="20"/>
                <w:szCs w:val="20"/>
                <w:color w:val="auto"/>
              </w:rPr>
            </w:pPr>
            <w:r>
              <w:rPr>
                <w:rFonts w:ascii="Calibri" w:cs="Calibri" w:eastAsia="Calibri" w:hAnsi="Calibri"/>
                <w:sz w:val="16"/>
                <w:szCs w:val="16"/>
                <w:color w:val="auto"/>
              </w:rPr>
              <w:t>Balance as at December 31, 2022</w:t>
            </w: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60"/>
              <w:spacing w:after="0" w:line="185" w:lineRule="exact"/>
              <w:rPr>
                <w:sz w:val="20"/>
                <w:szCs w:val="20"/>
                <w:color w:val="auto"/>
              </w:rPr>
            </w:pPr>
            <w:r>
              <w:rPr>
                <w:rFonts w:ascii="Calibri" w:cs="Calibri" w:eastAsia="Calibri" w:hAnsi="Calibri"/>
                <w:sz w:val="16"/>
                <w:szCs w:val="16"/>
                <w:b w:val="1"/>
                <w:bCs w:val="1"/>
                <w:color w:val="auto"/>
              </w:rPr>
              <w:t>125</w:t>
            </w:r>
          </w:p>
        </w:tc>
        <w:tc>
          <w:tcPr>
            <w:tcW w:w="0" w:type="dxa"/>
            <w:vAlign w:val="bottom"/>
          </w:tcPr>
          <w:p>
            <w:pPr>
              <w:spacing w:after="0"/>
              <w:rPr>
                <w:sz w:val="1"/>
                <w:szCs w:val="1"/>
                <w:color w:val="auto"/>
              </w:rPr>
            </w:pPr>
          </w:p>
        </w:tc>
      </w:tr>
      <w:tr>
        <w:trPr>
          <w:trHeight w:val="37"/>
        </w:trPr>
        <w:tc>
          <w:tcPr>
            <w:tcW w:w="1460" w:type="dxa"/>
            <w:vAlign w:val="bottom"/>
            <w:tcBorders>
              <w:bottom w:val="single" w:sz="8" w:color="auto"/>
            </w:tcBorders>
          </w:tcPr>
          <w:p>
            <w:pPr>
              <w:spacing w:after="0"/>
              <w:rPr>
                <w:sz w:val="3"/>
                <w:szCs w:val="3"/>
                <w:color w:val="auto"/>
              </w:rPr>
            </w:pPr>
          </w:p>
        </w:tc>
        <w:tc>
          <w:tcPr>
            <w:tcW w:w="9080" w:type="dxa"/>
            <w:vAlign w:val="bottom"/>
            <w:tcBorders>
              <w:bottom w:val="single" w:sz="8" w:color="auto"/>
            </w:tcBorders>
            <w:gridSpan w:val="6"/>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408"/>
        </w:trPr>
        <w:tc>
          <w:tcPr>
            <w:tcW w:w="10620" w:type="dxa"/>
            <w:vAlign w:val="bottom"/>
            <w:gridSpan w:val="8"/>
          </w:tcPr>
          <w:p>
            <w:pPr>
              <w:spacing w:after="0"/>
              <w:rPr>
                <w:sz w:val="20"/>
                <w:szCs w:val="20"/>
                <w:color w:val="auto"/>
              </w:rPr>
            </w:pPr>
            <w:r>
              <w:rPr>
                <w:rFonts w:ascii="Calibri" w:cs="Calibri" w:eastAsia="Calibri" w:hAnsi="Calibri"/>
                <w:sz w:val="16"/>
                <w:szCs w:val="16"/>
                <w:color w:val="auto"/>
              </w:rPr>
              <w:t>The following table summarizes the quanttatve informaton about the signifcant unobservable inputs used in level 3 fair value measurements:</w:t>
            </w:r>
          </w:p>
        </w:tc>
        <w:tc>
          <w:tcPr>
            <w:tcW w:w="0" w:type="dxa"/>
            <w:vAlign w:val="bottom"/>
          </w:tcPr>
          <w:p>
            <w:pPr>
              <w:spacing w:after="0"/>
              <w:rPr>
                <w:sz w:val="1"/>
                <w:szCs w:val="1"/>
                <w:color w:val="auto"/>
              </w:rPr>
            </w:pPr>
          </w:p>
        </w:tc>
      </w:tr>
      <w:tr>
        <w:trPr>
          <w:trHeight w:val="412"/>
        </w:trPr>
        <w:tc>
          <w:tcPr>
            <w:tcW w:w="1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40" w:type="dxa"/>
            <w:vAlign w:val="bottom"/>
          </w:tcPr>
          <w:p>
            <w:pPr>
              <w:jc w:val="right"/>
              <w:ind w:right="119"/>
              <w:spacing w:after="0"/>
              <w:rPr>
                <w:sz w:val="20"/>
                <w:szCs w:val="20"/>
                <w:color w:val="auto"/>
              </w:rPr>
            </w:pPr>
            <w:r>
              <w:rPr>
                <w:rFonts w:ascii="Calibri" w:cs="Calibri" w:eastAsia="Calibri" w:hAnsi="Calibri"/>
                <w:sz w:val="16"/>
                <w:szCs w:val="16"/>
                <w:b w:val="1"/>
                <w:bCs w:val="1"/>
                <w:color w:val="auto"/>
              </w:rPr>
              <w:t>Fair Value as at</w:t>
            </w:r>
          </w:p>
        </w:tc>
        <w:tc>
          <w:tcPr>
            <w:tcW w:w="1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tcPr>
          <w:p>
            <w:pPr>
              <w:jc w:val="right"/>
              <w:ind w:right="399"/>
              <w:spacing w:after="0" w:line="190" w:lineRule="exact"/>
              <w:rPr>
                <w:sz w:val="20"/>
                <w:szCs w:val="20"/>
                <w:color w:val="auto"/>
              </w:rPr>
            </w:pPr>
            <w:r>
              <w:rPr>
                <w:rFonts w:ascii="Calibri" w:cs="Calibri" w:eastAsia="Calibri" w:hAnsi="Calibri"/>
                <w:sz w:val="16"/>
                <w:szCs w:val="16"/>
                <w:b w:val="1"/>
                <w:bCs w:val="1"/>
                <w:color w:val="auto"/>
              </w:rPr>
              <w:t>December 31, 2022</w:t>
            </w:r>
          </w:p>
        </w:tc>
        <w:tc>
          <w:tcPr>
            <w:tcW w:w="1220" w:type="dxa"/>
            <w:vAlign w:val="bottom"/>
          </w:tcPr>
          <w:p>
            <w:pPr>
              <w:ind w:left="180"/>
              <w:spacing w:after="0" w:line="190" w:lineRule="exact"/>
              <w:rPr>
                <w:sz w:val="20"/>
                <w:szCs w:val="20"/>
                <w:color w:val="auto"/>
              </w:rPr>
            </w:pPr>
            <w:r>
              <w:rPr>
                <w:rFonts w:ascii="Calibri" w:cs="Calibri" w:eastAsia="Calibri" w:hAnsi="Calibri"/>
                <w:sz w:val="16"/>
                <w:szCs w:val="16"/>
                <w:b w:val="1"/>
                <w:bCs w:val="1"/>
                <w:color w:val="auto"/>
                <w:w w:val="99"/>
              </w:rPr>
              <w:t>March 31, 2022</w:t>
            </w:r>
          </w:p>
        </w:tc>
        <w:tc>
          <w:tcPr>
            <w:tcW w:w="186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Calibri" w:cs="Calibri" w:eastAsia="Calibri" w:hAnsi="Calibri"/>
                <w:sz w:val="16"/>
                <w:szCs w:val="16"/>
                <w:b w:val="1"/>
                <w:bCs w:val="1"/>
                <w:color w:val="auto"/>
              </w:rPr>
              <w:t>Range of</w:t>
            </w:r>
          </w:p>
        </w:tc>
        <w:tc>
          <w:tcPr>
            <w:tcW w:w="2580" w:type="dxa"/>
            <w:vAlign w:val="bottom"/>
            <w:gridSpan w:val="2"/>
            <w:vMerge w:val="restart"/>
          </w:tcPr>
          <w:p>
            <w:pPr>
              <w:jc w:val="right"/>
              <w:ind w:right="140"/>
              <w:spacing w:after="0"/>
              <w:rPr>
                <w:sz w:val="20"/>
                <w:szCs w:val="20"/>
                <w:color w:val="auto"/>
              </w:rPr>
            </w:pPr>
            <w:r>
              <w:rPr>
                <w:rFonts w:ascii="Calibri" w:cs="Calibri" w:eastAsia="Calibri" w:hAnsi="Calibri"/>
                <w:sz w:val="16"/>
                <w:szCs w:val="16"/>
                <w:b w:val="1"/>
                <w:bCs w:val="1"/>
                <w:color w:val="auto"/>
              </w:rPr>
              <w:t>Relatonship of unobservable inputs</w:t>
            </w:r>
          </w:p>
        </w:tc>
        <w:tc>
          <w:tcPr>
            <w:tcW w:w="0" w:type="dxa"/>
            <w:vAlign w:val="bottom"/>
          </w:tcPr>
          <w:p>
            <w:pPr>
              <w:spacing w:after="0"/>
              <w:rPr>
                <w:sz w:val="1"/>
                <w:szCs w:val="1"/>
                <w:color w:val="auto"/>
              </w:rPr>
            </w:pPr>
          </w:p>
        </w:tc>
      </w:tr>
      <w:tr>
        <w:trPr>
          <w:trHeight w:val="49"/>
        </w:trPr>
        <w:tc>
          <w:tcPr>
            <w:tcW w:w="2240" w:type="dxa"/>
            <w:vAlign w:val="bottom"/>
            <w:gridSpan w:val="2"/>
            <w:vMerge w:val="restart"/>
          </w:tcPr>
          <w:p>
            <w:pPr>
              <w:ind w:left="20"/>
              <w:spacing w:after="0"/>
              <w:rPr>
                <w:sz w:val="20"/>
                <w:szCs w:val="20"/>
                <w:color w:val="auto"/>
              </w:rPr>
            </w:pPr>
            <w:r>
              <w:rPr>
                <w:rFonts w:ascii="Calibri" w:cs="Calibri" w:eastAsia="Calibri" w:hAnsi="Calibri"/>
                <w:sz w:val="16"/>
                <w:szCs w:val="16"/>
                <w:b w:val="1"/>
                <w:bCs w:val="1"/>
                <w:color w:val="auto"/>
              </w:rPr>
              <w:t>Descripton</w:t>
            </w:r>
          </w:p>
        </w:tc>
        <w:tc>
          <w:tcPr>
            <w:tcW w:w="1840" w:type="dxa"/>
            <w:vAlign w:val="bottom"/>
            <w:vMerge w:val="restart"/>
          </w:tcPr>
          <w:p>
            <w:pPr>
              <w:jc w:val="right"/>
              <w:ind w:right="439"/>
              <w:spacing w:after="0"/>
              <w:rPr>
                <w:sz w:val="20"/>
                <w:szCs w:val="20"/>
                <w:color w:val="auto"/>
              </w:rPr>
            </w:pPr>
            <w:r>
              <w:rPr>
                <w:rFonts w:ascii="Calibri" w:cs="Calibri" w:eastAsia="Calibri" w:hAnsi="Calibri"/>
                <w:sz w:val="16"/>
                <w:szCs w:val="16"/>
                <w:b w:val="1"/>
                <w:bCs w:val="1"/>
                <w:color w:val="auto"/>
              </w:rPr>
              <w:t>000’s</w:t>
            </w:r>
          </w:p>
        </w:tc>
        <w:tc>
          <w:tcPr>
            <w:tcW w:w="1220" w:type="dxa"/>
            <w:vAlign w:val="bottom"/>
            <w:vMerge w:val="restart"/>
          </w:tcPr>
          <w:p>
            <w:pPr>
              <w:ind w:left="820"/>
              <w:spacing w:after="0"/>
              <w:rPr>
                <w:sz w:val="20"/>
                <w:szCs w:val="20"/>
                <w:color w:val="auto"/>
              </w:rPr>
            </w:pPr>
            <w:r>
              <w:rPr>
                <w:rFonts w:ascii="Calibri" w:cs="Calibri" w:eastAsia="Calibri" w:hAnsi="Calibri"/>
                <w:sz w:val="16"/>
                <w:szCs w:val="16"/>
                <w:b w:val="1"/>
                <w:bCs w:val="1"/>
                <w:color w:val="auto"/>
              </w:rPr>
              <w:t>000’s</w:t>
            </w:r>
          </w:p>
        </w:tc>
        <w:tc>
          <w:tcPr>
            <w:tcW w:w="1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5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3"/>
        </w:trPr>
        <w:tc>
          <w:tcPr>
            <w:tcW w:w="2240" w:type="dxa"/>
            <w:vAlign w:val="bottom"/>
            <w:gridSpan w:val="2"/>
            <w:vMerge w:val="continue"/>
          </w:tcPr>
          <w:p>
            <w:pPr>
              <w:spacing w:after="0"/>
              <w:rPr>
                <w:sz w:val="16"/>
                <w:szCs w:val="16"/>
                <w:color w:val="auto"/>
              </w:rPr>
            </w:pPr>
          </w:p>
        </w:tc>
        <w:tc>
          <w:tcPr>
            <w:tcW w:w="184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860" w:type="dxa"/>
            <w:vAlign w:val="bottom"/>
          </w:tcPr>
          <w:p>
            <w:pPr>
              <w:jc w:val="right"/>
              <w:ind w:right="159"/>
              <w:spacing w:after="0" w:line="193" w:lineRule="exact"/>
              <w:rPr>
                <w:sz w:val="20"/>
                <w:szCs w:val="20"/>
                <w:color w:val="auto"/>
              </w:rPr>
            </w:pPr>
            <w:r>
              <w:rPr>
                <w:rFonts w:ascii="Calibri" w:cs="Calibri" w:eastAsia="Calibri" w:hAnsi="Calibri"/>
                <w:sz w:val="16"/>
                <w:szCs w:val="16"/>
                <w:b w:val="1"/>
                <w:bCs w:val="1"/>
                <w:color w:val="auto"/>
              </w:rPr>
              <w:t>Unobservable inputs</w:t>
            </w:r>
          </w:p>
        </w:tc>
        <w:tc>
          <w:tcPr>
            <w:tcW w:w="880" w:type="dxa"/>
            <w:vAlign w:val="bottom"/>
          </w:tcPr>
          <w:p>
            <w:pPr>
              <w:jc w:val="right"/>
              <w:spacing w:after="0" w:line="193" w:lineRule="exact"/>
              <w:rPr>
                <w:sz w:val="20"/>
                <w:szCs w:val="20"/>
                <w:color w:val="auto"/>
              </w:rPr>
            </w:pPr>
            <w:r>
              <w:rPr>
                <w:rFonts w:ascii="Calibri" w:cs="Calibri" w:eastAsia="Calibri" w:hAnsi="Calibri"/>
                <w:sz w:val="16"/>
                <w:szCs w:val="16"/>
                <w:b w:val="1"/>
                <w:bCs w:val="1"/>
                <w:color w:val="auto"/>
              </w:rPr>
              <w:t>inputs</w:t>
            </w:r>
          </w:p>
        </w:tc>
        <w:tc>
          <w:tcPr>
            <w:tcW w:w="258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b w:val="1"/>
                <w:bCs w:val="1"/>
                <w:color w:val="auto"/>
              </w:rPr>
              <w:t>to fair value</w:t>
            </w:r>
          </w:p>
        </w:tc>
        <w:tc>
          <w:tcPr>
            <w:tcW w:w="0" w:type="dxa"/>
            <w:vAlign w:val="bottom"/>
          </w:tcPr>
          <w:p>
            <w:pPr>
              <w:spacing w:after="0"/>
              <w:rPr>
                <w:sz w:val="1"/>
                <w:szCs w:val="1"/>
                <w:color w:val="auto"/>
              </w:rPr>
            </w:pPr>
          </w:p>
        </w:tc>
      </w:tr>
      <w:tr>
        <w:trPr>
          <w:trHeight w:val="21"/>
        </w:trPr>
        <w:tc>
          <w:tcPr>
            <w:tcW w:w="22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4"/>
        </w:trPr>
        <w:tc>
          <w:tcPr>
            <w:tcW w:w="2240" w:type="dxa"/>
            <w:vAlign w:val="bottom"/>
            <w:tcBorders>
              <w:top w:val="single" w:sz="8" w:color="auto"/>
            </w:tcBorders>
            <w:gridSpan w:val="2"/>
          </w:tcPr>
          <w:p>
            <w:pPr>
              <w:ind w:left="20"/>
              <w:spacing w:after="0" w:line="154" w:lineRule="exact"/>
              <w:rPr>
                <w:sz w:val="20"/>
                <w:szCs w:val="20"/>
                <w:color w:val="auto"/>
              </w:rPr>
            </w:pPr>
            <w:r>
              <w:rPr>
                <w:rFonts w:ascii="Calibri" w:cs="Calibri" w:eastAsia="Calibri" w:hAnsi="Calibri"/>
                <w:sz w:val="16"/>
                <w:szCs w:val="16"/>
                <w:color w:val="auto"/>
              </w:rPr>
              <w:t>Rx Hybrid Instrument</w:t>
            </w:r>
          </w:p>
        </w:tc>
        <w:tc>
          <w:tcPr>
            <w:tcW w:w="1840" w:type="dxa"/>
            <w:vAlign w:val="bottom"/>
            <w:tcBorders>
              <w:top w:val="single" w:sz="8" w:color="auto"/>
            </w:tcBorders>
          </w:tcPr>
          <w:p>
            <w:pPr>
              <w:jc w:val="right"/>
              <w:ind w:right="439"/>
              <w:spacing w:after="0" w:line="154" w:lineRule="exact"/>
              <w:rPr>
                <w:sz w:val="20"/>
                <w:szCs w:val="20"/>
                <w:color w:val="auto"/>
              </w:rPr>
            </w:pPr>
            <w:r>
              <w:rPr>
                <w:rFonts w:ascii="Calibri" w:cs="Calibri" w:eastAsia="Calibri" w:hAnsi="Calibri"/>
                <w:sz w:val="16"/>
                <w:szCs w:val="16"/>
                <w:b w:val="1"/>
                <w:bCs w:val="1"/>
                <w:color w:val="auto"/>
              </w:rPr>
              <w:t>125</w:t>
            </w:r>
          </w:p>
        </w:tc>
        <w:tc>
          <w:tcPr>
            <w:tcW w:w="3080" w:type="dxa"/>
            <w:vAlign w:val="bottom"/>
            <w:tcBorders>
              <w:top w:val="single" w:sz="8" w:color="auto"/>
            </w:tcBorders>
            <w:gridSpan w:val="2"/>
          </w:tcPr>
          <w:p>
            <w:pPr>
              <w:jc w:val="right"/>
              <w:ind w:right="179"/>
              <w:spacing w:after="0" w:line="154" w:lineRule="exact"/>
              <w:rPr>
                <w:sz w:val="20"/>
                <w:szCs w:val="20"/>
                <w:color w:val="auto"/>
              </w:rPr>
            </w:pPr>
            <w:r>
              <w:rPr>
                <w:rFonts w:ascii="Calibri" w:cs="Calibri" w:eastAsia="Calibri" w:hAnsi="Calibri"/>
                <w:sz w:val="16"/>
                <w:szCs w:val="16"/>
                <w:color w:val="auto"/>
              </w:rPr>
              <w:t>242 Fair value interest rate of</w:t>
            </w:r>
          </w:p>
        </w:tc>
        <w:tc>
          <w:tcPr>
            <w:tcW w:w="880" w:type="dxa"/>
            <w:vAlign w:val="bottom"/>
            <w:tcBorders>
              <w:top w:val="single" w:sz="8" w:color="auto"/>
            </w:tcBorders>
          </w:tcPr>
          <w:p>
            <w:pPr>
              <w:jc w:val="right"/>
              <w:spacing w:after="0" w:line="154" w:lineRule="exact"/>
              <w:rPr>
                <w:sz w:val="20"/>
                <w:szCs w:val="20"/>
                <w:color w:val="auto"/>
              </w:rPr>
            </w:pPr>
            <w:r>
              <w:rPr>
                <w:rFonts w:ascii="Calibri" w:cs="Calibri" w:eastAsia="Calibri" w:hAnsi="Calibri"/>
                <w:sz w:val="16"/>
                <w:szCs w:val="16"/>
                <w:color w:val="auto"/>
              </w:rPr>
              <w:t>10%</w:t>
            </w:r>
          </w:p>
        </w:tc>
        <w:tc>
          <w:tcPr>
            <w:tcW w:w="2500" w:type="dxa"/>
            <w:vAlign w:val="bottom"/>
            <w:tcBorders>
              <w:top w:val="single" w:sz="8" w:color="auto"/>
            </w:tcBorders>
          </w:tcPr>
          <w:p>
            <w:pPr>
              <w:jc w:val="right"/>
              <w:spacing w:after="0" w:line="154" w:lineRule="exact"/>
              <w:rPr>
                <w:sz w:val="20"/>
                <w:szCs w:val="20"/>
                <w:color w:val="auto"/>
              </w:rPr>
            </w:pPr>
            <w:r>
              <w:rPr>
                <w:rFonts w:ascii="Calibri" w:cs="Calibri" w:eastAsia="Calibri" w:hAnsi="Calibri"/>
                <w:sz w:val="16"/>
                <w:szCs w:val="16"/>
                <w:color w:val="auto"/>
              </w:rPr>
              <w:t>Increase/decrease in the fair value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60" w:type="dxa"/>
            <w:vAlign w:val="bottom"/>
          </w:tcPr>
          <w:p>
            <w:pPr>
              <w:jc w:val="right"/>
              <w:ind w:right="159"/>
              <w:spacing w:after="0" w:line="158" w:lineRule="exact"/>
              <w:rPr>
                <w:sz w:val="20"/>
                <w:szCs w:val="20"/>
                <w:color w:val="auto"/>
              </w:rPr>
            </w:pPr>
            <w:r>
              <w:rPr>
                <w:rFonts w:ascii="Calibri" w:cs="Calibri" w:eastAsia="Calibri" w:hAnsi="Calibri"/>
                <w:sz w:val="16"/>
                <w:szCs w:val="16"/>
                <w:color w:val="auto"/>
              </w:rPr>
              <w:t>loan and conversion</w:t>
            </w:r>
          </w:p>
        </w:tc>
        <w:tc>
          <w:tcPr>
            <w:tcW w:w="880" w:type="dxa"/>
            <w:vAlign w:val="bottom"/>
          </w:tcPr>
          <w:p>
            <w:pPr>
              <w:spacing w:after="0"/>
              <w:rPr>
                <w:sz w:val="13"/>
                <w:szCs w:val="13"/>
                <w:color w:val="auto"/>
              </w:rPr>
            </w:pPr>
          </w:p>
        </w:tc>
        <w:tc>
          <w:tcPr>
            <w:tcW w:w="2580" w:type="dxa"/>
            <w:vAlign w:val="bottom"/>
            <w:gridSpan w:val="2"/>
          </w:tcPr>
          <w:p>
            <w:pPr>
              <w:jc w:val="right"/>
              <w:ind w:right="140"/>
              <w:spacing w:after="0" w:line="158" w:lineRule="exact"/>
              <w:rPr>
                <w:sz w:val="20"/>
                <w:szCs w:val="20"/>
                <w:color w:val="auto"/>
              </w:rPr>
            </w:pPr>
            <w:r>
              <w:rPr>
                <w:rFonts w:ascii="Calibri" w:cs="Calibri" w:eastAsia="Calibri" w:hAnsi="Calibri"/>
                <w:sz w:val="16"/>
                <w:szCs w:val="16"/>
                <w:color w:val="auto"/>
                <w:w w:val="99"/>
              </w:rPr>
              <w:t>rate by 1% would not have a material</w:t>
            </w:r>
          </w:p>
        </w:tc>
        <w:tc>
          <w:tcPr>
            <w:tcW w:w="0" w:type="dxa"/>
            <w:vAlign w:val="bottom"/>
          </w:tcPr>
          <w:p>
            <w:pPr>
              <w:spacing w:after="0"/>
              <w:rPr>
                <w:sz w:val="1"/>
                <w:szCs w:val="1"/>
                <w:color w:val="auto"/>
              </w:rPr>
            </w:pPr>
          </w:p>
        </w:tc>
      </w:tr>
      <w:tr>
        <w:trPr>
          <w:trHeight w:val="158"/>
        </w:trPr>
        <w:tc>
          <w:tcPr>
            <w:tcW w:w="1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860" w:type="dxa"/>
            <w:vAlign w:val="bottom"/>
          </w:tcPr>
          <w:p>
            <w:pPr>
              <w:jc w:val="right"/>
              <w:ind w:right="159"/>
              <w:spacing w:after="0" w:line="158" w:lineRule="exact"/>
              <w:rPr>
                <w:sz w:val="20"/>
                <w:szCs w:val="20"/>
                <w:color w:val="auto"/>
              </w:rPr>
            </w:pPr>
            <w:r>
              <w:rPr>
                <w:rFonts w:ascii="Calibri" w:cs="Calibri" w:eastAsia="Calibri" w:hAnsi="Calibri"/>
                <w:sz w:val="16"/>
                <w:szCs w:val="16"/>
                <w:color w:val="auto"/>
              </w:rPr>
              <w:t>feature</w:t>
            </w:r>
          </w:p>
        </w:tc>
        <w:tc>
          <w:tcPr>
            <w:tcW w:w="880" w:type="dxa"/>
            <w:vAlign w:val="bottom"/>
          </w:tcPr>
          <w:p>
            <w:pPr>
              <w:spacing w:after="0"/>
              <w:rPr>
                <w:sz w:val="13"/>
                <w:szCs w:val="13"/>
                <w:color w:val="auto"/>
              </w:rPr>
            </w:pPr>
          </w:p>
        </w:tc>
        <w:tc>
          <w:tcPr>
            <w:tcW w:w="2580" w:type="dxa"/>
            <w:vAlign w:val="bottom"/>
            <w:gridSpan w:val="2"/>
          </w:tcPr>
          <w:p>
            <w:pPr>
              <w:jc w:val="right"/>
              <w:ind w:right="140"/>
              <w:spacing w:after="0" w:line="158" w:lineRule="exact"/>
              <w:rPr>
                <w:sz w:val="20"/>
                <w:szCs w:val="20"/>
                <w:color w:val="auto"/>
              </w:rPr>
            </w:pPr>
            <w:r>
              <w:rPr>
                <w:rFonts w:ascii="Calibri" w:cs="Calibri" w:eastAsia="Calibri" w:hAnsi="Calibri"/>
                <w:sz w:val="16"/>
                <w:szCs w:val="16"/>
                <w:color w:val="auto"/>
              </w:rPr>
              <w:t>efect on the fair value of the</w:t>
            </w:r>
          </w:p>
        </w:tc>
        <w:tc>
          <w:tcPr>
            <w:tcW w:w="0" w:type="dxa"/>
            <w:vAlign w:val="bottom"/>
          </w:tcPr>
          <w:p>
            <w:pPr>
              <w:spacing w:after="0"/>
              <w:rPr>
                <w:sz w:val="1"/>
                <w:szCs w:val="1"/>
                <w:color w:val="auto"/>
              </w:rPr>
            </w:pPr>
          </w:p>
        </w:tc>
      </w:tr>
      <w:tr>
        <w:trPr>
          <w:trHeight w:val="193"/>
        </w:trPr>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580" w:type="dxa"/>
            <w:vAlign w:val="bottom"/>
            <w:gridSpan w:val="2"/>
          </w:tcPr>
          <w:p>
            <w:pPr>
              <w:jc w:val="right"/>
              <w:ind w:right="140"/>
              <w:spacing w:after="0" w:line="193" w:lineRule="exact"/>
              <w:rPr>
                <w:sz w:val="20"/>
                <w:szCs w:val="20"/>
                <w:color w:val="auto"/>
              </w:rPr>
            </w:pPr>
            <w:r>
              <w:rPr>
                <w:rFonts w:ascii="Calibri" w:cs="Calibri" w:eastAsia="Calibri" w:hAnsi="Calibri"/>
                <w:sz w:val="16"/>
                <w:szCs w:val="16"/>
                <w:color w:val="auto"/>
              </w:rPr>
              <w:t>investment</w:t>
            </w:r>
          </w:p>
        </w:tc>
        <w:tc>
          <w:tcPr>
            <w:tcW w:w="0" w:type="dxa"/>
            <w:vAlign w:val="bottom"/>
          </w:tcPr>
          <w:p>
            <w:pPr>
              <w:spacing w:after="0"/>
              <w:rPr>
                <w:sz w:val="1"/>
                <w:szCs w:val="1"/>
                <w:color w:val="auto"/>
              </w:rPr>
            </w:pPr>
          </w:p>
        </w:tc>
      </w:tr>
      <w:tr>
        <w:trPr>
          <w:trHeight w:val="21"/>
        </w:trPr>
        <w:tc>
          <w:tcPr>
            <w:tcW w:w="1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u w:val="single" w:color="auto"/>
          <w:color w:val="auto"/>
        </w:rPr>
        <w:t>Financial risk management</w:t>
      </w:r>
    </w:p>
    <w:p>
      <w:pPr>
        <w:spacing w:after="0" w:line="16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Credit risk</w:t>
      </w:r>
    </w:p>
    <w:p>
      <w:pPr>
        <w:spacing w:after="0" w:line="158"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Credit risk is the risk that one party to a fnancial instrument will cause a fnancial loss for the other party by failing to discharge an obligaton. The Company’s cash is exposed to credit risk. The Company reduces its credit risk on cash by placing these instruments with insttutons of high credit worthiness. As at December 31, 2022, the Company’s maximum exposure to credit risk is the carrying value of its fnancial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22 of 25</w:t>
      </w:r>
    </w:p>
    <w:p>
      <w:pPr>
        <w:sectPr>
          <w:pgSz w:w="11900" w:h="16838" w:orient="portrait"/>
          <w:cols w:equalWidth="0" w:num="1">
            <w:col w:w="11200"/>
          </w:cols>
          <w:pgMar w:left="380" w:top="162" w:right="319" w:bottom="1440" w:gutter="0" w:footer="0" w:header="0"/>
        </w:sectPr>
      </w:pPr>
    </w:p>
    <w:bookmarkStart w:id="25" w:name="page26"/>
    <w:bookmarkEnd w:id="25"/>
    <w:p>
      <w:pPr>
        <w:spacing w:after="0"/>
        <w:rPr>
          <w:sz w:val="20"/>
          <w:szCs w:val="20"/>
          <w:color w:val="auto"/>
        </w:rPr>
      </w:pPr>
      <w:r>
        <w:rPr>
          <w:rFonts w:ascii="Calibri" w:cs="Calibri" w:eastAsia="Calibri" w:hAnsi="Calibri"/>
          <w:sz w:val="19"/>
          <w:szCs w:val="19"/>
          <w:b w:val="1"/>
          <w:bCs w:val="1"/>
          <w:color w:val="auto"/>
        </w:rPr>
        <w:t>CYBIN INC.</w:t>
      </w:r>
    </w:p>
    <w:p>
      <w:pPr>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28575</wp:posOffset>
            </wp:positionV>
            <wp:extent cx="71462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Liquidity risk</w:t>
      </w:r>
    </w:p>
    <w:p>
      <w:pPr>
        <w:spacing w:after="0" w:line="171"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Liquidity risk is the risk that an entty will encounter difculty in raising funds to meet commitments associated with fnancial instruments. The Company manages liquidity by maintaining adequate cash balances to meet liabilites as they become due.</w:t>
      </w:r>
    </w:p>
    <w:p>
      <w:pPr>
        <w:spacing w:after="0" w:line="160" w:lineRule="exact"/>
        <w:rPr>
          <w:sz w:val="20"/>
          <w:szCs w:val="20"/>
          <w:color w:val="auto"/>
        </w:rPr>
      </w:pPr>
    </w:p>
    <w:p>
      <w:pPr>
        <w:jc w:val="both"/>
        <w:ind w:left="220" w:right="20"/>
        <w:spacing w:after="0" w:line="237" w:lineRule="auto"/>
        <w:rPr>
          <w:sz w:val="20"/>
          <w:szCs w:val="20"/>
          <w:color w:val="auto"/>
        </w:rPr>
      </w:pPr>
      <w:r>
        <w:rPr>
          <w:rFonts w:ascii="Calibri" w:cs="Calibri" w:eastAsia="Calibri" w:hAnsi="Calibri"/>
          <w:sz w:val="16"/>
          <w:szCs w:val="16"/>
          <w:color w:val="auto"/>
        </w:rPr>
        <w:t>As at December 31, 2022, the Company had cash of $22,511 (March 31, 2022 - $53,641) in order to meet current liabilites. Accounts payable and accrued liabilites include trade payables and other obligatons of $4,369 (March 31, 2022 - $5,262), all amounts are due within the next 12 months.</w:t>
      </w:r>
    </w:p>
    <w:p>
      <w:pPr>
        <w:spacing w:after="0" w:line="158" w:lineRule="exact"/>
        <w:rPr>
          <w:sz w:val="20"/>
          <w:szCs w:val="20"/>
          <w:color w:val="auto"/>
        </w:rPr>
      </w:pPr>
    </w:p>
    <w:p>
      <w:pPr>
        <w:ind w:left="220"/>
        <w:spacing w:after="0"/>
        <w:rPr>
          <w:sz w:val="20"/>
          <w:szCs w:val="20"/>
          <w:color w:val="auto"/>
        </w:rPr>
      </w:pPr>
      <w:r>
        <w:rPr>
          <w:rFonts w:ascii="Calibri" w:cs="Calibri" w:eastAsia="Calibri" w:hAnsi="Calibri"/>
          <w:sz w:val="16"/>
          <w:szCs w:val="16"/>
          <w:b w:val="1"/>
          <w:bCs w:val="1"/>
          <w:color w:val="auto"/>
        </w:rPr>
        <w:t>Market risk</w:t>
      </w:r>
    </w:p>
    <w:p>
      <w:pPr>
        <w:spacing w:after="0" w:line="16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The signifcant market risks to which the Company is exposed are interest rate risk and currency risk.</w:t>
      </w:r>
    </w:p>
    <w:p>
      <w:pPr>
        <w:spacing w:after="0" w:line="156"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Interest rate risk</w:t>
      </w:r>
    </w:p>
    <w:p>
      <w:pPr>
        <w:spacing w:after="0" w:line="158" w:lineRule="exact"/>
        <w:rPr>
          <w:sz w:val="20"/>
          <w:szCs w:val="20"/>
          <w:color w:val="auto"/>
        </w:rPr>
      </w:pPr>
    </w:p>
    <w:p>
      <w:pPr>
        <w:jc w:val="both"/>
        <w:ind w:left="220" w:right="20"/>
        <w:spacing w:after="0" w:line="238" w:lineRule="auto"/>
        <w:rPr>
          <w:sz w:val="20"/>
          <w:szCs w:val="20"/>
          <w:color w:val="auto"/>
        </w:rPr>
      </w:pPr>
      <w:r>
        <w:rPr>
          <w:rFonts w:ascii="Calibri" w:cs="Calibri" w:eastAsia="Calibri" w:hAnsi="Calibri"/>
          <w:sz w:val="16"/>
          <w:szCs w:val="16"/>
          <w:color w:val="auto"/>
        </w:rPr>
        <w:t>Interest rate risk is the risk that the fair value or the future cash fows of a fnancial instrument will fuctuate because of changes in market interest rate. In seeking to minimize the risks from interest rate fuctuatons, the Company manages exposure through its normal operatng and fnancing actvites. As at December 31, 2022, the Company has determined its exposure to interest rate risk is minimal.</w:t>
      </w:r>
    </w:p>
    <w:p>
      <w:pPr>
        <w:spacing w:after="0" w:line="169" w:lineRule="exact"/>
        <w:rPr>
          <w:sz w:val="20"/>
          <w:szCs w:val="20"/>
          <w:color w:val="auto"/>
        </w:rPr>
      </w:pPr>
    </w:p>
    <w:p>
      <w:pPr>
        <w:ind w:left="220"/>
        <w:spacing w:after="0"/>
        <w:rPr>
          <w:sz w:val="20"/>
          <w:szCs w:val="20"/>
          <w:color w:val="auto"/>
        </w:rPr>
      </w:pPr>
      <w:r>
        <w:rPr>
          <w:rFonts w:ascii="Calibri" w:cs="Calibri" w:eastAsia="Calibri" w:hAnsi="Calibri"/>
          <w:sz w:val="16"/>
          <w:szCs w:val="16"/>
          <w:i w:val="1"/>
          <w:iCs w:val="1"/>
          <w:u w:val="single" w:color="auto"/>
          <w:color w:val="auto"/>
        </w:rPr>
        <w:t>Currency risk</w:t>
      </w:r>
    </w:p>
    <w:p>
      <w:pPr>
        <w:spacing w:after="0" w:line="158" w:lineRule="exact"/>
        <w:rPr>
          <w:sz w:val="20"/>
          <w:szCs w:val="20"/>
          <w:color w:val="auto"/>
        </w:rPr>
      </w:pPr>
    </w:p>
    <w:p>
      <w:pPr>
        <w:jc w:val="both"/>
        <w:ind w:left="220"/>
        <w:spacing w:after="0" w:line="237" w:lineRule="auto"/>
        <w:rPr>
          <w:sz w:val="20"/>
          <w:szCs w:val="20"/>
          <w:color w:val="auto"/>
        </w:rPr>
      </w:pPr>
      <w:r>
        <w:rPr>
          <w:rFonts w:ascii="Calibri" w:cs="Calibri" w:eastAsia="Calibri" w:hAnsi="Calibri"/>
          <w:sz w:val="16"/>
          <w:szCs w:val="16"/>
          <w:color w:val="auto"/>
        </w:rPr>
        <w:t>The Company is exposed to currency risk to the extent that monetary operatonal expenses are denominated in both CAD and USD while functonal currency of CAD in used for reportng. The Company has not entered into any foreign currency contracts to mitgate this risk.</w:t>
      </w:r>
    </w:p>
    <w:p>
      <w:pPr>
        <w:spacing w:after="0" w:line="158" w:lineRule="exact"/>
        <w:rPr>
          <w:sz w:val="20"/>
          <w:szCs w:val="20"/>
          <w:color w:val="auto"/>
        </w:rPr>
      </w:pPr>
    </w:p>
    <w:p>
      <w:pPr>
        <w:ind w:left="220"/>
        <w:spacing w:after="0"/>
        <w:rPr>
          <w:sz w:val="20"/>
          <w:szCs w:val="20"/>
          <w:color w:val="auto"/>
        </w:rPr>
      </w:pPr>
      <w:r>
        <w:rPr>
          <w:rFonts w:ascii="Calibri" w:cs="Calibri" w:eastAsia="Calibri" w:hAnsi="Calibri"/>
          <w:sz w:val="16"/>
          <w:szCs w:val="16"/>
          <w:color w:val="auto"/>
        </w:rPr>
        <w:t>At December 31, 2022, the Company had the following balances in monetary assets and monetary liabilites which are subject to fuctuaton against CAD:</w:t>
      </w:r>
    </w:p>
    <w:p>
      <w:pPr>
        <w:spacing w:after="0" w:line="205"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5200" w:type="dxa"/>
            <w:vAlign w:val="bottom"/>
          </w:tcPr>
          <w:p>
            <w:pPr>
              <w:ind w:left="4080"/>
              <w:spacing w:after="0"/>
              <w:rPr>
                <w:sz w:val="20"/>
                <w:szCs w:val="20"/>
                <w:color w:val="auto"/>
              </w:rPr>
            </w:pPr>
            <w:r>
              <w:rPr>
                <w:rFonts w:ascii="Calibri" w:cs="Calibri" w:eastAsia="Calibri" w:hAnsi="Calibri"/>
                <w:sz w:val="16"/>
                <w:szCs w:val="16"/>
                <w:b w:val="1"/>
                <w:bCs w:val="1"/>
                <w:color w:val="auto"/>
                <w:w w:val="98"/>
              </w:rPr>
              <w:t>Denominated in:</w:t>
            </w:r>
          </w:p>
        </w:tc>
        <w:tc>
          <w:tcPr>
            <w:tcW w:w="6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b w:val="1"/>
                <w:bCs w:val="1"/>
                <w:color w:val="auto"/>
              </w:rPr>
              <w:t>US$000’s</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b w:val="1"/>
                <w:bCs w:val="1"/>
                <w:color w:val="auto"/>
              </w:rPr>
              <w:t>GBP 000’s</w:t>
            </w:r>
          </w:p>
        </w:tc>
        <w:tc>
          <w:tcPr>
            <w:tcW w:w="5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b w:val="1"/>
                <w:bCs w:val="1"/>
                <w:color w:val="auto"/>
              </w:rPr>
              <w:t>EUR 000’s</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5200" w:type="dxa"/>
            <w:vAlign w:val="bottom"/>
          </w:tcPr>
          <w:p>
            <w:pPr>
              <w:ind w:left="20"/>
              <w:spacing w:after="0" w:line="185" w:lineRule="exact"/>
              <w:rPr>
                <w:sz w:val="20"/>
                <w:szCs w:val="20"/>
                <w:color w:val="auto"/>
              </w:rPr>
            </w:pPr>
            <w:r>
              <w:rPr>
                <w:rFonts w:ascii="Calibri" w:cs="Calibri" w:eastAsia="Calibri" w:hAnsi="Calibri"/>
                <w:sz w:val="16"/>
                <w:szCs w:val="16"/>
                <w:color w:val="auto"/>
              </w:rPr>
              <w:t>Cash</w:t>
            </w:r>
          </w:p>
        </w:tc>
        <w:tc>
          <w:tcPr>
            <w:tcW w:w="600" w:type="dxa"/>
            <w:vAlign w:val="bottom"/>
          </w:tcPr>
          <w:p>
            <w:pPr>
              <w:spacing w:after="0"/>
              <w:rPr>
                <w:sz w:val="16"/>
                <w:szCs w:val="16"/>
                <w:color w:val="auto"/>
              </w:rPr>
            </w:pPr>
          </w:p>
        </w:tc>
        <w:tc>
          <w:tcPr>
            <w:tcW w:w="1160" w:type="dxa"/>
            <w:vAlign w:val="bottom"/>
          </w:tcPr>
          <w:p>
            <w:pPr>
              <w:jc w:val="right"/>
              <w:spacing w:after="0" w:line="185" w:lineRule="exact"/>
              <w:rPr>
                <w:sz w:val="20"/>
                <w:szCs w:val="20"/>
                <w:color w:val="auto"/>
              </w:rPr>
            </w:pPr>
            <w:r>
              <w:rPr>
                <w:rFonts w:ascii="Calibri" w:cs="Calibri" w:eastAsia="Calibri" w:hAnsi="Calibri"/>
                <w:sz w:val="16"/>
                <w:szCs w:val="16"/>
                <w:color w:val="auto"/>
              </w:rPr>
              <w:t>580</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color w:val="auto"/>
              </w:rPr>
              <w:t>930</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color w:val="auto"/>
              </w:rPr>
              <w:t>867</w:t>
            </w:r>
          </w:p>
        </w:tc>
      </w:tr>
      <w:tr>
        <w:trPr>
          <w:trHeight w:val="198"/>
        </w:trPr>
        <w:tc>
          <w:tcPr>
            <w:tcW w:w="5200" w:type="dxa"/>
            <w:vAlign w:val="bottom"/>
          </w:tcPr>
          <w:p>
            <w:pPr>
              <w:ind w:left="20"/>
              <w:spacing w:after="0"/>
              <w:rPr>
                <w:sz w:val="20"/>
                <w:szCs w:val="20"/>
                <w:color w:val="auto"/>
              </w:rPr>
            </w:pPr>
            <w:r>
              <w:rPr>
                <w:rFonts w:ascii="Calibri" w:cs="Calibri" w:eastAsia="Calibri" w:hAnsi="Calibri"/>
                <w:sz w:val="16"/>
                <w:szCs w:val="16"/>
                <w:color w:val="auto"/>
              </w:rPr>
              <w:t>Accounts payable and accrued liabilites</w:t>
            </w: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(159)</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(129)</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(239)</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5"/>
        </w:trPr>
        <w:tc>
          <w:tcPr>
            <w:tcW w:w="5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6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421</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801</w:t>
            </w:r>
          </w:p>
        </w:tc>
        <w:tc>
          <w:tcPr>
            <w:tcW w:w="580" w:type="dxa"/>
            <w:vAlign w:val="bottom"/>
          </w:tcPr>
          <w:p>
            <w:pPr>
              <w:spacing w:after="0"/>
              <w:rPr>
                <w:sz w:val="16"/>
                <w:szCs w:val="16"/>
                <w:color w:val="auto"/>
              </w:rPr>
            </w:pPr>
          </w:p>
        </w:tc>
        <w:tc>
          <w:tcPr>
            <w:tcW w:w="11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628</w:t>
            </w:r>
          </w:p>
        </w:tc>
      </w:tr>
      <w:tr>
        <w:trPr>
          <w:trHeight w:val="198"/>
        </w:trPr>
        <w:tc>
          <w:tcPr>
            <w:tcW w:w="5200" w:type="dxa"/>
            <w:vAlign w:val="bottom"/>
          </w:tcPr>
          <w:p>
            <w:pPr>
              <w:ind w:left="20"/>
              <w:spacing w:after="0"/>
              <w:rPr>
                <w:sz w:val="20"/>
                <w:szCs w:val="20"/>
                <w:color w:val="auto"/>
              </w:rPr>
            </w:pPr>
            <w:r>
              <w:rPr>
                <w:rFonts w:ascii="Calibri" w:cs="Calibri" w:eastAsia="Calibri" w:hAnsi="Calibri"/>
                <w:sz w:val="16"/>
                <w:szCs w:val="16"/>
                <w:color w:val="auto"/>
              </w:rPr>
              <w:t>Foreign currency rate</w:t>
            </w:r>
          </w:p>
        </w:tc>
        <w:tc>
          <w:tcPr>
            <w:tcW w:w="6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alibri" w:cs="Calibri" w:eastAsia="Calibri" w:hAnsi="Calibri"/>
                <w:sz w:val="16"/>
                <w:szCs w:val="16"/>
                <w:color w:val="auto"/>
              </w:rPr>
              <w:t>1.3544</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1.6322</w:t>
            </w:r>
          </w:p>
        </w:tc>
        <w:tc>
          <w:tcPr>
            <w:tcW w:w="5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Calibri" w:cs="Calibri" w:eastAsia="Calibri" w:hAnsi="Calibri"/>
                <w:sz w:val="16"/>
                <w:szCs w:val="16"/>
                <w:color w:val="auto"/>
              </w:rPr>
              <w:t>1.4458</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520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Equivalent in Canadian dollars</w:t>
            </w:r>
          </w:p>
        </w:tc>
        <w:tc>
          <w:tcPr>
            <w:tcW w:w="600" w:type="dxa"/>
            <w:vAlign w:val="bottom"/>
            <w:tcBorders>
              <w:bottom w:val="single" w:sz="8" w:color="auto"/>
            </w:tcBorders>
          </w:tcPr>
          <w:p>
            <w:pPr>
              <w:jc w:val="right"/>
              <w:ind w:right="419"/>
              <w:spacing w:after="0" w:line="192" w:lineRule="exact"/>
              <w:rPr>
                <w:sz w:val="20"/>
                <w:szCs w:val="20"/>
                <w:color w:val="auto"/>
              </w:rPr>
            </w:pPr>
            <w:r>
              <w:rPr>
                <w:rFonts w:ascii="Calibri" w:cs="Calibri" w:eastAsia="Calibri" w:hAnsi="Calibri"/>
                <w:sz w:val="16"/>
                <w:szCs w:val="16"/>
                <w:b w:val="1"/>
                <w:bCs w:val="1"/>
                <w:color w:val="auto"/>
                <w:w w:val="97"/>
              </w:rPr>
              <w:t>$</w:t>
            </w:r>
          </w:p>
        </w:tc>
        <w:tc>
          <w:tcPr>
            <w:tcW w:w="116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570</w:t>
            </w:r>
          </w:p>
        </w:tc>
        <w:tc>
          <w:tcPr>
            <w:tcW w:w="580" w:type="dxa"/>
            <w:vAlign w:val="bottom"/>
            <w:tcBorders>
              <w:bottom w:val="single" w:sz="8" w:color="auto"/>
            </w:tcBorders>
          </w:tcPr>
          <w:p>
            <w:pPr>
              <w:jc w:val="right"/>
              <w:ind w:right="399"/>
              <w:spacing w:after="0" w:line="192"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1,307</w:t>
            </w:r>
          </w:p>
        </w:tc>
        <w:tc>
          <w:tcPr>
            <w:tcW w:w="580" w:type="dxa"/>
            <w:vAlign w:val="bottom"/>
            <w:tcBorders>
              <w:bottom w:val="single" w:sz="8" w:color="auto"/>
            </w:tcBorders>
          </w:tcPr>
          <w:p>
            <w:pPr>
              <w:jc w:val="right"/>
              <w:ind w:right="399"/>
              <w:spacing w:after="0" w:line="192"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908</w:t>
            </w:r>
          </w:p>
        </w:tc>
      </w:tr>
      <w:tr>
        <w:trPr>
          <w:trHeight w:val="198"/>
        </w:trPr>
        <w:tc>
          <w:tcPr>
            <w:tcW w:w="5200" w:type="dxa"/>
            <w:vAlign w:val="bottom"/>
            <w:tcBorders>
              <w:bottom w:val="single" w:sz="8" w:color="auto"/>
            </w:tcBorders>
          </w:tcPr>
          <w:p>
            <w:pPr>
              <w:ind w:left="20"/>
              <w:spacing w:after="0" w:line="193" w:lineRule="exact"/>
              <w:rPr>
                <w:sz w:val="20"/>
                <w:szCs w:val="20"/>
                <w:color w:val="auto"/>
              </w:rPr>
            </w:pPr>
            <w:r>
              <w:rPr>
                <w:rFonts w:ascii="Calibri" w:cs="Calibri" w:eastAsia="Calibri" w:hAnsi="Calibri"/>
                <w:sz w:val="16"/>
                <w:szCs w:val="16"/>
                <w:b w:val="1"/>
                <w:bCs w:val="1"/>
                <w:color w:val="auto"/>
              </w:rPr>
              <w:t>Impact of 10% change in foreign currency rate</w:t>
            </w:r>
          </w:p>
        </w:tc>
        <w:tc>
          <w:tcPr>
            <w:tcW w:w="600" w:type="dxa"/>
            <w:vAlign w:val="bottom"/>
            <w:tcBorders>
              <w:bottom w:val="single" w:sz="8" w:color="auto"/>
            </w:tcBorders>
          </w:tcPr>
          <w:p>
            <w:pPr>
              <w:jc w:val="right"/>
              <w:ind w:right="419"/>
              <w:spacing w:after="0" w:line="193" w:lineRule="exact"/>
              <w:rPr>
                <w:sz w:val="20"/>
                <w:szCs w:val="20"/>
                <w:color w:val="auto"/>
              </w:rPr>
            </w:pPr>
            <w:r>
              <w:rPr>
                <w:rFonts w:ascii="Calibri" w:cs="Calibri" w:eastAsia="Calibri" w:hAnsi="Calibri"/>
                <w:sz w:val="16"/>
                <w:szCs w:val="16"/>
                <w:b w:val="1"/>
                <w:bCs w:val="1"/>
                <w:color w:val="auto"/>
                <w:w w:val="97"/>
              </w:rPr>
              <w:t>$</w:t>
            </w:r>
          </w:p>
        </w:tc>
        <w:tc>
          <w:tcPr>
            <w:tcW w:w="116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57</w:t>
            </w:r>
          </w:p>
        </w:tc>
        <w:tc>
          <w:tcPr>
            <w:tcW w:w="580" w:type="dxa"/>
            <w:vAlign w:val="bottom"/>
            <w:tcBorders>
              <w:bottom w:val="single" w:sz="8" w:color="auto"/>
            </w:tcBorders>
          </w:tcPr>
          <w:p>
            <w:pPr>
              <w:jc w:val="right"/>
              <w:ind w:right="399"/>
              <w:spacing w:after="0" w:line="193"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131</w:t>
            </w:r>
          </w:p>
        </w:tc>
        <w:tc>
          <w:tcPr>
            <w:tcW w:w="580" w:type="dxa"/>
            <w:vAlign w:val="bottom"/>
            <w:tcBorders>
              <w:bottom w:val="single" w:sz="8" w:color="auto"/>
            </w:tcBorders>
          </w:tcPr>
          <w:p>
            <w:pPr>
              <w:jc w:val="right"/>
              <w:ind w:right="399"/>
              <w:spacing w:after="0" w:line="193" w:lineRule="exact"/>
              <w:rPr>
                <w:sz w:val="20"/>
                <w:szCs w:val="20"/>
                <w:color w:val="auto"/>
              </w:rPr>
            </w:pPr>
            <w:r>
              <w:rPr>
                <w:rFonts w:ascii="Calibri" w:cs="Calibri" w:eastAsia="Calibri" w:hAnsi="Calibri"/>
                <w:sz w:val="16"/>
                <w:szCs w:val="16"/>
                <w:b w:val="1"/>
                <w:bCs w:val="1"/>
                <w:color w:val="auto"/>
                <w:w w:val="97"/>
              </w:rPr>
              <w:t>$</w:t>
            </w:r>
          </w:p>
        </w:tc>
        <w:tc>
          <w:tcPr>
            <w:tcW w:w="1180" w:type="dxa"/>
            <w:vAlign w:val="bottom"/>
            <w:tcBorders>
              <w:bottom w:val="single" w:sz="8" w:color="auto"/>
            </w:tcBorders>
          </w:tcPr>
          <w:p>
            <w:pPr>
              <w:jc w:val="right"/>
              <w:spacing w:after="0" w:line="193" w:lineRule="exact"/>
              <w:rPr>
                <w:sz w:val="20"/>
                <w:szCs w:val="20"/>
                <w:color w:val="auto"/>
              </w:rPr>
            </w:pPr>
            <w:r>
              <w:rPr>
                <w:rFonts w:ascii="Calibri" w:cs="Calibri" w:eastAsia="Calibri" w:hAnsi="Calibri"/>
                <w:sz w:val="16"/>
                <w:szCs w:val="16"/>
                <w:b w:val="1"/>
                <w:bCs w:val="1"/>
                <w:color w:val="auto"/>
              </w:rPr>
              <w:t>91</w:t>
            </w:r>
          </w:p>
        </w:tc>
      </w:tr>
    </w:tbl>
    <w:p>
      <w:pPr>
        <w:spacing w:after="0" w:line="223" w:lineRule="exact"/>
        <w:rPr>
          <w:sz w:val="20"/>
          <w:szCs w:val="20"/>
          <w:color w:val="auto"/>
        </w:rPr>
      </w:pPr>
    </w:p>
    <w:p>
      <w:pPr>
        <w:ind w:left="220" w:right="20"/>
        <w:spacing w:after="0" w:line="237" w:lineRule="auto"/>
        <w:rPr>
          <w:sz w:val="20"/>
          <w:szCs w:val="20"/>
          <w:color w:val="auto"/>
        </w:rPr>
      </w:pPr>
      <w:r>
        <w:rPr>
          <w:rFonts w:ascii="Calibri" w:cs="Calibri" w:eastAsia="Calibri" w:hAnsi="Calibri"/>
          <w:sz w:val="16"/>
          <w:szCs w:val="16"/>
          <w:color w:val="auto"/>
        </w:rPr>
        <w:t>Based on the above net exposures as at December 31, 2022, and assuming that all other variables remain constant, a 10% change of the USD, GBP and EUR, against the CAD would impact net loss by approximately by $279.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60"/>
        <w:spacing w:after="0"/>
        <w:rPr>
          <w:sz w:val="20"/>
          <w:szCs w:val="20"/>
          <w:color w:val="auto"/>
        </w:rPr>
      </w:pPr>
      <w:r>
        <w:rPr>
          <w:rFonts w:ascii="Calibri" w:cs="Calibri" w:eastAsia="Calibri" w:hAnsi="Calibri"/>
          <w:sz w:val="16"/>
          <w:szCs w:val="16"/>
          <w:b w:val="1"/>
          <w:bCs w:val="1"/>
          <w:color w:val="auto"/>
        </w:rPr>
        <w:t>Page 23 of 25</w:t>
      </w:r>
    </w:p>
    <w:p>
      <w:pPr>
        <w:sectPr>
          <w:pgSz w:w="11900" w:h="16838" w:orient="portrait"/>
          <w:cols w:equalWidth="0" w:num="1">
            <w:col w:w="11200"/>
          </w:cols>
          <w:pgMar w:left="380" w:top="162" w:right="319" w:bottom="1440" w:gutter="0" w:footer="0" w:header="0"/>
        </w:sectPr>
      </w:pPr>
    </w:p>
    <w:bookmarkStart w:id="26" w:name="page27"/>
    <w:bookmarkEnd w:id="26"/>
    <w:p>
      <w:pPr>
        <w:ind w:left="60"/>
        <w:spacing w:after="0"/>
        <w:rPr>
          <w:sz w:val="20"/>
          <w:szCs w:val="20"/>
          <w:color w:val="auto"/>
        </w:rPr>
      </w:pPr>
      <w:r>
        <w:rPr>
          <w:rFonts w:ascii="Calibri" w:cs="Calibri" w:eastAsia="Calibri" w:hAnsi="Calibri"/>
          <w:sz w:val="19"/>
          <w:szCs w:val="19"/>
          <w:b w:val="1"/>
          <w:bCs w:val="1"/>
          <w:color w:val="auto"/>
        </w:rPr>
        <w:t>CYBIN INC.</w:t>
      </w:r>
    </w:p>
    <w:p>
      <w:pPr>
        <w:ind w:left="60"/>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0"/>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0"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0"/>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714629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40" w:type="dxa"/>
            <w:vAlign w:val="bottom"/>
            <w:gridSpan w:val="2"/>
          </w:tcPr>
          <w:p>
            <w:pPr>
              <w:spacing w:after="0"/>
              <w:rPr>
                <w:sz w:val="20"/>
                <w:szCs w:val="20"/>
                <w:color w:val="auto"/>
              </w:rPr>
            </w:pPr>
            <w:r>
              <w:rPr>
                <w:rFonts w:ascii="Calibri" w:cs="Calibri" w:eastAsia="Calibri" w:hAnsi="Calibri"/>
                <w:sz w:val="16"/>
                <w:szCs w:val="16"/>
                <w:b w:val="1"/>
                <w:bCs w:val="1"/>
                <w:color w:val="2D5F91"/>
              </w:rPr>
              <w:t>15.  INCOME TAX</w:t>
            </w:r>
          </w:p>
        </w:tc>
        <w:tc>
          <w:tcPr>
            <w:tcW w:w="2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64"/>
        </w:trPr>
        <w:tc>
          <w:tcPr>
            <w:tcW w:w="9820" w:type="dxa"/>
            <w:vAlign w:val="bottom"/>
            <w:gridSpan w:val="5"/>
          </w:tcPr>
          <w:p>
            <w:pPr>
              <w:ind w:left="280"/>
              <w:spacing w:after="0"/>
              <w:rPr>
                <w:sz w:val="20"/>
                <w:szCs w:val="20"/>
                <w:color w:val="auto"/>
              </w:rPr>
            </w:pPr>
            <w:r>
              <w:rPr>
                <w:rFonts w:ascii="Calibri" w:cs="Calibri" w:eastAsia="Calibri" w:hAnsi="Calibri"/>
                <w:sz w:val="16"/>
                <w:szCs w:val="16"/>
                <w:color w:val="auto"/>
              </w:rPr>
              <w:t>Major items causing the Company’s income tax rate to difer from the Canadian statutory rate of approximately 26.50% are as follows:</w:t>
            </w:r>
          </w:p>
        </w:tc>
        <w:tc>
          <w:tcPr>
            <w:tcW w:w="1000" w:type="dxa"/>
            <w:vAlign w:val="bottom"/>
          </w:tcPr>
          <w:p>
            <w:pPr>
              <w:spacing w:after="0"/>
              <w:rPr>
                <w:sz w:val="24"/>
                <w:szCs w:val="24"/>
                <w:color w:val="auto"/>
              </w:rPr>
            </w:pPr>
          </w:p>
        </w:tc>
      </w:tr>
      <w:tr>
        <w:trPr>
          <w:trHeight w:val="388"/>
        </w:trPr>
        <w:tc>
          <w:tcPr>
            <w:tcW w:w="28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640" w:type="dxa"/>
            <w:vAlign w:val="bottom"/>
            <w:gridSpan w:val="2"/>
          </w:tcPr>
          <w:p>
            <w:pPr>
              <w:jc w:val="right"/>
              <w:ind w:right="139"/>
              <w:spacing w:after="0"/>
              <w:rPr>
                <w:sz w:val="20"/>
                <w:szCs w:val="20"/>
                <w:color w:val="auto"/>
              </w:rPr>
            </w:pPr>
            <w:r>
              <w:rPr>
                <w:rFonts w:ascii="Calibri" w:cs="Calibri" w:eastAsia="Calibri" w:hAnsi="Calibri"/>
                <w:sz w:val="16"/>
                <w:szCs w:val="16"/>
                <w:b w:val="1"/>
                <w:bCs w:val="1"/>
                <w:color w:val="auto"/>
              </w:rPr>
              <w:t>Three-months ended December 31,</w:t>
            </w:r>
          </w:p>
        </w:tc>
        <w:tc>
          <w:tcPr>
            <w:tcW w:w="2540" w:type="dxa"/>
            <w:vAlign w:val="bottom"/>
            <w:gridSpan w:val="2"/>
          </w:tcPr>
          <w:p>
            <w:pPr>
              <w:jc w:val="right"/>
              <w:spacing w:after="0"/>
              <w:rPr>
                <w:sz w:val="20"/>
                <w:szCs w:val="20"/>
                <w:color w:val="auto"/>
              </w:rPr>
            </w:pPr>
            <w:r>
              <w:rPr>
                <w:rFonts w:ascii="Calibri" w:cs="Calibri" w:eastAsia="Calibri" w:hAnsi="Calibri"/>
                <w:sz w:val="16"/>
                <w:szCs w:val="16"/>
                <w:b w:val="1"/>
                <w:bCs w:val="1"/>
                <w:color w:val="auto"/>
              </w:rPr>
              <w:t>Nine-months ended December 31,</w:t>
            </w:r>
          </w:p>
        </w:tc>
      </w:tr>
      <w:tr>
        <w:trPr>
          <w:trHeight w:val="206"/>
        </w:trPr>
        <w:tc>
          <w:tcPr>
            <w:tcW w:w="28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24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2022</w:t>
            </w:r>
          </w:p>
        </w:tc>
        <w:tc>
          <w:tcPr>
            <w:tcW w:w="1160" w:type="dxa"/>
            <w:vAlign w:val="bottom"/>
          </w:tcPr>
          <w:p>
            <w:pPr>
              <w:jc w:val="right"/>
              <w:ind w:right="139"/>
              <w:spacing w:after="0"/>
              <w:rPr>
                <w:sz w:val="20"/>
                <w:szCs w:val="20"/>
                <w:color w:val="auto"/>
              </w:rPr>
            </w:pPr>
            <w:r>
              <w:rPr>
                <w:rFonts w:ascii="Calibri" w:cs="Calibri" w:eastAsia="Calibri" w:hAnsi="Calibri"/>
                <w:sz w:val="16"/>
                <w:szCs w:val="16"/>
                <w:b w:val="1"/>
                <w:bCs w:val="1"/>
                <w:color w:val="auto"/>
              </w:rPr>
              <w:t>2021</w:t>
            </w:r>
          </w:p>
        </w:tc>
        <w:tc>
          <w:tcPr>
            <w:tcW w:w="15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2022</w:t>
            </w:r>
          </w:p>
        </w:tc>
        <w:tc>
          <w:tcPr>
            <w:tcW w:w="1000" w:type="dxa"/>
            <w:vAlign w:val="bottom"/>
          </w:tcPr>
          <w:p>
            <w:pPr>
              <w:jc w:val="right"/>
              <w:spacing w:after="0"/>
              <w:rPr>
                <w:sz w:val="20"/>
                <w:szCs w:val="20"/>
                <w:color w:val="auto"/>
              </w:rPr>
            </w:pPr>
            <w:r>
              <w:rPr>
                <w:rFonts w:ascii="Calibri" w:cs="Calibri" w:eastAsia="Calibri" w:hAnsi="Calibri"/>
                <w:sz w:val="16"/>
                <w:szCs w:val="16"/>
                <w:b w:val="1"/>
                <w:bCs w:val="1"/>
                <w:color w:val="auto"/>
              </w:rPr>
              <w:t>2021</w:t>
            </w:r>
          </w:p>
        </w:tc>
      </w:tr>
      <w:tr>
        <w:trPr>
          <w:trHeight w:val="21"/>
        </w:trPr>
        <w:tc>
          <w:tcPr>
            <w:tcW w:w="28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43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color w:val="auto"/>
              </w:rPr>
              <w:t>Net loss before income taxes</w:t>
            </w:r>
          </w:p>
        </w:tc>
        <w:tc>
          <w:tcPr>
            <w:tcW w:w="248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(10,742)</w:t>
            </w:r>
          </w:p>
        </w:tc>
        <w:tc>
          <w:tcPr>
            <w:tcW w:w="1160" w:type="dxa"/>
            <w:vAlign w:val="bottom"/>
            <w:tcBorders>
              <w:bottom w:val="single" w:sz="8" w:color="auto"/>
            </w:tcBorders>
          </w:tcPr>
          <w:p>
            <w:pPr>
              <w:jc w:val="right"/>
              <w:ind w:right="139"/>
              <w:spacing w:after="0" w:line="192" w:lineRule="exact"/>
              <w:rPr>
                <w:sz w:val="20"/>
                <w:szCs w:val="20"/>
                <w:color w:val="auto"/>
              </w:rPr>
            </w:pPr>
            <w:r>
              <w:rPr>
                <w:rFonts w:ascii="Calibri" w:cs="Calibri" w:eastAsia="Calibri" w:hAnsi="Calibri"/>
                <w:sz w:val="16"/>
                <w:szCs w:val="16"/>
                <w:color w:val="auto"/>
              </w:rPr>
              <w:t>(17,210)</w:t>
            </w:r>
          </w:p>
        </w:tc>
        <w:tc>
          <w:tcPr>
            <w:tcW w:w="154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(33,770)</w:t>
            </w:r>
          </w:p>
        </w:tc>
        <w:tc>
          <w:tcPr>
            <w:tcW w:w="10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(49,534)</w:t>
            </w:r>
          </w:p>
        </w:tc>
      </w:tr>
      <w:tr>
        <w:trPr>
          <w:trHeight w:val="366"/>
        </w:trPr>
        <w:tc>
          <w:tcPr>
            <w:tcW w:w="280" w:type="dxa"/>
            <w:vAlign w:val="bottom"/>
          </w:tcPr>
          <w:p>
            <w:pPr>
              <w:spacing w:after="0"/>
              <w:rPr>
                <w:sz w:val="24"/>
                <w:szCs w:val="24"/>
                <w:color w:val="auto"/>
              </w:rPr>
            </w:pPr>
          </w:p>
        </w:tc>
        <w:tc>
          <w:tcPr>
            <w:tcW w:w="4360" w:type="dxa"/>
            <w:vAlign w:val="bottom"/>
          </w:tcPr>
          <w:p>
            <w:pPr>
              <w:ind w:left="20"/>
              <w:spacing w:after="0"/>
              <w:rPr>
                <w:sz w:val="20"/>
                <w:szCs w:val="20"/>
                <w:color w:val="auto"/>
              </w:rPr>
            </w:pPr>
            <w:r>
              <w:rPr>
                <w:rFonts w:ascii="Calibri" w:cs="Calibri" w:eastAsia="Calibri" w:hAnsi="Calibri"/>
                <w:sz w:val="16"/>
                <w:szCs w:val="16"/>
                <w:color w:val="auto"/>
              </w:rPr>
              <w:t>Expected recovery at statutory rate</w:t>
            </w:r>
          </w:p>
        </w:tc>
        <w:tc>
          <w:tcPr>
            <w:tcW w:w="24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(2,847)</w:t>
            </w:r>
          </w:p>
        </w:tc>
        <w:tc>
          <w:tcPr>
            <w:tcW w:w="1160" w:type="dxa"/>
            <w:vAlign w:val="bottom"/>
          </w:tcPr>
          <w:p>
            <w:pPr>
              <w:jc w:val="right"/>
              <w:ind w:right="139"/>
              <w:spacing w:after="0"/>
              <w:rPr>
                <w:sz w:val="20"/>
                <w:szCs w:val="20"/>
                <w:color w:val="auto"/>
              </w:rPr>
            </w:pPr>
            <w:r>
              <w:rPr>
                <w:rFonts w:ascii="Calibri" w:cs="Calibri" w:eastAsia="Calibri" w:hAnsi="Calibri"/>
                <w:sz w:val="16"/>
                <w:szCs w:val="16"/>
                <w:color w:val="auto"/>
              </w:rPr>
              <w:t>(4,666)</w:t>
            </w:r>
          </w:p>
        </w:tc>
        <w:tc>
          <w:tcPr>
            <w:tcW w:w="15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(8,949)</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(8,566)</w:t>
            </w:r>
          </w:p>
        </w:tc>
      </w:tr>
      <w:tr>
        <w:trPr>
          <w:trHeight w:val="206"/>
        </w:trPr>
        <w:tc>
          <w:tcPr>
            <w:tcW w:w="280" w:type="dxa"/>
            <w:vAlign w:val="bottom"/>
          </w:tcPr>
          <w:p>
            <w:pPr>
              <w:spacing w:after="0"/>
              <w:rPr>
                <w:sz w:val="17"/>
                <w:szCs w:val="17"/>
                <w:color w:val="auto"/>
              </w:rPr>
            </w:pPr>
          </w:p>
        </w:tc>
        <w:tc>
          <w:tcPr>
            <w:tcW w:w="4360" w:type="dxa"/>
            <w:vAlign w:val="bottom"/>
          </w:tcPr>
          <w:p>
            <w:pPr>
              <w:ind w:left="20"/>
              <w:spacing w:after="0"/>
              <w:rPr>
                <w:sz w:val="20"/>
                <w:szCs w:val="20"/>
                <w:color w:val="auto"/>
              </w:rPr>
            </w:pPr>
            <w:r>
              <w:rPr>
                <w:rFonts w:ascii="Calibri" w:cs="Calibri" w:eastAsia="Calibri" w:hAnsi="Calibri"/>
                <w:sz w:val="16"/>
                <w:szCs w:val="16"/>
                <w:color w:val="auto"/>
              </w:rPr>
              <w:t>Diference between Canadian and foreign tax rates</w:t>
            </w:r>
          </w:p>
        </w:tc>
        <w:tc>
          <w:tcPr>
            <w:tcW w:w="24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1,510</w:t>
            </w:r>
          </w:p>
        </w:tc>
        <w:tc>
          <w:tcPr>
            <w:tcW w:w="1160" w:type="dxa"/>
            <w:vAlign w:val="bottom"/>
          </w:tcPr>
          <w:p>
            <w:pPr>
              <w:jc w:val="right"/>
              <w:ind w:right="139"/>
              <w:spacing w:after="0"/>
              <w:rPr>
                <w:sz w:val="20"/>
                <w:szCs w:val="20"/>
                <w:color w:val="auto"/>
              </w:rPr>
            </w:pPr>
            <w:r>
              <w:rPr>
                <w:rFonts w:ascii="Calibri" w:cs="Calibri" w:eastAsia="Calibri" w:hAnsi="Calibri"/>
                <w:sz w:val="16"/>
                <w:szCs w:val="16"/>
                <w:color w:val="auto"/>
              </w:rPr>
              <w:t>537</w:t>
            </w:r>
          </w:p>
        </w:tc>
        <w:tc>
          <w:tcPr>
            <w:tcW w:w="15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2,805</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653</w:t>
            </w:r>
          </w:p>
        </w:tc>
      </w:tr>
      <w:tr>
        <w:trPr>
          <w:trHeight w:val="206"/>
        </w:trPr>
        <w:tc>
          <w:tcPr>
            <w:tcW w:w="280" w:type="dxa"/>
            <w:vAlign w:val="bottom"/>
          </w:tcPr>
          <w:p>
            <w:pPr>
              <w:spacing w:after="0"/>
              <w:rPr>
                <w:sz w:val="17"/>
                <w:szCs w:val="17"/>
                <w:color w:val="auto"/>
              </w:rPr>
            </w:pPr>
          </w:p>
        </w:tc>
        <w:tc>
          <w:tcPr>
            <w:tcW w:w="4360" w:type="dxa"/>
            <w:vAlign w:val="bottom"/>
          </w:tcPr>
          <w:p>
            <w:pPr>
              <w:ind w:left="20"/>
              <w:spacing w:after="0"/>
              <w:rPr>
                <w:sz w:val="20"/>
                <w:szCs w:val="20"/>
                <w:color w:val="auto"/>
              </w:rPr>
            </w:pPr>
            <w:r>
              <w:rPr>
                <w:rFonts w:ascii="Calibri" w:cs="Calibri" w:eastAsia="Calibri" w:hAnsi="Calibri"/>
                <w:sz w:val="16"/>
                <w:szCs w:val="16"/>
                <w:color w:val="auto"/>
              </w:rPr>
              <w:t>Non-deductble expenses</w:t>
            </w:r>
          </w:p>
        </w:tc>
        <w:tc>
          <w:tcPr>
            <w:tcW w:w="24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10</w:t>
            </w:r>
          </w:p>
        </w:tc>
        <w:tc>
          <w:tcPr>
            <w:tcW w:w="1160" w:type="dxa"/>
            <w:vAlign w:val="bottom"/>
          </w:tcPr>
          <w:p>
            <w:pPr>
              <w:jc w:val="right"/>
              <w:ind w:right="139"/>
              <w:spacing w:after="0"/>
              <w:rPr>
                <w:sz w:val="20"/>
                <w:szCs w:val="20"/>
                <w:color w:val="auto"/>
              </w:rPr>
            </w:pPr>
            <w:r>
              <w:rPr>
                <w:rFonts w:ascii="Calibri" w:cs="Calibri" w:eastAsia="Calibri" w:hAnsi="Calibri"/>
                <w:sz w:val="16"/>
                <w:szCs w:val="16"/>
                <w:color w:val="auto"/>
              </w:rPr>
              <w:t>1,675</w:t>
            </w:r>
          </w:p>
        </w:tc>
        <w:tc>
          <w:tcPr>
            <w:tcW w:w="15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861</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3,206</w:t>
            </w:r>
          </w:p>
        </w:tc>
      </w:tr>
      <w:tr>
        <w:trPr>
          <w:trHeight w:val="206"/>
        </w:trPr>
        <w:tc>
          <w:tcPr>
            <w:tcW w:w="280" w:type="dxa"/>
            <w:vAlign w:val="bottom"/>
          </w:tcPr>
          <w:p>
            <w:pPr>
              <w:spacing w:after="0"/>
              <w:rPr>
                <w:sz w:val="17"/>
                <w:szCs w:val="17"/>
                <w:color w:val="auto"/>
              </w:rPr>
            </w:pPr>
          </w:p>
        </w:tc>
        <w:tc>
          <w:tcPr>
            <w:tcW w:w="4360" w:type="dxa"/>
            <w:vAlign w:val="bottom"/>
          </w:tcPr>
          <w:p>
            <w:pPr>
              <w:ind w:left="20"/>
              <w:spacing w:after="0"/>
              <w:rPr>
                <w:sz w:val="20"/>
                <w:szCs w:val="20"/>
                <w:color w:val="auto"/>
              </w:rPr>
            </w:pPr>
            <w:r>
              <w:rPr>
                <w:rFonts w:ascii="Calibri" w:cs="Calibri" w:eastAsia="Calibri" w:hAnsi="Calibri"/>
                <w:sz w:val="16"/>
                <w:szCs w:val="16"/>
                <w:color w:val="auto"/>
              </w:rPr>
              <w:t>Change in unrecognized deferred tax assets</w:t>
            </w:r>
          </w:p>
        </w:tc>
        <w:tc>
          <w:tcPr>
            <w:tcW w:w="248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1,327</w:t>
            </w:r>
          </w:p>
        </w:tc>
        <w:tc>
          <w:tcPr>
            <w:tcW w:w="1160" w:type="dxa"/>
            <w:vAlign w:val="bottom"/>
          </w:tcPr>
          <w:p>
            <w:pPr>
              <w:jc w:val="right"/>
              <w:ind w:right="139"/>
              <w:spacing w:after="0"/>
              <w:rPr>
                <w:sz w:val="20"/>
                <w:szCs w:val="20"/>
                <w:color w:val="auto"/>
              </w:rPr>
            </w:pPr>
            <w:r>
              <w:rPr>
                <w:rFonts w:ascii="Calibri" w:cs="Calibri" w:eastAsia="Calibri" w:hAnsi="Calibri"/>
                <w:sz w:val="16"/>
                <w:szCs w:val="16"/>
                <w:color w:val="auto"/>
              </w:rPr>
              <w:t>2,454</w:t>
            </w:r>
          </w:p>
        </w:tc>
        <w:tc>
          <w:tcPr>
            <w:tcW w:w="1540" w:type="dxa"/>
            <w:vAlign w:val="bottom"/>
          </w:tcPr>
          <w:p>
            <w:pPr>
              <w:jc w:val="right"/>
              <w:ind w:right="339"/>
              <w:spacing w:after="0"/>
              <w:rPr>
                <w:sz w:val="20"/>
                <w:szCs w:val="20"/>
                <w:color w:val="auto"/>
              </w:rPr>
            </w:pPr>
            <w:r>
              <w:rPr>
                <w:rFonts w:ascii="Calibri" w:cs="Calibri" w:eastAsia="Calibri" w:hAnsi="Calibri"/>
                <w:sz w:val="16"/>
                <w:szCs w:val="16"/>
                <w:b w:val="1"/>
                <w:bCs w:val="1"/>
                <w:color w:val="auto"/>
              </w:rPr>
              <w:t>5,283</w:t>
            </w:r>
          </w:p>
        </w:tc>
        <w:tc>
          <w:tcPr>
            <w:tcW w:w="1000" w:type="dxa"/>
            <w:vAlign w:val="bottom"/>
          </w:tcPr>
          <w:p>
            <w:pPr>
              <w:jc w:val="right"/>
              <w:spacing w:after="0"/>
              <w:rPr>
                <w:sz w:val="20"/>
                <w:szCs w:val="20"/>
                <w:color w:val="auto"/>
              </w:rPr>
            </w:pPr>
            <w:r>
              <w:rPr>
                <w:rFonts w:ascii="Calibri" w:cs="Calibri" w:eastAsia="Calibri" w:hAnsi="Calibri"/>
                <w:sz w:val="16"/>
                <w:szCs w:val="16"/>
                <w:color w:val="auto"/>
              </w:rPr>
              <w:t>4,707</w:t>
            </w:r>
          </w:p>
        </w:tc>
      </w:tr>
      <w:tr>
        <w:trPr>
          <w:trHeight w:val="21"/>
        </w:trPr>
        <w:tc>
          <w:tcPr>
            <w:tcW w:w="280" w:type="dxa"/>
            <w:vAlign w:val="bottom"/>
          </w:tcPr>
          <w:p>
            <w:pPr>
              <w:spacing w:after="0" w:line="20" w:lineRule="exact"/>
              <w:rPr>
                <w:sz w:val="1"/>
                <w:szCs w:val="1"/>
                <w:color w:val="auto"/>
              </w:rPr>
            </w:pPr>
          </w:p>
        </w:tc>
        <w:tc>
          <w:tcPr>
            <w:tcW w:w="43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2"/>
        </w:trPr>
        <w:tc>
          <w:tcPr>
            <w:tcW w:w="280" w:type="dxa"/>
            <w:vAlign w:val="bottom"/>
          </w:tcPr>
          <w:p>
            <w:pPr>
              <w:spacing w:after="0"/>
              <w:rPr>
                <w:sz w:val="16"/>
                <w:szCs w:val="16"/>
                <w:color w:val="auto"/>
              </w:rPr>
            </w:pPr>
          </w:p>
        </w:tc>
        <w:tc>
          <w:tcPr>
            <w:tcW w:w="4360" w:type="dxa"/>
            <w:vAlign w:val="bottom"/>
            <w:tcBorders>
              <w:bottom w:val="single" w:sz="8" w:color="auto"/>
            </w:tcBorders>
          </w:tcPr>
          <w:p>
            <w:pPr>
              <w:ind w:left="20"/>
              <w:spacing w:after="0" w:line="192" w:lineRule="exact"/>
              <w:rPr>
                <w:sz w:val="20"/>
                <w:szCs w:val="20"/>
                <w:color w:val="auto"/>
              </w:rPr>
            </w:pPr>
            <w:r>
              <w:rPr>
                <w:rFonts w:ascii="Calibri" w:cs="Calibri" w:eastAsia="Calibri" w:hAnsi="Calibri"/>
                <w:sz w:val="16"/>
                <w:szCs w:val="16"/>
                <w:b w:val="1"/>
                <w:bCs w:val="1"/>
                <w:color w:val="auto"/>
              </w:rPr>
              <w:t>Income tax recovery</w:t>
            </w:r>
          </w:p>
        </w:tc>
        <w:tc>
          <w:tcPr>
            <w:tcW w:w="248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w:t>
            </w:r>
          </w:p>
        </w:tc>
        <w:tc>
          <w:tcPr>
            <w:tcW w:w="1160" w:type="dxa"/>
            <w:vAlign w:val="bottom"/>
            <w:tcBorders>
              <w:bottom w:val="single" w:sz="8" w:color="auto"/>
            </w:tcBorders>
          </w:tcPr>
          <w:p>
            <w:pPr>
              <w:jc w:val="right"/>
              <w:ind w:right="139"/>
              <w:spacing w:after="0" w:line="192" w:lineRule="exact"/>
              <w:rPr>
                <w:sz w:val="20"/>
                <w:szCs w:val="20"/>
                <w:color w:val="auto"/>
              </w:rPr>
            </w:pPr>
            <w:r>
              <w:rPr>
                <w:rFonts w:ascii="Calibri" w:cs="Calibri" w:eastAsia="Calibri" w:hAnsi="Calibri"/>
                <w:sz w:val="16"/>
                <w:szCs w:val="16"/>
                <w:color w:val="auto"/>
              </w:rPr>
              <w:t>—</w:t>
            </w:r>
          </w:p>
        </w:tc>
        <w:tc>
          <w:tcPr>
            <w:tcW w:w="1540" w:type="dxa"/>
            <w:vAlign w:val="bottom"/>
            <w:tcBorders>
              <w:bottom w:val="single" w:sz="8" w:color="auto"/>
            </w:tcBorders>
          </w:tcPr>
          <w:p>
            <w:pPr>
              <w:jc w:val="right"/>
              <w:ind w:right="339"/>
              <w:spacing w:after="0" w:line="192" w:lineRule="exact"/>
              <w:rPr>
                <w:sz w:val="20"/>
                <w:szCs w:val="20"/>
                <w:color w:val="auto"/>
              </w:rPr>
            </w:pPr>
            <w:r>
              <w:rPr>
                <w:rFonts w:ascii="Calibri" w:cs="Calibri" w:eastAsia="Calibri" w:hAnsi="Calibri"/>
                <w:sz w:val="16"/>
                <w:szCs w:val="16"/>
                <w:b w:val="1"/>
                <w:bCs w:val="1"/>
                <w:color w:val="auto"/>
              </w:rPr>
              <w:t>—</w:t>
            </w:r>
          </w:p>
        </w:tc>
        <w:tc>
          <w:tcPr>
            <w:tcW w:w="10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23" w:lineRule="exact"/>
        <w:rPr>
          <w:sz w:val="20"/>
          <w:szCs w:val="20"/>
          <w:color w:val="auto"/>
        </w:rPr>
      </w:pPr>
    </w:p>
    <w:p>
      <w:pPr>
        <w:ind w:left="280" w:right="20"/>
        <w:spacing w:after="0" w:line="237" w:lineRule="auto"/>
        <w:rPr>
          <w:sz w:val="20"/>
          <w:szCs w:val="20"/>
          <w:color w:val="auto"/>
        </w:rPr>
      </w:pPr>
      <w:r>
        <w:rPr>
          <w:rFonts w:ascii="Calibri" w:cs="Calibri" w:eastAsia="Calibri" w:hAnsi="Calibri"/>
          <w:sz w:val="16"/>
          <w:szCs w:val="16"/>
          <w:color w:val="auto"/>
        </w:rPr>
        <w:t>The signifcant components of the Company’s deferred tax assets, resultng from temporary diferences, unused tax credits and unused tax losses, that have not been included on the consolidated statements of fnancial positon, are as follows:</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4680" w:type="dxa"/>
            <w:vAlign w:val="bottom"/>
          </w:tcPr>
          <w:p>
            <w:pPr>
              <w:ind w:left="20"/>
              <w:spacing w:after="0"/>
              <w:rPr>
                <w:sz w:val="20"/>
                <w:szCs w:val="20"/>
                <w:color w:val="auto"/>
              </w:rPr>
            </w:pPr>
            <w:r>
              <w:rPr>
                <w:rFonts w:ascii="Calibri" w:cs="Calibri" w:eastAsia="Calibri" w:hAnsi="Calibri"/>
                <w:sz w:val="16"/>
                <w:szCs w:val="16"/>
                <w:b w:val="1"/>
                <w:bCs w:val="1"/>
                <w:color w:val="auto"/>
              </w:rPr>
              <w:t>As at</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December 31, 2022</w:t>
            </w:r>
          </w:p>
        </w:tc>
        <w:tc>
          <w:tcPr>
            <w:tcW w:w="1500" w:type="dxa"/>
            <w:vAlign w:val="bottom"/>
          </w:tcPr>
          <w:p>
            <w:pPr>
              <w:jc w:val="right"/>
              <w:spacing w:after="0"/>
              <w:rPr>
                <w:sz w:val="20"/>
                <w:szCs w:val="20"/>
                <w:color w:val="auto"/>
              </w:rPr>
            </w:pPr>
            <w:r>
              <w:rPr>
                <w:rFonts w:ascii="Calibri" w:cs="Calibri" w:eastAsia="Calibri" w:hAnsi="Calibri"/>
                <w:sz w:val="16"/>
                <w:szCs w:val="16"/>
                <w:b w:val="1"/>
                <w:bCs w:val="1"/>
                <w:color w:val="auto"/>
              </w:rPr>
              <w:t>March 31, 2022</w:t>
            </w: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5"/>
        </w:trPr>
        <w:tc>
          <w:tcPr>
            <w:tcW w:w="4680" w:type="dxa"/>
            <w:vAlign w:val="bottom"/>
          </w:tcPr>
          <w:p>
            <w:pPr>
              <w:ind w:left="20"/>
              <w:spacing w:after="0" w:line="185" w:lineRule="exact"/>
              <w:rPr>
                <w:sz w:val="20"/>
                <w:szCs w:val="20"/>
                <w:color w:val="auto"/>
              </w:rPr>
            </w:pPr>
            <w:r>
              <w:rPr>
                <w:rFonts w:ascii="Calibri" w:cs="Calibri" w:eastAsia="Calibri" w:hAnsi="Calibri"/>
                <w:sz w:val="16"/>
                <w:szCs w:val="16"/>
                <w:color w:val="auto"/>
              </w:rPr>
              <w:t>Non-capital loss carryforwards</w:t>
            </w:r>
          </w:p>
        </w:tc>
        <w:tc>
          <w:tcPr>
            <w:tcW w:w="442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21,210</w:t>
            </w:r>
          </w:p>
        </w:tc>
        <w:tc>
          <w:tcPr>
            <w:tcW w:w="1500" w:type="dxa"/>
            <w:vAlign w:val="bottom"/>
          </w:tcPr>
          <w:p>
            <w:pPr>
              <w:jc w:val="right"/>
              <w:spacing w:after="0" w:line="185" w:lineRule="exact"/>
              <w:rPr>
                <w:sz w:val="20"/>
                <w:szCs w:val="20"/>
                <w:color w:val="auto"/>
              </w:rPr>
            </w:pPr>
            <w:r>
              <w:rPr>
                <w:rFonts w:ascii="Calibri" w:cs="Calibri" w:eastAsia="Calibri" w:hAnsi="Calibri"/>
                <w:sz w:val="16"/>
                <w:szCs w:val="16"/>
                <w:color w:val="auto"/>
              </w:rPr>
              <w:t>16,307</w:t>
            </w:r>
          </w:p>
        </w:tc>
      </w:tr>
      <w:tr>
        <w:trPr>
          <w:trHeight w:val="198"/>
        </w:trPr>
        <w:tc>
          <w:tcPr>
            <w:tcW w:w="4680" w:type="dxa"/>
            <w:vAlign w:val="bottom"/>
          </w:tcPr>
          <w:p>
            <w:pPr>
              <w:ind w:left="20"/>
              <w:spacing w:after="0"/>
              <w:rPr>
                <w:sz w:val="20"/>
                <w:szCs w:val="20"/>
                <w:color w:val="auto"/>
              </w:rPr>
            </w:pPr>
            <w:r>
              <w:rPr>
                <w:rFonts w:ascii="Calibri" w:cs="Calibri" w:eastAsia="Calibri" w:hAnsi="Calibri"/>
                <w:sz w:val="16"/>
                <w:szCs w:val="16"/>
                <w:color w:val="auto"/>
              </w:rPr>
              <w:t>Share issuance costs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1,379</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1,526</w:t>
            </w:r>
          </w:p>
        </w:tc>
      </w:tr>
      <w:tr>
        <w:trPr>
          <w:trHeight w:val="206"/>
        </w:trPr>
        <w:tc>
          <w:tcPr>
            <w:tcW w:w="4680" w:type="dxa"/>
            <w:vAlign w:val="bottom"/>
          </w:tcPr>
          <w:p>
            <w:pPr>
              <w:ind w:left="20"/>
              <w:spacing w:after="0"/>
              <w:rPr>
                <w:sz w:val="20"/>
                <w:szCs w:val="20"/>
                <w:color w:val="auto"/>
              </w:rPr>
            </w:pPr>
            <w:r>
              <w:rPr>
                <w:rFonts w:ascii="Calibri" w:cs="Calibri" w:eastAsia="Calibri" w:hAnsi="Calibri"/>
                <w:sz w:val="16"/>
                <w:szCs w:val="16"/>
                <w:color w:val="auto"/>
              </w:rPr>
              <w:t>Depreciaton/CCA diferences</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795</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227</w:t>
            </w:r>
          </w:p>
        </w:tc>
      </w:tr>
      <w:tr>
        <w:trPr>
          <w:trHeight w:val="206"/>
        </w:trPr>
        <w:tc>
          <w:tcPr>
            <w:tcW w:w="4680" w:type="dxa"/>
            <w:vAlign w:val="bottom"/>
          </w:tcPr>
          <w:p>
            <w:pPr>
              <w:ind w:left="20"/>
              <w:spacing w:after="0"/>
              <w:rPr>
                <w:sz w:val="20"/>
                <w:szCs w:val="20"/>
                <w:color w:val="auto"/>
              </w:rPr>
            </w:pPr>
            <w:r>
              <w:rPr>
                <w:rFonts w:ascii="Calibri" w:cs="Calibri" w:eastAsia="Calibri" w:hAnsi="Calibri"/>
                <w:sz w:val="16"/>
                <w:szCs w:val="16"/>
                <w:color w:val="auto"/>
              </w:rPr>
              <w:t>Other</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43</w:t>
            </w: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85"/>
        </w:trPr>
        <w:tc>
          <w:tcPr>
            <w:tcW w:w="4680" w:type="dxa"/>
            <w:vAlign w:val="bottom"/>
          </w:tcPr>
          <w:p>
            <w:pPr>
              <w:spacing w:after="0"/>
              <w:rPr>
                <w:sz w:val="16"/>
                <w:szCs w:val="16"/>
                <w:color w:val="auto"/>
              </w:rPr>
            </w:pPr>
          </w:p>
        </w:tc>
        <w:tc>
          <w:tcPr>
            <w:tcW w:w="4420" w:type="dxa"/>
            <w:vAlign w:val="bottom"/>
          </w:tcPr>
          <w:p>
            <w:pPr>
              <w:jc w:val="right"/>
              <w:ind w:right="359"/>
              <w:spacing w:after="0" w:line="185" w:lineRule="exact"/>
              <w:rPr>
                <w:sz w:val="20"/>
                <w:szCs w:val="20"/>
                <w:color w:val="auto"/>
              </w:rPr>
            </w:pPr>
            <w:r>
              <w:rPr>
                <w:rFonts w:ascii="Calibri" w:cs="Calibri" w:eastAsia="Calibri" w:hAnsi="Calibri"/>
                <w:sz w:val="16"/>
                <w:szCs w:val="16"/>
                <w:b w:val="1"/>
                <w:bCs w:val="1"/>
                <w:color w:val="auto"/>
              </w:rPr>
              <w:t>23,386</w:t>
            </w:r>
          </w:p>
        </w:tc>
        <w:tc>
          <w:tcPr>
            <w:tcW w:w="1500" w:type="dxa"/>
            <w:vAlign w:val="bottom"/>
          </w:tcPr>
          <w:p>
            <w:pPr>
              <w:jc w:val="right"/>
              <w:spacing w:after="0" w:line="185" w:lineRule="exact"/>
              <w:rPr>
                <w:sz w:val="20"/>
                <w:szCs w:val="20"/>
                <w:color w:val="auto"/>
              </w:rPr>
            </w:pPr>
            <w:r>
              <w:rPr>
                <w:rFonts w:ascii="Calibri" w:cs="Calibri" w:eastAsia="Calibri" w:hAnsi="Calibri"/>
                <w:sz w:val="16"/>
                <w:szCs w:val="16"/>
                <w:color w:val="auto"/>
              </w:rPr>
              <w:t>18,103</w:t>
            </w:r>
          </w:p>
        </w:tc>
      </w:tr>
      <w:tr>
        <w:trPr>
          <w:trHeight w:val="198"/>
        </w:trPr>
        <w:tc>
          <w:tcPr>
            <w:tcW w:w="4680" w:type="dxa"/>
            <w:vAlign w:val="bottom"/>
          </w:tcPr>
          <w:p>
            <w:pPr>
              <w:ind w:left="20"/>
              <w:spacing w:after="0"/>
              <w:rPr>
                <w:sz w:val="20"/>
                <w:szCs w:val="20"/>
                <w:color w:val="auto"/>
              </w:rPr>
            </w:pPr>
            <w:r>
              <w:rPr>
                <w:rFonts w:ascii="Calibri" w:cs="Calibri" w:eastAsia="Calibri" w:hAnsi="Calibri"/>
                <w:sz w:val="16"/>
                <w:szCs w:val="16"/>
                <w:color w:val="auto"/>
              </w:rPr>
              <w:t>Valuaton allowance</w:t>
            </w:r>
          </w:p>
        </w:tc>
        <w:tc>
          <w:tcPr>
            <w:tcW w:w="4420" w:type="dxa"/>
            <w:vAlign w:val="bottom"/>
          </w:tcPr>
          <w:p>
            <w:pPr>
              <w:jc w:val="right"/>
              <w:ind w:right="359"/>
              <w:spacing w:after="0"/>
              <w:rPr>
                <w:sz w:val="20"/>
                <w:szCs w:val="20"/>
                <w:color w:val="auto"/>
              </w:rPr>
            </w:pPr>
            <w:r>
              <w:rPr>
                <w:rFonts w:ascii="Calibri" w:cs="Calibri" w:eastAsia="Calibri" w:hAnsi="Calibri"/>
                <w:sz w:val="16"/>
                <w:szCs w:val="16"/>
                <w:b w:val="1"/>
                <w:bCs w:val="1"/>
                <w:color w:val="auto"/>
              </w:rPr>
              <w:t>(23,386)</w:t>
            </w:r>
          </w:p>
        </w:tc>
        <w:tc>
          <w:tcPr>
            <w:tcW w:w="1500" w:type="dxa"/>
            <w:vAlign w:val="bottom"/>
          </w:tcPr>
          <w:p>
            <w:pPr>
              <w:jc w:val="right"/>
              <w:spacing w:after="0"/>
              <w:rPr>
                <w:sz w:val="20"/>
                <w:szCs w:val="20"/>
                <w:color w:val="auto"/>
              </w:rPr>
            </w:pPr>
            <w:r>
              <w:rPr>
                <w:rFonts w:ascii="Calibri" w:cs="Calibri" w:eastAsia="Calibri" w:hAnsi="Calibri"/>
                <w:sz w:val="16"/>
                <w:szCs w:val="16"/>
                <w:color w:val="auto"/>
              </w:rPr>
              <w:t>(18,103)</w:t>
            </w: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4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92"/>
        </w:trPr>
        <w:tc>
          <w:tcPr>
            <w:tcW w:w="4680" w:type="dxa"/>
            <w:vAlign w:val="bottom"/>
            <w:tcBorders>
              <w:bottom w:val="single" w:sz="8" w:color="auto"/>
            </w:tcBorders>
          </w:tcPr>
          <w:p>
            <w:pPr>
              <w:spacing w:after="0"/>
              <w:rPr>
                <w:sz w:val="16"/>
                <w:szCs w:val="16"/>
                <w:color w:val="auto"/>
              </w:rPr>
            </w:pPr>
          </w:p>
        </w:tc>
        <w:tc>
          <w:tcPr>
            <w:tcW w:w="4420" w:type="dxa"/>
            <w:vAlign w:val="bottom"/>
            <w:tcBorders>
              <w:bottom w:val="single" w:sz="8" w:color="auto"/>
            </w:tcBorders>
          </w:tcPr>
          <w:p>
            <w:pPr>
              <w:jc w:val="right"/>
              <w:ind w:right="359"/>
              <w:spacing w:after="0" w:line="192" w:lineRule="exact"/>
              <w:rPr>
                <w:sz w:val="20"/>
                <w:szCs w:val="20"/>
                <w:color w:val="auto"/>
              </w:rPr>
            </w:pPr>
            <w:r>
              <w:rPr>
                <w:rFonts w:ascii="Calibri" w:cs="Calibri" w:eastAsia="Calibri" w:hAnsi="Calibri"/>
                <w:sz w:val="16"/>
                <w:szCs w:val="16"/>
                <w:b w:val="1"/>
                <w:bCs w:val="1"/>
                <w:color w:val="auto"/>
              </w:rPr>
              <w:t>—</w:t>
            </w:r>
          </w:p>
        </w:tc>
        <w:tc>
          <w:tcPr>
            <w:tcW w:w="150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color w:val="auto"/>
              </w:rPr>
              <w:t>—</w:t>
            </w:r>
          </w:p>
        </w:tc>
      </w:tr>
    </w:tbl>
    <w:p>
      <w:pPr>
        <w:spacing w:after="0" w:line="223" w:lineRule="exact"/>
        <w:rPr>
          <w:sz w:val="20"/>
          <w:szCs w:val="20"/>
          <w:color w:val="auto"/>
        </w:rPr>
      </w:pPr>
    </w:p>
    <w:p>
      <w:pPr>
        <w:ind w:left="280" w:right="20"/>
        <w:spacing w:after="0" w:line="237" w:lineRule="auto"/>
        <w:rPr>
          <w:sz w:val="20"/>
          <w:szCs w:val="20"/>
          <w:color w:val="auto"/>
        </w:rPr>
      </w:pPr>
      <w:r>
        <w:rPr>
          <w:rFonts w:ascii="Calibri" w:cs="Calibri" w:eastAsia="Calibri" w:hAnsi="Calibri"/>
          <w:sz w:val="16"/>
          <w:szCs w:val="16"/>
          <w:color w:val="auto"/>
        </w:rPr>
        <w:t>These deferred tax assets have not been recognized because it is not probable that future taxable proft will be available against which the Company will be able to use these potental benefts.</w:t>
      </w:r>
    </w:p>
    <w:p>
      <w:pPr>
        <w:spacing w:after="0" w:line="170" w:lineRule="exact"/>
        <w:rPr>
          <w:sz w:val="20"/>
          <w:szCs w:val="20"/>
          <w:color w:val="auto"/>
        </w:rPr>
      </w:pPr>
    </w:p>
    <w:p>
      <w:pPr>
        <w:ind w:left="280"/>
        <w:spacing w:after="0"/>
        <w:rPr>
          <w:sz w:val="20"/>
          <w:szCs w:val="20"/>
          <w:color w:val="auto"/>
        </w:rPr>
      </w:pPr>
      <w:r>
        <w:rPr>
          <w:rFonts w:ascii="Calibri" w:cs="Calibri" w:eastAsia="Calibri" w:hAnsi="Calibri"/>
          <w:sz w:val="16"/>
          <w:szCs w:val="16"/>
          <w:b w:val="1"/>
          <w:bCs w:val="1"/>
          <w:color w:val="auto"/>
        </w:rPr>
        <w:t>Non-capital loss balance</w:t>
      </w:r>
    </w:p>
    <w:p>
      <w:pPr>
        <w:spacing w:after="0" w:line="158" w:lineRule="exact"/>
        <w:rPr>
          <w:sz w:val="20"/>
          <w:szCs w:val="20"/>
          <w:color w:val="auto"/>
        </w:rPr>
      </w:pPr>
    </w:p>
    <w:p>
      <w:pPr>
        <w:ind w:left="280"/>
        <w:spacing w:after="0" w:line="237" w:lineRule="auto"/>
        <w:rPr>
          <w:sz w:val="20"/>
          <w:szCs w:val="20"/>
          <w:color w:val="auto"/>
        </w:rPr>
      </w:pPr>
      <w:r>
        <w:rPr>
          <w:rFonts w:ascii="Calibri" w:cs="Calibri" w:eastAsia="Calibri" w:hAnsi="Calibri"/>
          <w:sz w:val="16"/>
          <w:szCs w:val="16"/>
          <w:color w:val="auto"/>
        </w:rPr>
        <w:t>As at December 31, 2022, the Company has non-capital losses in Canada, which under certain circumstances can be used to reduce the taxable income of future years. The non-capital losses expire as follows:</w:t>
      </w:r>
    </w:p>
    <w:p>
      <w:pPr>
        <w:spacing w:after="0" w:line="194"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5460" w:type="dxa"/>
            <w:vAlign w:val="bottom"/>
          </w:tcPr>
          <w:p>
            <w:pPr>
              <w:ind w:left="20"/>
              <w:spacing w:after="0"/>
              <w:rPr>
                <w:sz w:val="20"/>
                <w:szCs w:val="20"/>
                <w:color w:val="auto"/>
              </w:rPr>
            </w:pPr>
            <w:r>
              <w:rPr>
                <w:rFonts w:ascii="Calibri" w:cs="Calibri" w:eastAsia="Calibri" w:hAnsi="Calibri"/>
                <w:sz w:val="16"/>
                <w:szCs w:val="16"/>
                <w:color w:val="auto"/>
              </w:rPr>
              <w:t>Year of expiry</w:t>
            </w:r>
          </w:p>
        </w:tc>
        <w:tc>
          <w:tcPr>
            <w:tcW w:w="508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85"/>
        </w:trPr>
        <w:tc>
          <w:tcPr>
            <w:tcW w:w="5460" w:type="dxa"/>
            <w:vAlign w:val="bottom"/>
          </w:tcPr>
          <w:p>
            <w:pPr>
              <w:ind w:left="20"/>
              <w:spacing w:after="0" w:line="185" w:lineRule="exact"/>
              <w:rPr>
                <w:sz w:val="20"/>
                <w:szCs w:val="20"/>
                <w:color w:val="auto"/>
              </w:rPr>
            </w:pPr>
            <w:r>
              <w:rPr>
                <w:rFonts w:ascii="Calibri" w:cs="Calibri" w:eastAsia="Calibri" w:hAnsi="Calibri"/>
                <w:sz w:val="16"/>
                <w:szCs w:val="16"/>
                <w:color w:val="auto"/>
              </w:rPr>
              <w:t>2040</w:t>
            </w:r>
          </w:p>
        </w:tc>
        <w:tc>
          <w:tcPr>
            <w:tcW w:w="508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740</w:t>
            </w:r>
          </w:p>
        </w:tc>
      </w:tr>
      <w:tr>
        <w:trPr>
          <w:trHeight w:val="198"/>
        </w:trPr>
        <w:tc>
          <w:tcPr>
            <w:tcW w:w="5460" w:type="dxa"/>
            <w:vAlign w:val="bottom"/>
          </w:tcPr>
          <w:p>
            <w:pPr>
              <w:ind w:left="20"/>
              <w:spacing w:after="0"/>
              <w:rPr>
                <w:sz w:val="20"/>
                <w:szCs w:val="20"/>
                <w:color w:val="auto"/>
              </w:rPr>
            </w:pPr>
            <w:r>
              <w:rPr>
                <w:rFonts w:ascii="Calibri" w:cs="Calibri" w:eastAsia="Calibri" w:hAnsi="Calibri"/>
                <w:sz w:val="16"/>
                <w:szCs w:val="16"/>
                <w:color w:val="auto"/>
              </w:rPr>
              <w:t>2041</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19,193</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2042</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30,112</w:t>
            </w:r>
          </w:p>
        </w:tc>
      </w:tr>
      <w:tr>
        <w:trPr>
          <w:trHeight w:val="206"/>
        </w:trPr>
        <w:tc>
          <w:tcPr>
            <w:tcW w:w="5460" w:type="dxa"/>
            <w:vAlign w:val="bottom"/>
          </w:tcPr>
          <w:p>
            <w:pPr>
              <w:ind w:left="20"/>
              <w:spacing w:after="0"/>
              <w:rPr>
                <w:sz w:val="20"/>
                <w:szCs w:val="20"/>
                <w:color w:val="auto"/>
              </w:rPr>
            </w:pPr>
            <w:r>
              <w:rPr>
                <w:rFonts w:ascii="Calibri" w:cs="Calibri" w:eastAsia="Calibri" w:hAnsi="Calibri"/>
                <w:sz w:val="16"/>
                <w:szCs w:val="16"/>
                <w:color w:val="auto"/>
              </w:rPr>
              <w:t>2043</w:t>
            </w:r>
          </w:p>
        </w:tc>
        <w:tc>
          <w:tcPr>
            <w:tcW w:w="5080" w:type="dxa"/>
            <w:vAlign w:val="bottom"/>
          </w:tcPr>
          <w:p>
            <w:pPr>
              <w:jc w:val="right"/>
              <w:spacing w:after="0"/>
              <w:rPr>
                <w:sz w:val="20"/>
                <w:szCs w:val="20"/>
                <w:color w:val="auto"/>
              </w:rPr>
            </w:pPr>
            <w:r>
              <w:rPr>
                <w:rFonts w:ascii="Calibri" w:cs="Calibri" w:eastAsia="Calibri" w:hAnsi="Calibri"/>
                <w:sz w:val="16"/>
                <w:szCs w:val="16"/>
                <w:b w:val="1"/>
                <w:bCs w:val="1"/>
                <w:color w:val="auto"/>
              </w:rPr>
              <w:t>6,981</w:t>
            </w:r>
          </w:p>
        </w:tc>
      </w:tr>
      <w:tr>
        <w:trPr>
          <w:trHeight w:val="21"/>
        </w:trPr>
        <w:tc>
          <w:tcPr>
            <w:tcW w:w="5460" w:type="dxa"/>
            <w:vAlign w:val="bottom"/>
            <w:tcBorders>
              <w:bottom w:val="single" w:sz="8" w:color="auto"/>
            </w:tcBorders>
          </w:tcPr>
          <w:p>
            <w:pPr>
              <w:spacing w:after="0" w:line="20" w:lineRule="exact"/>
              <w:rPr>
                <w:sz w:val="1"/>
                <w:szCs w:val="1"/>
                <w:color w:val="auto"/>
              </w:rPr>
            </w:pPr>
          </w:p>
        </w:tc>
        <w:tc>
          <w:tcPr>
            <w:tcW w:w="5080" w:type="dxa"/>
            <w:vAlign w:val="bottom"/>
            <w:tcBorders>
              <w:bottom w:val="single" w:sz="8" w:color="auto"/>
            </w:tcBorders>
          </w:tcPr>
          <w:p>
            <w:pPr>
              <w:spacing w:after="0" w:line="20" w:lineRule="exact"/>
              <w:rPr>
                <w:sz w:val="1"/>
                <w:szCs w:val="1"/>
                <w:color w:val="auto"/>
              </w:rPr>
            </w:pPr>
          </w:p>
        </w:tc>
      </w:tr>
      <w:tr>
        <w:trPr>
          <w:trHeight w:val="192"/>
        </w:trPr>
        <w:tc>
          <w:tcPr>
            <w:tcW w:w="5460" w:type="dxa"/>
            <w:vAlign w:val="bottom"/>
            <w:tcBorders>
              <w:bottom w:val="single" w:sz="8" w:color="auto"/>
            </w:tcBorders>
          </w:tcPr>
          <w:p>
            <w:pPr>
              <w:spacing w:after="0"/>
              <w:rPr>
                <w:sz w:val="16"/>
                <w:szCs w:val="16"/>
                <w:color w:val="auto"/>
              </w:rPr>
            </w:pPr>
          </w:p>
        </w:tc>
        <w:tc>
          <w:tcPr>
            <w:tcW w:w="508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57,026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Calibri" w:cs="Calibri" w:eastAsia="Calibri" w:hAnsi="Calibri"/>
          <w:sz w:val="16"/>
          <w:szCs w:val="16"/>
          <w:b w:val="1"/>
          <w:bCs w:val="1"/>
          <w:color w:val="auto"/>
        </w:rPr>
        <w:t>Page 24 of 25</w:t>
      </w:r>
    </w:p>
    <w:p>
      <w:pPr>
        <w:sectPr>
          <w:pgSz w:w="11900" w:h="16838" w:orient="portrait"/>
          <w:cols w:equalWidth="0" w:num="1">
            <w:col w:w="11260"/>
          </w:cols>
          <w:pgMar w:left="320" w:top="162" w:right="319" w:bottom="1440" w:gutter="0" w:footer="0" w:header="0"/>
        </w:sectPr>
      </w:pPr>
    </w:p>
    <w:bookmarkStart w:id="27" w:name="page28"/>
    <w:bookmarkEnd w:id="27"/>
    <w:p>
      <w:pPr>
        <w:ind w:left="63"/>
        <w:spacing w:after="0"/>
        <w:rPr>
          <w:sz w:val="20"/>
          <w:szCs w:val="20"/>
          <w:color w:val="auto"/>
        </w:rPr>
      </w:pPr>
      <w:r>
        <w:rPr>
          <w:rFonts w:ascii="Calibri" w:cs="Calibri" w:eastAsia="Calibri" w:hAnsi="Calibri"/>
          <w:sz w:val="19"/>
          <w:szCs w:val="19"/>
          <w:b w:val="1"/>
          <w:bCs w:val="1"/>
          <w:color w:val="auto"/>
        </w:rPr>
        <w:t>CYBIN INC.</w:t>
      </w:r>
    </w:p>
    <w:p>
      <w:pPr>
        <w:ind w:left="63"/>
        <w:spacing w:after="0" w:line="238" w:lineRule="auto"/>
        <w:rPr>
          <w:sz w:val="20"/>
          <w:szCs w:val="20"/>
          <w:color w:val="auto"/>
        </w:rPr>
      </w:pPr>
      <w:r>
        <w:rPr>
          <w:rFonts w:ascii="Calibri" w:cs="Calibri" w:eastAsia="Calibri" w:hAnsi="Calibri"/>
          <w:sz w:val="19"/>
          <w:szCs w:val="19"/>
          <w:b w:val="1"/>
          <w:bCs w:val="1"/>
          <w:color w:val="auto"/>
        </w:rPr>
        <w:t>NOTES TO THE CONSOLIDATED FINANCIAL STATEMENTS</w:t>
      </w:r>
    </w:p>
    <w:p>
      <w:pPr>
        <w:ind w:left="63"/>
        <w:spacing w:after="0" w:line="238" w:lineRule="auto"/>
        <w:rPr>
          <w:sz w:val="20"/>
          <w:szCs w:val="20"/>
          <w:color w:val="auto"/>
        </w:rPr>
      </w:pPr>
      <w:r>
        <w:rPr>
          <w:rFonts w:ascii="Calibri" w:cs="Calibri" w:eastAsia="Calibri" w:hAnsi="Calibri"/>
          <w:sz w:val="19"/>
          <w:szCs w:val="19"/>
          <w:b w:val="1"/>
          <w:bCs w:val="1"/>
          <w:color w:val="auto"/>
        </w:rPr>
        <w:t>For the three and nine months ended December 31, 2022 and December 31, 2021</w:t>
      </w:r>
    </w:p>
    <w:p>
      <w:pPr>
        <w:spacing w:after="0" w:line="16" w:lineRule="exact"/>
        <w:rPr>
          <w:sz w:val="20"/>
          <w:szCs w:val="20"/>
          <w:color w:val="auto"/>
        </w:rPr>
      </w:pPr>
    </w:p>
    <w:p>
      <w:pPr>
        <w:ind w:left="63" w:right="140"/>
        <w:spacing w:after="0" w:line="228" w:lineRule="auto"/>
        <w:rPr>
          <w:sz w:val="20"/>
          <w:szCs w:val="20"/>
          <w:color w:val="auto"/>
        </w:rPr>
      </w:pPr>
      <w:r>
        <w:rPr>
          <w:rFonts w:ascii="Calibri" w:cs="Calibri" w:eastAsia="Calibri" w:hAnsi="Calibri"/>
          <w:sz w:val="18"/>
          <w:szCs w:val="18"/>
          <w:b w:val="1"/>
          <w:bCs w:val="1"/>
          <w:color w:val="auto"/>
        </w:rPr>
        <w:t>(All amounts expressed in thousands of Canadian dollars, except share and per share amounts, and those amounts indicated as being in US dollars, which are in thousands of US dollars)</w:t>
      </w:r>
    </w:p>
    <w:p>
      <w:pPr>
        <w:spacing w:after="0" w:line="7" w:lineRule="exact"/>
        <w:rPr>
          <w:sz w:val="20"/>
          <w:szCs w:val="20"/>
          <w:color w:val="auto"/>
        </w:rPr>
      </w:pPr>
    </w:p>
    <w:p>
      <w:pPr>
        <w:ind w:left="63"/>
        <w:spacing w:after="0"/>
        <w:rPr>
          <w:sz w:val="20"/>
          <w:szCs w:val="20"/>
          <w:color w:val="auto"/>
        </w:rPr>
      </w:pPr>
      <w:r>
        <w:rPr>
          <w:rFonts w:ascii="Calibri" w:cs="Calibri" w:eastAsia="Calibri" w:hAnsi="Calibri"/>
          <w:sz w:val="16"/>
          <w:szCs w:val="16"/>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629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629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283" w:right="20"/>
        <w:spacing w:after="0" w:line="237" w:lineRule="auto"/>
        <w:rPr>
          <w:sz w:val="20"/>
          <w:szCs w:val="20"/>
          <w:color w:val="auto"/>
        </w:rPr>
      </w:pPr>
      <w:r>
        <w:rPr>
          <w:rFonts w:ascii="Calibri" w:cs="Calibri" w:eastAsia="Calibri" w:hAnsi="Calibri"/>
          <w:sz w:val="16"/>
          <w:szCs w:val="16"/>
          <w:color w:val="auto"/>
        </w:rPr>
        <w:t>As at December 31, 2022, the Company has non-capital losses in the United States, which under certain circumstances can be used to reduce the taxable income of future years. The non-capital losses, stated in Canadian dollars, that will expire as follows:</w:t>
      </w:r>
    </w:p>
    <w:p>
      <w:pPr>
        <w:spacing w:after="0" w:line="206" w:lineRule="exact"/>
        <w:rPr>
          <w:sz w:val="20"/>
          <w:szCs w:val="20"/>
          <w:color w:val="auto"/>
        </w:rPr>
      </w:pPr>
    </w:p>
    <w:tbl>
      <w:tblPr>
        <w:tblLayout w:type="fixed"/>
        <w:tblInd w:w="283" w:type="dxa"/>
        <w:tblCellMar>
          <w:top w:w="0" w:type="dxa"/>
          <w:left w:w="0" w:type="dxa"/>
          <w:bottom w:w="0" w:type="dxa"/>
          <w:right w:w="0" w:type="dxa"/>
        </w:tblCellMar>
      </w:tblPr>
      <w:tr>
        <w:trPr>
          <w:trHeight w:val="195"/>
        </w:trPr>
        <w:tc>
          <w:tcPr>
            <w:tcW w:w="7580" w:type="dxa"/>
            <w:vAlign w:val="bottom"/>
            <w:gridSpan w:val="2"/>
          </w:tcPr>
          <w:p>
            <w:pPr>
              <w:ind w:left="20"/>
              <w:spacing w:after="0"/>
              <w:rPr>
                <w:sz w:val="20"/>
                <w:szCs w:val="20"/>
                <w:color w:val="auto"/>
              </w:rPr>
            </w:pPr>
            <w:r>
              <w:rPr>
                <w:rFonts w:ascii="Calibri" w:cs="Calibri" w:eastAsia="Calibri" w:hAnsi="Calibri"/>
                <w:sz w:val="16"/>
                <w:szCs w:val="16"/>
                <w:color w:val="auto"/>
              </w:rPr>
              <w:t>Year of expiry</w:t>
            </w:r>
          </w:p>
        </w:tc>
        <w:tc>
          <w:tcPr>
            <w:tcW w:w="294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185"/>
        </w:trPr>
        <w:tc>
          <w:tcPr>
            <w:tcW w:w="360" w:type="dxa"/>
            <w:vAlign w:val="bottom"/>
          </w:tcPr>
          <w:p>
            <w:pPr>
              <w:ind w:left="20"/>
              <w:spacing w:after="0" w:line="185" w:lineRule="exact"/>
              <w:rPr>
                <w:sz w:val="20"/>
                <w:szCs w:val="20"/>
                <w:color w:val="auto"/>
              </w:rPr>
            </w:pPr>
            <w:r>
              <w:rPr>
                <w:rFonts w:ascii="Calibri" w:cs="Calibri" w:eastAsia="Calibri" w:hAnsi="Calibri"/>
                <w:sz w:val="16"/>
                <w:szCs w:val="16"/>
                <w:color w:val="auto"/>
                <w:w w:val="98"/>
              </w:rPr>
              <w:t>2041</w:t>
            </w:r>
          </w:p>
        </w:tc>
        <w:tc>
          <w:tcPr>
            <w:tcW w:w="7220" w:type="dxa"/>
            <w:vAlign w:val="bottom"/>
          </w:tcPr>
          <w:p>
            <w:pPr>
              <w:ind w:left="20"/>
              <w:spacing w:after="0" w:line="185" w:lineRule="exact"/>
              <w:rPr>
                <w:sz w:val="20"/>
                <w:szCs w:val="20"/>
                <w:color w:val="auto"/>
              </w:rPr>
            </w:pPr>
            <w:r>
              <w:rPr>
                <w:rFonts w:ascii="Calibri" w:cs="Calibri" w:eastAsia="Calibri" w:hAnsi="Calibri"/>
                <w:sz w:val="16"/>
                <w:szCs w:val="16"/>
                <w:color w:val="auto"/>
              </w:rPr>
              <w:t>- Pre-acquisiton loss generated up to December 4, 2020</w:t>
            </w:r>
          </w:p>
        </w:tc>
        <w:tc>
          <w:tcPr>
            <w:tcW w:w="2940" w:type="dxa"/>
            <w:vAlign w:val="bottom"/>
          </w:tcPr>
          <w:p>
            <w:pPr>
              <w:jc w:val="right"/>
              <w:spacing w:after="0" w:line="185" w:lineRule="exact"/>
              <w:rPr>
                <w:sz w:val="20"/>
                <w:szCs w:val="20"/>
                <w:color w:val="auto"/>
              </w:rPr>
            </w:pPr>
            <w:r>
              <w:rPr>
                <w:rFonts w:ascii="Calibri" w:cs="Calibri" w:eastAsia="Calibri" w:hAnsi="Calibri"/>
                <w:sz w:val="16"/>
                <w:szCs w:val="16"/>
                <w:b w:val="1"/>
                <w:bCs w:val="1"/>
                <w:color w:val="auto"/>
              </w:rPr>
              <w:t>993</w:t>
            </w:r>
          </w:p>
        </w:tc>
      </w:tr>
      <w:tr>
        <w:trPr>
          <w:trHeight w:val="198"/>
        </w:trPr>
        <w:tc>
          <w:tcPr>
            <w:tcW w:w="360" w:type="dxa"/>
            <w:vAlign w:val="bottom"/>
          </w:tcPr>
          <w:p>
            <w:pPr>
              <w:ind w:left="20"/>
              <w:spacing w:after="0"/>
              <w:rPr>
                <w:sz w:val="20"/>
                <w:szCs w:val="20"/>
                <w:color w:val="auto"/>
              </w:rPr>
            </w:pPr>
            <w:r>
              <w:rPr>
                <w:rFonts w:ascii="Calibri" w:cs="Calibri" w:eastAsia="Calibri" w:hAnsi="Calibri"/>
                <w:sz w:val="16"/>
                <w:szCs w:val="16"/>
                <w:color w:val="auto"/>
                <w:w w:val="98"/>
              </w:rPr>
              <w:t>2041</w:t>
            </w:r>
          </w:p>
        </w:tc>
        <w:tc>
          <w:tcPr>
            <w:tcW w:w="7220" w:type="dxa"/>
            <w:vAlign w:val="bottom"/>
          </w:tcPr>
          <w:p>
            <w:pPr>
              <w:ind w:left="20"/>
              <w:spacing w:after="0"/>
              <w:rPr>
                <w:sz w:val="20"/>
                <w:szCs w:val="20"/>
                <w:color w:val="auto"/>
              </w:rPr>
            </w:pPr>
            <w:r>
              <w:rPr>
                <w:rFonts w:ascii="Calibri" w:cs="Calibri" w:eastAsia="Calibri" w:hAnsi="Calibri"/>
                <w:sz w:val="16"/>
                <w:szCs w:val="16"/>
                <w:color w:val="auto"/>
              </w:rPr>
              <w:t>- Loss generated in the period from December 4, 2020 to March 31, 2022</w:t>
            </w:r>
          </w:p>
        </w:tc>
        <w:tc>
          <w:tcPr>
            <w:tcW w:w="2940" w:type="dxa"/>
            <w:vAlign w:val="bottom"/>
          </w:tcPr>
          <w:p>
            <w:pPr>
              <w:jc w:val="right"/>
              <w:spacing w:after="0"/>
              <w:rPr>
                <w:sz w:val="20"/>
                <w:szCs w:val="20"/>
                <w:color w:val="auto"/>
              </w:rPr>
            </w:pPr>
            <w:r>
              <w:rPr>
                <w:rFonts w:ascii="Calibri" w:cs="Calibri" w:eastAsia="Calibri" w:hAnsi="Calibri"/>
                <w:sz w:val="16"/>
                <w:szCs w:val="16"/>
                <w:b w:val="1"/>
                <w:bCs w:val="1"/>
                <w:color w:val="auto"/>
              </w:rPr>
              <w:t>1,324</w:t>
            </w:r>
          </w:p>
        </w:tc>
      </w:tr>
      <w:tr>
        <w:trPr>
          <w:trHeight w:val="206"/>
        </w:trPr>
        <w:tc>
          <w:tcPr>
            <w:tcW w:w="360" w:type="dxa"/>
            <w:vAlign w:val="bottom"/>
          </w:tcPr>
          <w:p>
            <w:pPr>
              <w:ind w:left="20"/>
              <w:spacing w:after="0"/>
              <w:rPr>
                <w:sz w:val="20"/>
                <w:szCs w:val="20"/>
                <w:color w:val="auto"/>
              </w:rPr>
            </w:pPr>
            <w:r>
              <w:rPr>
                <w:rFonts w:ascii="Calibri" w:cs="Calibri" w:eastAsia="Calibri" w:hAnsi="Calibri"/>
                <w:sz w:val="16"/>
                <w:szCs w:val="16"/>
                <w:color w:val="auto"/>
                <w:w w:val="98"/>
              </w:rPr>
              <w:t>2042</w:t>
            </w:r>
          </w:p>
        </w:tc>
        <w:tc>
          <w:tcPr>
            <w:tcW w:w="7220" w:type="dxa"/>
            <w:vAlign w:val="bottom"/>
          </w:tcPr>
          <w:p>
            <w:pPr>
              <w:ind w:left="20"/>
              <w:spacing w:after="0"/>
              <w:rPr>
                <w:sz w:val="20"/>
                <w:szCs w:val="20"/>
                <w:color w:val="auto"/>
              </w:rPr>
            </w:pPr>
            <w:r>
              <w:rPr>
                <w:rFonts w:ascii="Calibri" w:cs="Calibri" w:eastAsia="Calibri" w:hAnsi="Calibri"/>
                <w:sz w:val="16"/>
                <w:szCs w:val="16"/>
                <w:color w:val="auto"/>
              </w:rPr>
              <w:t>- Loss generated in the year ended March 31, 2022</w:t>
            </w:r>
          </w:p>
        </w:tc>
        <w:tc>
          <w:tcPr>
            <w:tcW w:w="2940" w:type="dxa"/>
            <w:vAlign w:val="bottom"/>
          </w:tcPr>
          <w:p>
            <w:pPr>
              <w:jc w:val="right"/>
              <w:spacing w:after="0"/>
              <w:rPr>
                <w:sz w:val="20"/>
                <w:szCs w:val="20"/>
                <w:color w:val="auto"/>
              </w:rPr>
            </w:pPr>
            <w:r>
              <w:rPr>
                <w:rFonts w:ascii="Calibri" w:cs="Calibri" w:eastAsia="Calibri" w:hAnsi="Calibri"/>
                <w:sz w:val="16"/>
                <w:szCs w:val="16"/>
                <w:b w:val="1"/>
                <w:bCs w:val="1"/>
                <w:color w:val="auto"/>
              </w:rPr>
              <w:t>5,562</w:t>
            </w:r>
          </w:p>
        </w:tc>
      </w:tr>
      <w:tr>
        <w:trPr>
          <w:trHeight w:val="206"/>
        </w:trPr>
        <w:tc>
          <w:tcPr>
            <w:tcW w:w="360" w:type="dxa"/>
            <w:vAlign w:val="bottom"/>
          </w:tcPr>
          <w:p>
            <w:pPr>
              <w:ind w:left="20"/>
              <w:spacing w:after="0"/>
              <w:rPr>
                <w:sz w:val="20"/>
                <w:szCs w:val="20"/>
                <w:color w:val="auto"/>
              </w:rPr>
            </w:pPr>
            <w:r>
              <w:rPr>
                <w:rFonts w:ascii="Calibri" w:cs="Calibri" w:eastAsia="Calibri" w:hAnsi="Calibri"/>
                <w:sz w:val="16"/>
                <w:szCs w:val="16"/>
                <w:color w:val="auto"/>
                <w:w w:val="98"/>
              </w:rPr>
              <w:t>2043</w:t>
            </w:r>
          </w:p>
        </w:tc>
        <w:tc>
          <w:tcPr>
            <w:tcW w:w="7220" w:type="dxa"/>
            <w:vAlign w:val="bottom"/>
          </w:tcPr>
          <w:p>
            <w:pPr>
              <w:ind w:left="20"/>
              <w:spacing w:after="0"/>
              <w:rPr>
                <w:sz w:val="20"/>
                <w:szCs w:val="20"/>
                <w:color w:val="auto"/>
              </w:rPr>
            </w:pPr>
            <w:r>
              <w:rPr>
                <w:rFonts w:ascii="Calibri" w:cs="Calibri" w:eastAsia="Calibri" w:hAnsi="Calibri"/>
                <w:sz w:val="16"/>
                <w:szCs w:val="16"/>
                <w:color w:val="auto"/>
              </w:rPr>
              <w:t>- Loss generated in the nine-month period ended December 31, 2022</w:t>
            </w:r>
          </w:p>
        </w:tc>
        <w:tc>
          <w:tcPr>
            <w:tcW w:w="2940" w:type="dxa"/>
            <w:vAlign w:val="bottom"/>
          </w:tcPr>
          <w:p>
            <w:pPr>
              <w:jc w:val="right"/>
              <w:spacing w:after="0"/>
              <w:rPr>
                <w:sz w:val="20"/>
                <w:szCs w:val="20"/>
                <w:color w:val="auto"/>
              </w:rPr>
            </w:pPr>
            <w:r>
              <w:rPr>
                <w:rFonts w:ascii="Calibri" w:cs="Calibri" w:eastAsia="Calibri" w:hAnsi="Calibri"/>
                <w:sz w:val="16"/>
                <w:szCs w:val="16"/>
                <w:b w:val="1"/>
                <w:bCs w:val="1"/>
                <w:color w:val="auto"/>
              </w:rPr>
              <w:t>1,484</w:t>
            </w:r>
          </w:p>
        </w:tc>
      </w:tr>
      <w:tr>
        <w:trPr>
          <w:trHeight w:val="21"/>
        </w:trPr>
        <w:tc>
          <w:tcPr>
            <w:tcW w:w="360" w:type="dxa"/>
            <w:vAlign w:val="bottom"/>
            <w:tcBorders>
              <w:bottom w:val="single" w:sz="8" w:color="auto"/>
            </w:tcBorders>
          </w:tcPr>
          <w:p>
            <w:pPr>
              <w:spacing w:after="0" w:line="20" w:lineRule="exact"/>
              <w:rPr>
                <w:sz w:val="1"/>
                <w:szCs w:val="1"/>
                <w:color w:val="auto"/>
              </w:rPr>
            </w:pPr>
          </w:p>
        </w:tc>
        <w:tc>
          <w:tcPr>
            <w:tcW w:w="7220" w:type="dxa"/>
            <w:vAlign w:val="bottom"/>
            <w:tcBorders>
              <w:bottom w:val="single" w:sz="8" w:color="auto"/>
            </w:tcBorders>
          </w:tcPr>
          <w:p>
            <w:pPr>
              <w:spacing w:after="0" w:line="20" w:lineRule="exact"/>
              <w:rPr>
                <w:sz w:val="1"/>
                <w:szCs w:val="1"/>
                <w:color w:val="auto"/>
              </w:rPr>
            </w:pPr>
          </w:p>
        </w:tc>
        <w:tc>
          <w:tcPr>
            <w:tcW w:w="2940" w:type="dxa"/>
            <w:vAlign w:val="bottom"/>
            <w:tcBorders>
              <w:bottom w:val="single" w:sz="8" w:color="auto"/>
            </w:tcBorders>
          </w:tcPr>
          <w:p>
            <w:pPr>
              <w:spacing w:after="0" w:line="20" w:lineRule="exact"/>
              <w:rPr>
                <w:sz w:val="1"/>
                <w:szCs w:val="1"/>
                <w:color w:val="auto"/>
              </w:rPr>
            </w:pPr>
          </w:p>
        </w:tc>
      </w:tr>
      <w:tr>
        <w:trPr>
          <w:trHeight w:val="192"/>
        </w:trPr>
        <w:tc>
          <w:tcPr>
            <w:tcW w:w="360" w:type="dxa"/>
            <w:vAlign w:val="bottom"/>
            <w:tcBorders>
              <w:bottom w:val="single" w:sz="8" w:color="auto"/>
            </w:tcBorders>
          </w:tcPr>
          <w:p>
            <w:pPr>
              <w:spacing w:after="0"/>
              <w:rPr>
                <w:sz w:val="16"/>
                <w:szCs w:val="16"/>
                <w:color w:val="auto"/>
              </w:rPr>
            </w:pPr>
          </w:p>
        </w:tc>
        <w:tc>
          <w:tcPr>
            <w:tcW w:w="722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9,363</w:t>
            </w:r>
          </w:p>
        </w:tc>
      </w:tr>
    </w:tbl>
    <w:p>
      <w:pPr>
        <w:spacing w:after="0" w:line="223" w:lineRule="exact"/>
        <w:rPr>
          <w:sz w:val="20"/>
          <w:szCs w:val="20"/>
          <w:color w:val="auto"/>
        </w:rPr>
      </w:pPr>
    </w:p>
    <w:p>
      <w:pPr>
        <w:jc w:val="both"/>
        <w:ind w:left="283" w:right="20"/>
        <w:spacing w:after="0" w:line="238" w:lineRule="auto"/>
        <w:rPr>
          <w:sz w:val="20"/>
          <w:szCs w:val="20"/>
          <w:color w:val="auto"/>
        </w:rPr>
      </w:pPr>
      <w:r>
        <w:rPr>
          <w:rFonts w:ascii="Calibri" w:cs="Calibri" w:eastAsia="Calibri" w:hAnsi="Calibri"/>
          <w:sz w:val="16"/>
          <w:szCs w:val="16"/>
          <w:color w:val="auto"/>
        </w:rPr>
        <w:t>Although the US federal losses carryforward indefnitely, they are subject to restrictons on their deductbility. The deductbility of the pre-acquisiton loss and the post-acquisiton loss is restricted to 80% of taxable income in the year of deducton. The pre-acquisiton loss is further restricted to an annual limitaton under Secton 382. As at December 31, 2022, the annual limitaton was $136.</w:t>
      </w:r>
    </w:p>
    <w:p>
      <w:pPr>
        <w:spacing w:after="0" w:line="157"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Massachusets allows for a 20-year carryforward period for restricted and unrestricted losses without limitaton.</w:t>
      </w:r>
    </w:p>
    <w:p>
      <w:pPr>
        <w:spacing w:after="0" w:line="158" w:lineRule="exact"/>
        <w:rPr>
          <w:sz w:val="20"/>
          <w:szCs w:val="20"/>
          <w:color w:val="auto"/>
        </w:rPr>
      </w:pPr>
    </w:p>
    <w:p>
      <w:pPr>
        <w:jc w:val="both"/>
        <w:ind w:left="283" w:right="20"/>
        <w:spacing w:after="0" w:line="237" w:lineRule="auto"/>
        <w:rPr>
          <w:sz w:val="20"/>
          <w:szCs w:val="20"/>
          <w:color w:val="auto"/>
        </w:rPr>
      </w:pPr>
      <w:r>
        <w:rPr>
          <w:rFonts w:ascii="Calibri" w:cs="Calibri" w:eastAsia="Calibri" w:hAnsi="Calibri"/>
          <w:sz w:val="16"/>
          <w:szCs w:val="16"/>
          <w:color w:val="auto"/>
        </w:rPr>
        <w:t>As at December 31, 2022, the Company has non-capital losses in Ireland, which under certain circumstances can be used to reduce the taxable income of future years. The non-capital losses, stated in Canadian dollars, expire as follows:</w:t>
      </w:r>
    </w:p>
    <w:p>
      <w:pPr>
        <w:spacing w:after="0" w:line="206" w:lineRule="exact"/>
        <w:rPr>
          <w:sz w:val="20"/>
          <w:szCs w:val="20"/>
          <w:color w:val="auto"/>
        </w:rPr>
      </w:pPr>
    </w:p>
    <w:tbl>
      <w:tblPr>
        <w:tblLayout w:type="fixed"/>
        <w:tblInd w:w="283" w:type="dxa"/>
        <w:tblCellMar>
          <w:top w:w="0" w:type="dxa"/>
          <w:left w:w="0" w:type="dxa"/>
          <w:bottom w:w="0" w:type="dxa"/>
          <w:right w:w="0" w:type="dxa"/>
        </w:tblCellMar>
      </w:tblPr>
      <w:tr>
        <w:trPr>
          <w:trHeight w:val="207"/>
        </w:trPr>
        <w:tc>
          <w:tcPr>
            <w:tcW w:w="5540" w:type="dxa"/>
            <w:vAlign w:val="bottom"/>
          </w:tcPr>
          <w:p>
            <w:pPr>
              <w:ind w:left="20"/>
              <w:spacing w:after="0"/>
              <w:rPr>
                <w:sz w:val="20"/>
                <w:szCs w:val="20"/>
                <w:color w:val="auto"/>
              </w:rPr>
            </w:pPr>
            <w:r>
              <w:rPr>
                <w:rFonts w:ascii="Calibri" w:cs="Calibri" w:eastAsia="Calibri" w:hAnsi="Calibri"/>
                <w:sz w:val="16"/>
                <w:szCs w:val="16"/>
                <w:color w:val="auto"/>
              </w:rPr>
              <w:t>Year of expiry</w:t>
            </w:r>
          </w:p>
        </w:tc>
        <w:tc>
          <w:tcPr>
            <w:tcW w:w="5120" w:type="dxa"/>
            <w:vAlign w:val="bottom"/>
          </w:tcPr>
          <w:p>
            <w:pPr>
              <w:jc w:val="right"/>
              <w:spacing w:after="0"/>
              <w:rPr>
                <w:sz w:val="20"/>
                <w:szCs w:val="20"/>
                <w:color w:val="auto"/>
              </w:rPr>
            </w:pPr>
            <w:r>
              <w:rPr>
                <w:rFonts w:ascii="Calibri" w:cs="Calibri" w:eastAsia="Calibri" w:hAnsi="Calibri"/>
                <w:sz w:val="16"/>
                <w:szCs w:val="16"/>
                <w:color w:val="auto"/>
              </w:rPr>
              <w:t>$</w:t>
            </w:r>
          </w:p>
        </w:tc>
      </w:tr>
      <w:tr>
        <w:trPr>
          <w:trHeight w:val="45"/>
        </w:trPr>
        <w:tc>
          <w:tcPr>
            <w:tcW w:w="554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r>
      <w:tr>
        <w:trPr>
          <w:trHeight w:val="190"/>
        </w:trPr>
        <w:tc>
          <w:tcPr>
            <w:tcW w:w="5540" w:type="dxa"/>
            <w:vAlign w:val="bottom"/>
          </w:tcPr>
          <w:p>
            <w:pPr>
              <w:ind w:left="20"/>
              <w:spacing w:after="0" w:line="190" w:lineRule="exact"/>
              <w:rPr>
                <w:sz w:val="20"/>
                <w:szCs w:val="20"/>
                <w:color w:val="auto"/>
              </w:rPr>
            </w:pPr>
            <w:r>
              <w:rPr>
                <w:rFonts w:ascii="Calibri" w:cs="Calibri" w:eastAsia="Calibri" w:hAnsi="Calibri"/>
                <w:sz w:val="16"/>
                <w:szCs w:val="16"/>
                <w:color w:val="auto"/>
              </w:rPr>
              <w:t>2042</w:t>
            </w:r>
          </w:p>
        </w:tc>
        <w:tc>
          <w:tcPr>
            <w:tcW w:w="5120" w:type="dxa"/>
            <w:vAlign w:val="bottom"/>
          </w:tcPr>
          <w:p>
            <w:pPr>
              <w:jc w:val="right"/>
              <w:spacing w:after="0" w:line="190" w:lineRule="exact"/>
              <w:rPr>
                <w:sz w:val="20"/>
                <w:szCs w:val="20"/>
                <w:color w:val="auto"/>
              </w:rPr>
            </w:pPr>
            <w:r>
              <w:rPr>
                <w:rFonts w:ascii="Calibri" w:cs="Calibri" w:eastAsia="Calibri" w:hAnsi="Calibri"/>
                <w:sz w:val="16"/>
                <w:szCs w:val="16"/>
                <w:b w:val="1"/>
                <w:bCs w:val="1"/>
                <w:color w:val="auto"/>
              </w:rPr>
              <w:t>11,042</w:t>
            </w:r>
          </w:p>
        </w:tc>
      </w:tr>
      <w:tr>
        <w:trPr>
          <w:trHeight w:val="243"/>
        </w:trPr>
        <w:tc>
          <w:tcPr>
            <w:tcW w:w="5540" w:type="dxa"/>
            <w:vAlign w:val="bottom"/>
          </w:tcPr>
          <w:p>
            <w:pPr>
              <w:ind w:left="20"/>
              <w:spacing w:after="0"/>
              <w:rPr>
                <w:sz w:val="20"/>
                <w:szCs w:val="20"/>
                <w:color w:val="auto"/>
              </w:rPr>
            </w:pPr>
            <w:r>
              <w:rPr>
                <w:rFonts w:ascii="Calibri" w:cs="Calibri" w:eastAsia="Calibri" w:hAnsi="Calibri"/>
                <w:sz w:val="16"/>
                <w:szCs w:val="16"/>
                <w:color w:val="auto"/>
              </w:rPr>
              <w:t>2043</w:t>
            </w:r>
          </w:p>
        </w:tc>
        <w:tc>
          <w:tcPr>
            <w:tcW w:w="5120" w:type="dxa"/>
            <w:vAlign w:val="bottom"/>
          </w:tcPr>
          <w:p>
            <w:pPr>
              <w:jc w:val="right"/>
              <w:spacing w:after="0"/>
              <w:rPr>
                <w:sz w:val="20"/>
                <w:szCs w:val="20"/>
                <w:color w:val="auto"/>
              </w:rPr>
            </w:pPr>
            <w:r>
              <w:rPr>
                <w:rFonts w:ascii="Calibri" w:cs="Calibri" w:eastAsia="Calibri" w:hAnsi="Calibri"/>
                <w:sz w:val="16"/>
                <w:szCs w:val="16"/>
                <w:b w:val="1"/>
                <w:bCs w:val="1"/>
                <w:color w:val="auto"/>
              </w:rPr>
              <w:t>18,751</w:t>
            </w:r>
          </w:p>
        </w:tc>
      </w:tr>
      <w:tr>
        <w:trPr>
          <w:trHeight w:val="45"/>
        </w:trPr>
        <w:tc>
          <w:tcPr>
            <w:tcW w:w="5540" w:type="dxa"/>
            <w:vAlign w:val="bottom"/>
            <w:tcBorders>
              <w:bottom w:val="single" w:sz="8" w:color="auto"/>
            </w:tcBorders>
          </w:tcPr>
          <w:p>
            <w:pPr>
              <w:spacing w:after="0"/>
              <w:rPr>
                <w:sz w:val="3"/>
                <w:szCs w:val="3"/>
                <w:color w:val="auto"/>
              </w:rPr>
            </w:pPr>
          </w:p>
        </w:tc>
        <w:tc>
          <w:tcPr>
            <w:tcW w:w="5120" w:type="dxa"/>
            <w:vAlign w:val="bottom"/>
            <w:tcBorders>
              <w:bottom w:val="single" w:sz="8" w:color="auto"/>
            </w:tcBorders>
          </w:tcPr>
          <w:p>
            <w:pPr>
              <w:spacing w:after="0"/>
              <w:rPr>
                <w:sz w:val="3"/>
                <w:szCs w:val="3"/>
                <w:color w:val="auto"/>
              </w:rPr>
            </w:pPr>
          </w:p>
        </w:tc>
      </w:tr>
      <w:tr>
        <w:trPr>
          <w:trHeight w:val="192"/>
        </w:trPr>
        <w:tc>
          <w:tcPr>
            <w:tcW w:w="554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tcPr>
          <w:p>
            <w:pPr>
              <w:jc w:val="right"/>
              <w:spacing w:after="0" w:line="192" w:lineRule="exact"/>
              <w:rPr>
                <w:sz w:val="20"/>
                <w:szCs w:val="20"/>
                <w:color w:val="auto"/>
              </w:rPr>
            </w:pPr>
            <w:r>
              <w:rPr>
                <w:rFonts w:ascii="Calibri" w:cs="Calibri" w:eastAsia="Calibri" w:hAnsi="Calibri"/>
                <w:sz w:val="16"/>
                <w:szCs w:val="16"/>
                <w:b w:val="1"/>
                <w:bCs w:val="1"/>
                <w:color w:val="auto"/>
              </w:rPr>
              <w:t>29,793</w:t>
            </w:r>
          </w:p>
        </w:tc>
      </w:tr>
    </w:tbl>
    <w:p>
      <w:pPr>
        <w:spacing w:after="0" w:line="221" w:lineRule="exact"/>
        <w:rPr>
          <w:sz w:val="20"/>
          <w:szCs w:val="20"/>
          <w:color w:val="auto"/>
        </w:rPr>
      </w:pPr>
    </w:p>
    <w:p>
      <w:pPr>
        <w:ind w:left="343" w:hanging="343"/>
        <w:spacing w:after="0"/>
        <w:tabs>
          <w:tab w:leader="none" w:pos="343" w:val="left"/>
        </w:tabs>
        <w:numPr>
          <w:ilvl w:val="0"/>
          <w:numId w:val="8"/>
        </w:numPr>
        <w:rPr>
          <w:rFonts w:ascii="Calibri" w:cs="Calibri" w:eastAsia="Calibri" w:hAnsi="Calibri"/>
          <w:sz w:val="16"/>
          <w:szCs w:val="16"/>
          <w:b w:val="1"/>
          <w:bCs w:val="1"/>
          <w:color w:val="2D5F91"/>
        </w:rPr>
      </w:pPr>
      <w:r>
        <w:rPr>
          <w:rFonts w:ascii="Calibri" w:cs="Calibri" w:eastAsia="Calibri" w:hAnsi="Calibri"/>
          <w:sz w:val="16"/>
          <w:szCs w:val="16"/>
          <w:b w:val="1"/>
          <w:bCs w:val="1"/>
          <w:color w:val="2D5F91"/>
        </w:rPr>
        <w:t>SUBSEQUENT EVENTS</w:t>
      </w:r>
    </w:p>
    <w:p>
      <w:pPr>
        <w:spacing w:after="0" w:line="144" w:lineRule="exact"/>
        <w:rPr>
          <w:rFonts w:ascii="Calibri" w:cs="Calibri" w:eastAsia="Calibri" w:hAnsi="Calibri"/>
          <w:sz w:val="16"/>
          <w:szCs w:val="16"/>
          <w:b w:val="1"/>
          <w:bCs w:val="1"/>
          <w:color w:val="2D5F91"/>
        </w:rPr>
      </w:pPr>
    </w:p>
    <w:p>
      <w:pPr>
        <w:ind w:left="503" w:hanging="212"/>
        <w:spacing w:after="0"/>
        <w:tabs>
          <w:tab w:leader="none" w:pos="503" w:val="left"/>
        </w:tabs>
        <w:numPr>
          <w:ilvl w:val="1"/>
          <w:numId w:val="8"/>
        </w:numPr>
        <w:rPr>
          <w:rFonts w:ascii="Calibri" w:cs="Calibri" w:eastAsia="Calibri" w:hAnsi="Calibri"/>
          <w:sz w:val="16"/>
          <w:szCs w:val="16"/>
          <w:b w:val="1"/>
          <w:bCs w:val="1"/>
          <w:color w:val="auto"/>
        </w:rPr>
      </w:pPr>
      <w:r>
        <w:rPr>
          <w:rFonts w:ascii="Calibri" w:cs="Calibri" w:eastAsia="Calibri" w:hAnsi="Calibri"/>
          <w:sz w:val="16"/>
          <w:szCs w:val="16"/>
          <w:b w:val="1"/>
          <w:bCs w:val="1"/>
          <w:color w:val="auto"/>
        </w:rPr>
        <w:t>ATM Program</w:t>
      </w:r>
    </w:p>
    <w:p>
      <w:pPr>
        <w:spacing w:after="0" w:line="158" w:lineRule="exact"/>
        <w:rPr>
          <w:sz w:val="20"/>
          <w:szCs w:val="20"/>
          <w:color w:val="auto"/>
        </w:rPr>
      </w:pPr>
    </w:p>
    <w:p>
      <w:pPr>
        <w:ind w:left="283"/>
        <w:spacing w:after="0" w:line="237" w:lineRule="auto"/>
        <w:rPr>
          <w:sz w:val="20"/>
          <w:szCs w:val="20"/>
          <w:color w:val="auto"/>
        </w:rPr>
      </w:pPr>
      <w:r>
        <w:rPr>
          <w:rFonts w:ascii="Calibri" w:cs="Calibri" w:eastAsia="Calibri" w:hAnsi="Calibri"/>
          <w:sz w:val="16"/>
          <w:szCs w:val="16"/>
          <w:color w:val="auto"/>
        </w:rPr>
        <w:t>During the period from January 1, 2023 to February 13, 2023, the Company sold an additonal 5,773,900 Common Shares, at an average price of US$0.4225 per Common Share, for aggregate gross proceeds of US$2,439, through its ATM Program.</w:t>
      </w:r>
    </w:p>
    <w:p>
      <w:pPr>
        <w:spacing w:after="0" w:line="158" w:lineRule="exact"/>
        <w:rPr>
          <w:sz w:val="20"/>
          <w:szCs w:val="20"/>
          <w:color w:val="auto"/>
        </w:rPr>
      </w:pPr>
    </w:p>
    <w:p>
      <w:pPr>
        <w:ind w:left="283"/>
        <w:spacing w:after="0"/>
        <w:rPr>
          <w:sz w:val="20"/>
          <w:szCs w:val="20"/>
          <w:color w:val="auto"/>
        </w:rPr>
      </w:pPr>
      <w:r>
        <w:rPr>
          <w:rFonts w:ascii="Calibri" w:cs="Calibri" w:eastAsia="Calibri" w:hAnsi="Calibri"/>
          <w:sz w:val="16"/>
          <w:szCs w:val="16"/>
          <w:b w:val="1"/>
          <w:bCs w:val="1"/>
          <w:color w:val="auto"/>
        </w:rPr>
        <w:t>(b) Exchange of Class B Shares</w:t>
      </w:r>
    </w:p>
    <w:p>
      <w:pPr>
        <w:spacing w:after="0" w:line="156" w:lineRule="exact"/>
        <w:rPr>
          <w:sz w:val="20"/>
          <w:szCs w:val="20"/>
          <w:color w:val="auto"/>
        </w:rPr>
      </w:pPr>
    </w:p>
    <w:p>
      <w:pPr>
        <w:ind w:left="283"/>
        <w:spacing w:after="0"/>
        <w:rPr>
          <w:sz w:val="20"/>
          <w:szCs w:val="20"/>
          <w:color w:val="auto"/>
        </w:rPr>
      </w:pPr>
      <w:r>
        <w:rPr>
          <w:rFonts w:ascii="Calibri" w:cs="Calibri" w:eastAsia="Calibri" w:hAnsi="Calibri"/>
          <w:sz w:val="16"/>
          <w:szCs w:val="16"/>
          <w:color w:val="auto"/>
        </w:rPr>
        <w:t>On January 12, 2023, Former Adelia Shareholders exchanged 508,964.8 Class B Shares for 5,089,648 Common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
        <w:spacing w:after="0"/>
        <w:rPr>
          <w:sz w:val="20"/>
          <w:szCs w:val="20"/>
          <w:color w:val="auto"/>
        </w:rPr>
      </w:pPr>
      <w:r>
        <w:rPr>
          <w:rFonts w:ascii="Calibri" w:cs="Calibri" w:eastAsia="Calibri" w:hAnsi="Calibri"/>
          <w:sz w:val="16"/>
          <w:szCs w:val="16"/>
          <w:b w:val="1"/>
          <w:bCs w:val="1"/>
          <w:color w:val="auto"/>
        </w:rPr>
        <w:t>Page 25 of 25</w:t>
      </w:r>
    </w:p>
    <w:p>
      <w:pPr>
        <w:sectPr>
          <w:pgSz w:w="11900" w:h="16838" w:orient="portrait"/>
          <w:cols w:equalWidth="0" w:num="1">
            <w:col w:w="11263"/>
          </w:cols>
          <w:pgMar w:left="317" w:top="162" w:right="31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3119755</wp:posOffset>
            </wp:positionH>
            <wp:positionV relativeFrom="page">
              <wp:posOffset>2352675</wp:posOffset>
            </wp:positionV>
            <wp:extent cx="1309370" cy="815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1309370" cy="815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Management’s Discussion and Analysis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 Financial Condition and Operating Performance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 the three and nine months ended December 31, 2022</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February 13, 2023</w:t>
      </w:r>
    </w:p>
    <w:p>
      <w:pPr>
        <w:sectPr>
          <w:pgSz w:w="11900" w:h="16838" w:orient="portrait"/>
          <w:cols w:equalWidth="0" w:num="1">
            <w:col w:w="9019"/>
          </w:cols>
          <w:pgMar w:left="1440" w:top="1440" w:right="1440"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CYBIN INC.</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9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Management’s Discussion and Analysis (“</w:t>
      </w:r>
      <w:r>
        <w:rPr>
          <w:rFonts w:ascii="Times New Roman" w:cs="Times New Roman" w:eastAsia="Times New Roman" w:hAnsi="Times New Roman"/>
          <w:sz w:val="18"/>
          <w:szCs w:val="18"/>
          <w:b w:val="1"/>
          <w:bCs w:val="1"/>
          <w:color w:val="auto"/>
        </w:rPr>
        <w:t>MD&amp;A</w:t>
      </w:r>
      <w:r>
        <w:rPr>
          <w:rFonts w:ascii="Times New Roman" w:cs="Times New Roman" w:eastAsia="Times New Roman" w:hAnsi="Times New Roman"/>
          <w:sz w:val="18"/>
          <w:szCs w:val="18"/>
          <w:color w:val="auto"/>
        </w:rPr>
        <w:t>”) has been prepared by management of Cybin Inc. (“</w:t>
      </w:r>
      <w:r>
        <w:rPr>
          <w:rFonts w:ascii="Times New Roman" w:cs="Times New Roman" w:eastAsia="Times New Roman" w:hAnsi="Times New Roman"/>
          <w:sz w:val="18"/>
          <w:szCs w:val="18"/>
          <w:b w:val="1"/>
          <w:bCs w:val="1"/>
          <w:color w:val="auto"/>
        </w:rPr>
        <w:t>Cybin</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should be read in conjunction with Cybin’s interim condensed consolidated financial statements and notes for the three and nine months ended December 31, 2022 (the “</w:t>
      </w:r>
      <w:r>
        <w:rPr>
          <w:rFonts w:ascii="Times New Roman" w:cs="Times New Roman" w:eastAsia="Times New Roman" w:hAnsi="Times New Roman"/>
          <w:sz w:val="18"/>
          <w:szCs w:val="18"/>
          <w:b w:val="1"/>
          <w:bCs w:val="1"/>
          <w:color w:val="auto"/>
        </w:rPr>
        <w:t>Interim Financial Statements</w:t>
      </w:r>
      <w:r>
        <w:rPr>
          <w:rFonts w:ascii="Times New Roman" w:cs="Times New Roman" w:eastAsia="Times New Roman" w:hAnsi="Times New Roman"/>
          <w:sz w:val="18"/>
          <w:szCs w:val="18"/>
          <w:color w:val="auto"/>
        </w:rPr>
        <w:t>”). This MD&amp;A does not address all of the changes to the Company and its business, such changes are addressed in the Company’s most recently filed annual information form (the “</w:t>
      </w:r>
      <w:r>
        <w:rPr>
          <w:rFonts w:ascii="Times New Roman" w:cs="Times New Roman" w:eastAsia="Times New Roman" w:hAnsi="Times New Roman"/>
          <w:sz w:val="18"/>
          <w:szCs w:val="18"/>
          <w:b w:val="1"/>
          <w:bCs w:val="1"/>
          <w:color w:val="auto"/>
        </w:rPr>
        <w:t>AIF</w:t>
      </w:r>
      <w:r>
        <w:rPr>
          <w:rFonts w:ascii="Times New Roman" w:cs="Times New Roman" w:eastAsia="Times New Roman" w:hAnsi="Times New Roman"/>
          <w:sz w:val="18"/>
          <w:szCs w:val="18"/>
          <w:color w:val="auto"/>
        </w:rPr>
        <w:t>”) on SEDAR. The Interim Financial Statements have been prepared using International Financial Reporting Standards ("</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xml:space="preserve">") as issued by the International Accounting Standards Board. All amounts are in Canadian dollars unless otherwise indicated. The Interim Financial Statements may be viewed on the SEDAR profile of Cybin at </w:t>
      </w:r>
      <w:r>
        <w:rPr>
          <w:rFonts w:ascii="Times New Roman" w:cs="Times New Roman" w:eastAsia="Times New Roman" w:hAnsi="Times New Roman"/>
          <w:sz w:val="18"/>
          <w:szCs w:val="18"/>
          <w:i w:val="1"/>
          <w:iCs w:val="1"/>
          <w:u w:val="single" w:color="auto"/>
          <w:color w:val="0563C1"/>
        </w:rPr>
        <w:t>www.sedar.com</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MD&amp;A contains disclosure related to Cybin occurring up to and including February 13, 2023. Unless otherwise indicated, all amounts in this MD&amp;A are in thousands of Canadian dollars.</w:t>
      </w:r>
    </w:p>
    <w:p>
      <w:pPr>
        <w:spacing w:after="0" w:line="13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Cybin was incorporated under the laws of the Province of British Columbia. Its wholly owned subsidiary, Cybin Corp. was incorporated under the laws of the Province of Ontario. Prior to November 5, 2020, the Company’s operations were conducted through Cybin Corp. On November 5, 2020, the Company completed a reverse takeover transaction pursuant to the terms of an amalgamation agreement dated June 26, 2020, as amended on October 21, 2020, among the Company, Cybin Corp. and 2762898 Ontario Inc. (“</w:t>
      </w:r>
      <w:r>
        <w:rPr>
          <w:rFonts w:ascii="Times New Roman" w:cs="Times New Roman" w:eastAsia="Times New Roman" w:hAnsi="Times New Roman"/>
          <w:sz w:val="18"/>
          <w:szCs w:val="18"/>
          <w:b w:val="1"/>
          <w:bCs w:val="1"/>
          <w:color w:val="auto"/>
        </w:rPr>
        <w:t>SubCo</w:t>
      </w:r>
      <w:r>
        <w:rPr>
          <w:rFonts w:ascii="Times New Roman" w:cs="Times New Roman" w:eastAsia="Times New Roman" w:hAnsi="Times New Roman"/>
          <w:sz w:val="18"/>
          <w:szCs w:val="18"/>
          <w:color w:val="auto"/>
        </w:rPr>
        <w:t>”), a wholly-owned subsidiary of the Company (the “</w:t>
      </w:r>
      <w:r>
        <w:rPr>
          <w:rFonts w:ascii="Times New Roman" w:cs="Times New Roman" w:eastAsia="Times New Roman" w:hAnsi="Times New Roman"/>
          <w:sz w:val="18"/>
          <w:szCs w:val="18"/>
          <w:b w:val="1"/>
          <w:bCs w:val="1"/>
          <w:color w:val="auto"/>
        </w:rPr>
        <w:t>Reverse Takeover</w:t>
      </w:r>
      <w:r>
        <w:rPr>
          <w:rFonts w:ascii="Times New Roman" w:cs="Times New Roman" w:eastAsia="Times New Roman" w:hAnsi="Times New Roman"/>
          <w:sz w:val="18"/>
          <w:szCs w:val="18"/>
          <w:color w:val="auto"/>
        </w:rPr>
        <w:t xml:space="preserve">”).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 Cybin Corp. is deemed to be the acquirer in the Reverse Takeover. As a result, the consolidated statements of financial position are presented as a continuance of Cybin Corp. and the comparative figures presented are those of Cybin Corp.</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MD&amp;A constitute “forward-looking information” and “forward-looking statements”. All statements, other than statements of historical fact, contained in this MD&amp;A are forward-looking statements, including, without limitation, statements regarding future financial position, business strategy, budgets, research and development and plans and objectives of management for future operations. Such statements can, in some cases, be identified by the use of forward-looking terminology such as “expect,” “likely”, “may,” “will,” “should,” “intend,” or “anticipate,” “potential,” “proposed,” “estimate” and other similar words, including negative and grammatical variations thereof, or statements that certain events or conditions “may” or “will” happen, or by discussions of strategy. The forward-looking statements included in this MD&amp;A are made only as of the date of this MD&amp;A and the Company assumes no obligation to update or revise them to reflect subsequent information, events or circumstances or otherwise, except as required by applicable securities laws.</w:t>
      </w:r>
    </w:p>
    <w:p>
      <w:pPr>
        <w:spacing w:after="0" w:line="15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MD&amp;A are not guarantees of future performance and involve assumptions, risks and uncertainties that are difficult to predict. Therefore, actual results may differ materially from what is expressed, implied or forecasted in such forward-looking statements. Management provides forward-looking statements because it believes they provide useful information to readers when considering their investment objectives and cautions readers that the information may not be appropriate for other purposes.</w:t>
      </w:r>
    </w:p>
    <w:p>
      <w:pPr>
        <w:spacing w:after="0" w:line="16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Some of the risks which could affect future results and could cause results to differ materially from those expressed in the forward-looking statements contained herein include:</w:t>
      </w:r>
    </w:p>
    <w:p>
      <w:pPr>
        <w:spacing w:after="0" w:line="156" w:lineRule="exact"/>
        <w:rPr>
          <w:sz w:val="20"/>
          <w:szCs w:val="20"/>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novel coronavirus “COVID-19”;</w:t>
      </w:r>
    </w:p>
    <w:p>
      <w:pPr>
        <w:spacing w:after="0" w:line="19"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operating history;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achieving publicly announced milestones;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speculative nature of investment risk;</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stage of the industry and product development;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risks and uncertainties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Arial" w:cs="Arial" w:eastAsia="Arial" w:hAnsi="Arial"/>
          <w:sz w:val="19"/>
          <w:szCs w:val="19"/>
          <w:color w:val="auto"/>
        </w:rPr>
      </w:pPr>
      <w:r>
        <w:rPr>
          <w:rFonts w:ascii="Times New Roman" w:cs="Times New Roman" w:eastAsia="Times New Roman" w:hAnsi="Times New Roman"/>
          <w:sz w:val="18"/>
          <w:szCs w:val="18"/>
          <w:color w:val="auto"/>
        </w:rPr>
        <w:t>risks of operating in European countries;</w:t>
      </w:r>
    </w:p>
    <w:p>
      <w:pPr>
        <w:spacing w:after="0" w:line="17" w:lineRule="exact"/>
        <w:rPr>
          <w:rFonts w:ascii="Arial" w:cs="Arial" w:eastAsia="Arial" w:hAnsi="Arial"/>
          <w:sz w:val="19"/>
          <w:szCs w:val="19"/>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for growth;</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products;</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60"/>
          </w:cols>
          <w:pgMar w:left="320" w:top="697" w:right="319" w:bottom="1440" w:gutter="0" w:footer="0" w:header="0"/>
        </w:sectPr>
      </w:pPr>
    </w:p>
    <w:bookmarkStart w:id="30" w:name="page31"/>
    <w:bookmarkEnd w:id="30"/>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marketing and sales capabilities;</w:t>
      </w:r>
    </w:p>
    <w:p>
      <w:pPr>
        <w:spacing w:after="0" w:line="2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assurance of commercial success;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profits or significant revenues;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for clinical development activities;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third party relationships;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contract manufacturers;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of products;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testing and commercializing products;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clinical trials;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grade product manufacturing;</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nature of regulatory approvals;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unfavourable publicity or consumer perception;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biotechnology and pharmaceutical market competition;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executives and scientists;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misconduct;</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expansion and growth;</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results of external clinical trials or studies;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contracts;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and supply chain interruption;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to forecast;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promoting the brand;</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viability;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quality control systems;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key inputs;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arising from fraudulent or illegal activity;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risk and insurance coverage;</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operating as public company;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of growth;</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operations;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and privacy risk;</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regulation and risks;</w:t>
      </w:r>
    </w:p>
    <w:p>
      <w:pPr>
        <w:spacing w:after="0" w:line="1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decriminalisation of psychedelics;</w:t>
      </w:r>
    </w:p>
    <w:p>
      <w:pPr>
        <w:spacing w:after="0" w:line="24"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forward-looking statements may prove to be inaccurate;</w:t>
      </w:r>
    </w:p>
    <w:p>
      <w:pPr>
        <w:spacing w:after="0" w:line="21"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effects of inflation;</w:t>
      </w:r>
    </w:p>
    <w:p>
      <w:pPr>
        <w:spacing w:after="0" w:line="14"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political and economic conditions;</w:t>
      </w:r>
    </w:p>
    <w:p>
      <w:pPr>
        <w:spacing w:after="0" w:line="21"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application and interpretation of tax laws;</w:t>
      </w:r>
    </w:p>
    <w:p>
      <w:pPr>
        <w:spacing w:after="0" w:line="14" w:lineRule="exact"/>
        <w:rPr>
          <w:rFonts w:ascii="Arial" w:cs="Arial" w:eastAsia="Arial" w:hAnsi="Arial"/>
          <w:sz w:val="19"/>
          <w:szCs w:val="19"/>
          <w:color w:val="auto"/>
        </w:rPr>
      </w:pPr>
    </w:p>
    <w:p>
      <w:pPr>
        <w:ind w:left="1160" w:hanging="581"/>
        <w:spacing w:after="0"/>
        <w:tabs>
          <w:tab w:leader="none" w:pos="1160" w:val="left"/>
        </w:tabs>
        <w:numPr>
          <w:ilvl w:val="0"/>
          <w:numId w:val="10"/>
        </w:numPr>
        <w:rPr>
          <w:rFonts w:ascii="Arial" w:cs="Arial" w:eastAsia="Arial" w:hAnsi="Arial"/>
          <w:sz w:val="19"/>
          <w:szCs w:val="19"/>
          <w:color w:val="auto"/>
        </w:rPr>
      </w:pPr>
      <w:r>
        <w:rPr>
          <w:rFonts w:ascii="Times New Roman" w:cs="Times New Roman" w:eastAsia="Times New Roman" w:hAnsi="Times New Roman"/>
          <w:sz w:val="18"/>
          <w:szCs w:val="18"/>
          <w:color w:val="auto"/>
        </w:rPr>
        <w:t>enforcement of civil liabilities;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Risks Related to Intellectual Property:</w:t>
      </w:r>
    </w:p>
    <w:p>
      <w:pPr>
        <w:spacing w:after="0" w:line="19" w:lineRule="exact"/>
        <w:rPr>
          <w:sz w:val="20"/>
          <w:szCs w:val="20"/>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 protection;</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secrets;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law reform;</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litigation and intellectual property;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intellectual property;</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licences;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and Accounting Risks:</w:t>
      </w:r>
    </w:p>
    <w:p>
      <w:pPr>
        <w:spacing w:after="0" w:line="25" w:lineRule="exact"/>
        <w:rPr>
          <w:sz w:val="20"/>
          <w:szCs w:val="20"/>
          <w:color w:val="auto"/>
        </w:rPr>
      </w:pPr>
    </w:p>
    <w:p>
      <w:pPr>
        <w:ind w:left="1160" w:hanging="581"/>
        <w:spacing w:after="0"/>
        <w:tabs>
          <w:tab w:leader="none" w:pos="1160" w:val="left"/>
        </w:tabs>
        <w:numPr>
          <w:ilvl w:val="0"/>
          <w:numId w:val="12"/>
        </w:numPr>
        <w:rPr>
          <w:rFonts w:ascii="Arial" w:cs="Arial" w:eastAsia="Arial" w:hAnsi="Arial"/>
          <w:sz w:val="18"/>
          <w:szCs w:val="18"/>
          <w:color w:val="auto"/>
        </w:rPr>
      </w:pPr>
      <w:r>
        <w:rPr>
          <w:rFonts w:ascii="Times New Roman" w:cs="Times New Roman" w:eastAsia="Times New Roman" w:hAnsi="Times New Roman"/>
          <w:sz w:val="17"/>
          <w:szCs w:val="17"/>
          <w:color w:val="auto"/>
        </w:rPr>
        <w:t>substantial number of authorized but unissued Common Shares (as defined herein);</w:t>
      </w:r>
    </w:p>
    <w:p>
      <w:pPr>
        <w:spacing w:after="0" w:line="29" w:lineRule="exact"/>
        <w:rPr>
          <w:rFonts w:ascii="Arial" w:cs="Arial" w:eastAsia="Arial" w:hAnsi="Arial"/>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w:t>
      </w: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cash flow from operating activities;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capital requirements;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significant product revenue;</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or judgments relating to critical accounting policies;</w:t>
      </w:r>
    </w:p>
    <w:p>
      <w:pPr>
        <w:sectPr>
          <w:pgSz w:w="11900" w:h="16838" w:orient="portrait"/>
          <w:cols w:equalWidth="0" w:num="1">
            <w:col w:w="10139"/>
          </w:cols>
          <w:pgMar w:left="320" w:top="701"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10139"/>
          </w:cols>
          <w:pgMar w:left="320" w:top="701" w:right="1440"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t>Risks related to the Common Shares:</w:t>
      </w:r>
    </w:p>
    <w:p>
      <w:pPr>
        <w:spacing w:after="0" w:line="25" w:lineRule="exact"/>
        <w:rPr>
          <w:sz w:val="20"/>
          <w:szCs w:val="20"/>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for the Common Shares;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sales of Common Shares;</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market price for the Common Shares;</w:t>
      </w:r>
    </w:p>
    <w:p>
      <w:pPr>
        <w:spacing w:after="0" w:line="11"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issues; and</w:t>
      </w:r>
    </w:p>
    <w:p>
      <w:pPr>
        <w:spacing w:after="0" w:line="5" w:lineRule="exact"/>
        <w:rPr>
          <w:rFonts w:ascii="Times New Roman" w:cs="Times New Roman" w:eastAsia="Times New Roman" w:hAnsi="Times New Roman"/>
          <w:sz w:val="18"/>
          <w:szCs w:val="18"/>
          <w:color w:val="auto"/>
        </w:rPr>
      </w:pPr>
    </w:p>
    <w:p>
      <w:pPr>
        <w:ind w:left="1160" w:hanging="581"/>
        <w:spacing w:after="0"/>
        <w:tabs>
          <w:tab w:leader="none" w:pos="11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w:t>
      </w:r>
    </w:p>
    <w:p>
      <w:pPr>
        <w:spacing w:after="0" w:line="21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Although the forward-looking statements contained in this MD&amp;A are based upon what management currently believes to be reasonable assumptions, the Company cannot assure prospective investors that actual results, performance or achievements will be consistent with these forward-looking statements. In particular, the Company has made assumptions regarding, among other things:</w:t>
      </w:r>
    </w:p>
    <w:p>
      <w:pPr>
        <w:spacing w:after="0" w:line="164" w:lineRule="exact"/>
        <w:rPr>
          <w:sz w:val="20"/>
          <w:szCs w:val="20"/>
          <w:color w:val="auto"/>
        </w:rPr>
      </w:pPr>
    </w:p>
    <w:p>
      <w:pPr>
        <w:ind w:left="580" w:right="20" w:hanging="294"/>
        <w:spacing w:after="0" w:line="253" w:lineRule="auto"/>
        <w:tabs>
          <w:tab w:leader="none" w:pos="576"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substantial fluctuation of losses from quarter to quarter and year to year due to numerous external risk factors, and anticipation that we will continue to incur significant losses in the future;</w:t>
      </w: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uncertainty as to the Company’s ability to raise additional funding to support operations;</w:t>
      </w: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access additional funding;</w:t>
      </w:r>
    </w:p>
    <w:p>
      <w:pPr>
        <w:ind w:left="580" w:hanging="294"/>
        <w:spacing w:after="0"/>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fluctuation of foreign exchange rates;</w:t>
      </w:r>
    </w:p>
    <w:p>
      <w:pPr>
        <w:spacing w:after="0" w:line="10" w:lineRule="exact"/>
        <w:rPr>
          <w:rFonts w:ascii="Calibri" w:cs="Calibri" w:eastAsia="Calibri" w:hAnsi="Calibri"/>
          <w:sz w:val="18"/>
          <w:szCs w:val="18"/>
          <w:color w:val="auto"/>
        </w:rPr>
      </w:pP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duration of COVID-19 and the extent of its economic and social impact;</w:t>
      </w:r>
    </w:p>
    <w:p>
      <w:pPr>
        <w:ind w:left="580" w:hanging="294"/>
        <w:spacing w:after="0"/>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associated with the development of the Company’s product candidates which are at early stages of development;</w:t>
      </w:r>
    </w:p>
    <w:p>
      <w:pPr>
        <w:spacing w:after="0" w:line="10" w:lineRule="exact"/>
        <w:rPr>
          <w:rFonts w:ascii="Calibri" w:cs="Calibri" w:eastAsia="Calibri" w:hAnsi="Calibri"/>
          <w:sz w:val="18"/>
          <w:szCs w:val="18"/>
          <w:color w:val="auto"/>
        </w:rPr>
      </w:pPr>
    </w:p>
    <w:p>
      <w:pPr>
        <w:ind w:left="580" w:hanging="294"/>
        <w:spacing w:after="0"/>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upon industry publications as the Company’s primary sources for third-party industry data and forecasts;</w:t>
      </w:r>
    </w:p>
    <w:p>
      <w:pPr>
        <w:spacing w:after="0" w:line="10" w:lineRule="exact"/>
        <w:rPr>
          <w:rFonts w:ascii="Calibri" w:cs="Calibri" w:eastAsia="Calibri" w:hAnsi="Calibri"/>
          <w:sz w:val="18"/>
          <w:szCs w:val="18"/>
          <w:color w:val="auto"/>
        </w:rPr>
      </w:pP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parties to plan, conduct and monitor the Company’s preclinical studies and clinical trials;</w:t>
      </w:r>
    </w:p>
    <w:p>
      <w:pPr>
        <w:ind w:left="580" w:hanging="294"/>
        <w:spacing w:after="0"/>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reliance on third party contract manufacturers to deliver quality clinical and preclinical materials;</w:t>
      </w:r>
    </w:p>
    <w:p>
      <w:pPr>
        <w:spacing w:after="0" w:line="10" w:lineRule="exact"/>
        <w:rPr>
          <w:rFonts w:ascii="Calibri" w:cs="Calibri" w:eastAsia="Calibri" w:hAnsi="Calibri"/>
          <w:sz w:val="18"/>
          <w:szCs w:val="18"/>
          <w:color w:val="auto"/>
        </w:rPr>
      </w:pPr>
    </w:p>
    <w:p>
      <w:pPr>
        <w:ind w:left="580" w:right="20" w:hanging="294"/>
        <w:spacing w:after="0" w:line="252" w:lineRule="auto"/>
        <w:tabs>
          <w:tab w:leader="none" w:pos="576"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product candidates may fail to demonstrate safety and efficacy to the satisfaction of regulatory authorities or may not otherwise produce positive results;</w:t>
      </w: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risks related to filing investigational new drug applications to commence clinical trials and to continue clinical trials if approved;</w:t>
      </w: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risks of delays and inability to complete clinical trials due to difficulties enrolling patients;</w:t>
      </w:r>
    </w:p>
    <w:p>
      <w:pPr>
        <w:ind w:left="580" w:hanging="294"/>
        <w:spacing w:after="0"/>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competition from other biotechnology and pharmaceutical companies;</w:t>
      </w:r>
    </w:p>
    <w:p>
      <w:pPr>
        <w:spacing w:after="0" w:line="10" w:lineRule="exact"/>
        <w:rPr>
          <w:rFonts w:ascii="Calibri" w:cs="Calibri" w:eastAsia="Calibri" w:hAnsi="Calibri"/>
          <w:sz w:val="18"/>
          <w:szCs w:val="18"/>
          <w:color w:val="auto"/>
        </w:rPr>
      </w:pPr>
    </w:p>
    <w:p>
      <w:pPr>
        <w:ind w:left="580" w:right="20" w:hanging="294"/>
        <w:spacing w:after="0" w:line="252" w:lineRule="auto"/>
        <w:tabs>
          <w:tab w:leader="none" w:pos="576"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reliance on the capabilities and experience of the Company’s key executives and scientists and the resulting loss of any of these individuals;</w:t>
      </w: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fully realize the benefits of acquisitions;</w:t>
      </w:r>
    </w:p>
    <w:p>
      <w:pPr>
        <w:ind w:left="580" w:hanging="294"/>
        <w:spacing w:after="0" w:line="238" w:lineRule="auto"/>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Company’s ability to adequately protect the Company’s intellectual property and trade secrets;</w:t>
      </w:r>
    </w:p>
    <w:p>
      <w:pPr>
        <w:ind w:left="580" w:hanging="294"/>
        <w:spacing w:after="0"/>
        <w:tabs>
          <w:tab w:leader="none" w:pos="580" w:val="left"/>
        </w:tabs>
        <w:numPr>
          <w:ilvl w:val="0"/>
          <w:numId w:val="14"/>
        </w:numPr>
        <w:rPr>
          <w:rFonts w:ascii="Calibri" w:cs="Calibri" w:eastAsia="Calibri" w:hAnsi="Calibri"/>
          <w:sz w:val="18"/>
          <w:szCs w:val="18"/>
          <w:color w:val="auto"/>
        </w:rPr>
      </w:pPr>
      <w:r>
        <w:rPr>
          <w:rFonts w:ascii="Times New Roman" w:cs="Times New Roman" w:eastAsia="Times New Roman" w:hAnsi="Times New Roman"/>
          <w:sz w:val="18"/>
          <w:szCs w:val="18"/>
          <w:color w:val="auto"/>
        </w:rPr>
        <w:t>the risk of patent-related or other litigation; and</w:t>
      </w:r>
    </w:p>
    <w:p>
      <w:pPr>
        <w:spacing w:after="0" w:line="16" w:lineRule="exact"/>
        <w:rPr>
          <w:rFonts w:ascii="Calibri" w:cs="Calibri" w:eastAsia="Calibri" w:hAnsi="Calibri"/>
          <w:sz w:val="18"/>
          <w:szCs w:val="18"/>
          <w:color w:val="auto"/>
        </w:rPr>
      </w:pPr>
    </w:p>
    <w:p>
      <w:pPr>
        <w:ind w:left="580" w:right="20" w:hanging="294"/>
        <w:spacing w:after="0" w:line="273" w:lineRule="auto"/>
        <w:tabs>
          <w:tab w:leader="none" w:pos="578" w:val="left"/>
        </w:tabs>
        <w:numPr>
          <w:ilvl w:val="0"/>
          <w:numId w:val="14"/>
        </w:numPr>
        <w:rPr>
          <w:rFonts w:ascii="Arial" w:cs="Arial" w:eastAsia="Arial" w:hAnsi="Arial"/>
          <w:sz w:val="19"/>
          <w:szCs w:val="19"/>
          <w:color w:val="auto"/>
        </w:rPr>
      </w:pPr>
      <w:r>
        <w:rPr>
          <w:rFonts w:ascii="Times New Roman" w:cs="Times New Roman" w:eastAsia="Times New Roman" w:hAnsi="Times New Roman"/>
          <w:sz w:val="18"/>
          <w:szCs w:val="18"/>
          <w:color w:val="auto"/>
        </w:rPr>
        <w:t>the risk of unforeseen changes to the laws or regulations in the United States (the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the United Kingdom (the “</w:t>
      </w:r>
      <w:r>
        <w:rPr>
          <w:rFonts w:ascii="Times New Roman" w:cs="Times New Roman" w:eastAsia="Times New Roman" w:hAnsi="Times New Roman"/>
          <w:sz w:val="18"/>
          <w:szCs w:val="18"/>
          <w:b w:val="1"/>
          <w:bCs w:val="1"/>
          <w:color w:val="auto"/>
        </w:rPr>
        <w:t>United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Kingdom</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UK</w:t>
      </w:r>
      <w:r>
        <w:rPr>
          <w:rFonts w:ascii="Times New Roman" w:cs="Times New Roman" w:eastAsia="Times New Roman" w:hAnsi="Times New Roman"/>
          <w:sz w:val="18"/>
          <w:szCs w:val="18"/>
          <w:color w:val="auto"/>
        </w:rPr>
        <w:t>”), Canada, the Netherlands, Ireland and other jurisdictions in which the Company operates.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Drug development involves long lead times, is very expensive and involves many variables of uncertainty. Anticipated timelines regarding drug development are based on reasonable assumptions informed by current knowledge and information available to the Company. Every patient treated on future studies can change those assumptions either positively (to indicate a faster timeline to new drug applications and other approvals) or negatively (to indicate a slower timeline to new drug applications and other approvals). This MD&amp;A contains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 addition to the factors set out above and those identified in this MD&amp;A under “Risk Factors”, other factors not currently viewed as material could cause actual results to differ materially from those described in the forward-looking statements. Although Cybin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60"/>
          </w:cols>
          <w:pgMar w:left="320" w:top="919" w:right="319" w:bottom="1440" w:gutter="0" w:footer="0" w:header="0"/>
        </w:sectPr>
      </w:pPr>
    </w:p>
    <w:bookmarkStart w:id="32" w:name="page33"/>
    <w:bookmarkEnd w:id="32"/>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Corporate Structure Overview</w:t>
      </w:r>
    </w:p>
    <w:p>
      <w:pPr>
        <w:spacing w:after="0" w:line="209"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The Company is a biopharmaceutical company focused on advancing psychedelic-based therapies, delivery mechanisms, novel compounds and protocols as potential treatments for various psychiatric and neurological conditions. The Company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w:t>
      </w:r>
    </w:p>
    <w:p>
      <w:pPr>
        <w:spacing w:after="0" w:line="153" w:lineRule="exact"/>
        <w:rPr>
          <w:sz w:val="20"/>
          <w:szCs w:val="20"/>
          <w:color w:val="auto"/>
        </w:rPr>
      </w:pPr>
    </w:p>
    <w:p>
      <w:pPr>
        <w:jc w:val="both"/>
        <w:ind w:left="3" w:right="20"/>
        <w:spacing w:after="0" w:line="258" w:lineRule="auto"/>
        <w:rPr>
          <w:sz w:val="20"/>
          <w:szCs w:val="20"/>
          <w:color w:val="auto"/>
        </w:rPr>
      </w:pPr>
      <w:r>
        <w:rPr>
          <w:rFonts w:ascii="Times New Roman" w:cs="Times New Roman" w:eastAsia="Times New Roman" w:hAnsi="Times New Roman"/>
          <w:sz w:val="18"/>
          <w:szCs w:val="18"/>
          <w:color w:val="auto"/>
        </w:rPr>
        <w:t xml:space="preserve">On November 5, 2020, the Company completed a reverse takeover transaction pursuant to the terms of an amalgamation agreement dated June 26, 2020, as amended on October 21, 2020, among the Company, Cybin Corp. and SubCo, a wholly-owned subsidiary of the Company. The Reverse Takeover was completed by way of a “three-cornered” amalgamation pursuant to the provisions of the </w:t>
      </w:r>
      <w:r>
        <w:rPr>
          <w:rFonts w:ascii="Times New Roman" w:cs="Times New Roman" w:eastAsia="Times New Roman" w:hAnsi="Times New Roman"/>
          <w:sz w:val="18"/>
          <w:szCs w:val="18"/>
          <w:i w:val="1"/>
          <w:iCs w:val="1"/>
          <w:color w:val="auto"/>
        </w:rPr>
        <w:t>Business Corporations Act</w:t>
      </w:r>
      <w:r>
        <w:rPr>
          <w:rFonts w:ascii="Times New Roman" w:cs="Times New Roman" w:eastAsia="Times New Roman" w:hAnsi="Times New Roman"/>
          <w:sz w:val="18"/>
          <w:szCs w:val="18"/>
          <w:color w:val="auto"/>
        </w:rPr>
        <w:t xml:space="preserve"> (Ontario) whereby Cybin Corp. amalgamated with SubCo to form an amalgamated corporation and a wholly owned subsidiary of the Company.</w:t>
      </w:r>
    </w:p>
    <w:p>
      <w:pPr>
        <w:spacing w:after="0" w:line="189"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Immediately prior to the completion of the Reverse Takeover, the Company completed a consolidation of all of its issued and outstanding common shares (the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on the basis of 6.672 old Common Shares into one new Common Share. All Common Share and per Common Share amounts expressed herein reflect the post-consolidation Common Shares.</w:t>
      </w:r>
    </w:p>
    <w:p>
      <w:pPr>
        <w:spacing w:after="0" w:line="172" w:lineRule="exact"/>
        <w:rPr>
          <w:sz w:val="20"/>
          <w:szCs w:val="20"/>
          <w:color w:val="auto"/>
        </w:rPr>
      </w:pPr>
    </w:p>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In connection with the Reverse Takeover, Clarmin Explorations Inc. (“</w:t>
      </w:r>
      <w:r>
        <w:rPr>
          <w:rFonts w:ascii="Times New Roman" w:cs="Times New Roman" w:eastAsia="Times New Roman" w:hAnsi="Times New Roman"/>
          <w:sz w:val="18"/>
          <w:szCs w:val="18"/>
          <w:b w:val="1"/>
          <w:bCs w:val="1"/>
          <w:color w:val="auto"/>
        </w:rPr>
        <w:t>Clarmin</w:t>
      </w:r>
      <w:r>
        <w:rPr>
          <w:rFonts w:ascii="Times New Roman" w:cs="Times New Roman" w:eastAsia="Times New Roman" w:hAnsi="Times New Roman"/>
          <w:sz w:val="18"/>
          <w:szCs w:val="18"/>
          <w:color w:val="auto"/>
        </w:rPr>
        <w:t>”) changed its name to “Cybin Inc.” and the Common Shares became listed for trading on the Neo Exchange Inc.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under the trading symbol “CYBN”. In accordance with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substance of the Reverse Takeover was a reverse takeover of a non-operating company. The Reverse Takeover does not constitute a business combination as Clarmin did not meet the definition of a business under IFRS 3. As a result, the Reverse Takeover is accounted for as a capital transaction with Cybin being identified as the acquirer and the equity consideration being measured at fair value. The resulting unaudited condensed interim consolidated statement of financial position is presented as a continuation of Cybin Corp. and comparative figures presented in the condensed interim consolidated financial statements after the Reverse Takeover are those of Cybin Corp.</w:t>
      </w:r>
    </w:p>
    <w:p>
      <w:pPr>
        <w:spacing w:after="0" w:line="18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Prior to completing the Reverse Takeover, and during fiscal 2020, the Company was inactive and evaluating business opportunities.</w:t>
      </w:r>
    </w:p>
    <w:p>
      <w:pPr>
        <w:spacing w:after="0" w:line="230"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On July 8, 2021, the Company announced the scale-up of its European operations and research activities with various academic and clinical research organizations, including the transfer of its intellectual property assets to its wholly owned Ireland subsidiary, Cybin IRL Limited (“</w:t>
      </w:r>
      <w:r>
        <w:rPr>
          <w:rFonts w:ascii="Times New Roman" w:cs="Times New Roman" w:eastAsia="Times New Roman" w:hAnsi="Times New Roman"/>
          <w:sz w:val="18"/>
          <w:szCs w:val="18"/>
          <w:b w:val="1"/>
          <w:bCs w:val="1"/>
          <w:color w:val="auto"/>
        </w:rPr>
        <w:t>Cybin Ireland</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left="3" w:right="20"/>
        <w:spacing w:after="0" w:line="318" w:lineRule="auto"/>
        <w:rPr>
          <w:sz w:val="20"/>
          <w:szCs w:val="20"/>
          <w:color w:val="auto"/>
        </w:rPr>
      </w:pPr>
      <w:r>
        <w:rPr>
          <w:rFonts w:ascii="Times New Roman" w:cs="Times New Roman" w:eastAsia="Times New Roman" w:hAnsi="Times New Roman"/>
          <w:sz w:val="17"/>
          <w:szCs w:val="17"/>
          <w:color w:val="auto"/>
        </w:rPr>
        <w:t>On August 5, 2021, the Common Shares commenced trading on the NYSE American LLC stock exchange (the “</w:t>
      </w:r>
      <w:r>
        <w:rPr>
          <w:rFonts w:ascii="Times New Roman" w:cs="Times New Roman" w:eastAsia="Times New Roman" w:hAnsi="Times New Roman"/>
          <w:sz w:val="17"/>
          <w:szCs w:val="17"/>
          <w:b w:val="1"/>
          <w:bCs w:val="1"/>
          <w:color w:val="auto"/>
        </w:rPr>
        <w:t>NYSE American</w:t>
      </w:r>
      <w:r>
        <w:rPr>
          <w:rFonts w:ascii="Times New Roman" w:cs="Times New Roman" w:eastAsia="Times New Roman" w:hAnsi="Times New Roman"/>
          <w:sz w:val="17"/>
          <w:szCs w:val="17"/>
          <w:color w:val="auto"/>
        </w:rPr>
        <w:t>”) under the symbol “CYBN”. Concurrent with the commencement of trading on the NYSE American, the Common Shares ceased to be quoted on the OTCQB® Venture Market.</w:t>
      </w:r>
    </w:p>
    <w:p>
      <w:pPr>
        <w:spacing w:after="0" w:line="117"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 xml:space="preserve">Please refer to “General Development of the Business” in the AIF for additional information on the background and operational highlights of Cybin. The AIF may be viewed under the SEDAR profile of Cybin at </w:t>
      </w:r>
      <w:r>
        <w:rPr>
          <w:rFonts w:ascii="Times New Roman" w:cs="Times New Roman" w:eastAsia="Times New Roman" w:hAnsi="Times New Roman"/>
          <w:sz w:val="18"/>
          <w:szCs w:val="18"/>
          <w:i w:val="1"/>
          <w:iCs w:val="1"/>
          <w:u w:val="single" w:color="auto"/>
          <w:color w:val="0563C1"/>
        </w:rPr>
        <w:t>www.sedar.com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234" w:lineRule="exact"/>
        <w:rPr>
          <w:sz w:val="20"/>
          <w:szCs w:val="20"/>
          <w:color w:val="auto"/>
        </w:rPr>
      </w:pPr>
    </w:p>
    <w:p>
      <w:pPr>
        <w:jc w:val="both"/>
        <w:ind w:left="3"/>
        <w:spacing w:after="0" w:line="238" w:lineRule="auto"/>
        <w:rPr>
          <w:sz w:val="20"/>
          <w:szCs w:val="20"/>
          <w:color w:val="auto"/>
        </w:rPr>
      </w:pPr>
      <w:r>
        <w:rPr>
          <w:rFonts w:ascii="Times New Roman" w:cs="Times New Roman" w:eastAsia="Times New Roman" w:hAnsi="Times New Roman"/>
          <w:sz w:val="18"/>
          <w:szCs w:val="18"/>
          <w:color w:val="auto"/>
        </w:rPr>
        <w:t>Cybin is a leading ethical biopharmaceutical company, working with a network of world-class partners and internationally-recognized scientists, on a mission to create safe and effective therapeutics for patients to address a multitude of mental health issues. The Company is focused on progressing Psychedelics to Therapeutics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engineering proprietary drug discovery platforms, innovative drug delivery systems, novel formulation approaches and treatment regimens for mental health disorders.</w:t>
      </w:r>
      <w:r>
        <w:rPr>
          <w:rFonts w:ascii="Times New Roman" w:cs="Times New Roman" w:eastAsia="Times New Roman" w:hAnsi="Times New Roman"/>
          <w:sz w:val="23"/>
          <w:szCs w:val="23"/>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153987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89" w:lineRule="exact"/>
        <w:rPr>
          <w:sz w:val="20"/>
          <w:szCs w:val="20"/>
          <w:color w:val="auto"/>
        </w:rPr>
      </w:pPr>
    </w:p>
    <w:p>
      <w:pPr>
        <w:ind w:left="3" w:right="40" w:hanging="3"/>
        <w:spacing w:after="0" w:line="217" w:lineRule="auto"/>
        <w:tabs>
          <w:tab w:leader="none" w:pos="114" w:val="left"/>
        </w:tabs>
        <w:numPr>
          <w:ilvl w:val="0"/>
          <w:numId w:val="1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w:t>
      </w:r>
      <w:r>
        <w:rPr>
          <w:rFonts w:ascii="Times New Roman" w:cs="Times New Roman" w:eastAsia="Times New Roman" w:hAnsi="Times New Roman"/>
          <w:sz w:val="16"/>
          <w:szCs w:val="16"/>
          <w:color w:val="auto"/>
        </w:rPr>
        <w:t>he material factors and assumption underlying this forward-looking statement is that drug development involves long lead times, is very expensive and involves many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color w:val="auto"/>
        </w:rPr>
        <w:t>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50"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63"/>
          </w:cols>
          <w:pgMar w:left="317" w:top="697" w:right="319" w:bottom="1440" w:gutter="0" w:footer="0" w:header="0"/>
        </w:sectPr>
      </w:pPr>
    </w:p>
    <w:bookmarkStart w:id="33" w:name="page34"/>
    <w:bookmarkEnd w:id="33"/>
    <w:p>
      <w:pPr>
        <w:jc w:val="both"/>
        <w:ind w:left="3" w:right="20"/>
        <w:spacing w:after="0" w:line="239" w:lineRule="auto"/>
        <w:rPr>
          <w:sz w:val="20"/>
          <w:szCs w:val="20"/>
          <w:color w:val="auto"/>
        </w:rPr>
      </w:pPr>
      <w:r>
        <w:rPr>
          <w:rFonts w:ascii="Times New Roman" w:cs="Times New Roman" w:eastAsia="Times New Roman" w:hAnsi="Times New Roman"/>
          <w:sz w:val="18"/>
          <w:szCs w:val="18"/>
          <w:color w:val="auto"/>
        </w:rPr>
        <w:t>Cybin’s research and development work focuses on a three-pillar strategy that leverages the Company’s core competencies in preclinical innovation and clinical development. This strategy supports the creation of intellectual property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focused on developing the Company’s platform technology, the progression of clinical development programs including CYB003, a deuterated psilocybin analog, CYB004, a deuterated version of version of N, N-dimethyltryptamine (“</w:t>
      </w:r>
      <w:r>
        <w:rPr>
          <w:rFonts w:ascii="Times New Roman" w:cs="Times New Roman" w:eastAsia="Times New Roman" w:hAnsi="Times New Roman"/>
          <w:sz w:val="19"/>
          <w:szCs w:val="19"/>
          <w:b w:val="1"/>
          <w:bCs w:val="1"/>
          <w:color w:val="auto"/>
        </w:rPr>
        <w:t>DMT</w:t>
      </w:r>
      <w:r>
        <w:rPr>
          <w:rFonts w:ascii="Times New Roman" w:cs="Times New Roman" w:eastAsia="Times New Roman" w:hAnsi="Times New Roman"/>
          <w:sz w:val="18"/>
          <w:szCs w:val="18"/>
          <w:color w:val="auto"/>
        </w:rPr>
        <w:t>”), CYB005, phenethylamine derivatives, and an expansive list of preclinical molecules to facilitate future drug development opportunities.</w:t>
      </w:r>
    </w:p>
    <w:p>
      <w:pPr>
        <w:spacing w:after="0" w:line="171"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8"/>
          <w:szCs w:val="18"/>
          <w:color w:val="auto"/>
        </w:rPr>
        <w:t>Cybin currently has IP across six patent families and additional access to IP from other patents or patent applications through a combination of internal filings and licensing arrangements.</w:t>
      </w:r>
    </w:p>
    <w:p>
      <w:pPr>
        <w:spacing w:after="0" w:line="1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Psychedelics to Therapeutics</w:t>
      </w:r>
      <w:r>
        <w:rPr>
          <w:rFonts w:ascii="Times New Roman" w:cs="Times New Roman" w:eastAsia="Times New Roman" w:hAnsi="Times New Roman"/>
          <w:sz w:val="23"/>
          <w:szCs w:val="23"/>
          <w:b w:val="1"/>
          <w:bCs w:val="1"/>
          <w:i w:val="1"/>
          <w:iCs w:val="1"/>
          <w:color w:val="auto"/>
          <w:vertAlign w:val="superscript"/>
        </w:rPr>
        <w:t>®</w:t>
      </w:r>
    </w:p>
    <w:p>
      <w:pPr>
        <w:spacing w:after="0" w:line="149"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The Company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64" w:lineRule="exact"/>
        <w:rPr>
          <w:sz w:val="20"/>
          <w:szCs w:val="20"/>
          <w:color w:val="auto"/>
        </w:rPr>
      </w:pPr>
    </w:p>
    <w:p>
      <w:pPr>
        <w:jc w:val="both"/>
        <w:ind w:left="3"/>
        <w:spacing w:after="0" w:line="232" w:lineRule="auto"/>
        <w:rPr>
          <w:sz w:val="20"/>
          <w:szCs w:val="20"/>
          <w:color w:val="auto"/>
        </w:rPr>
      </w:pPr>
      <w:r>
        <w:rPr>
          <w:rFonts w:ascii="Times New Roman" w:cs="Times New Roman" w:eastAsia="Times New Roman" w:hAnsi="Times New Roman"/>
          <w:sz w:val="18"/>
          <w:szCs w:val="18"/>
          <w:color w:val="auto"/>
        </w:rPr>
        <w:t>Across its extensive research and development programs, Cybin is evaluating a wide array of novel, synthetic psychedelic active pharmaceutical ingredients (“</w:t>
      </w:r>
      <w:r>
        <w:rPr>
          <w:rFonts w:ascii="Times New Roman" w:cs="Times New Roman" w:eastAsia="Times New Roman" w:hAnsi="Times New Roman"/>
          <w:sz w:val="18"/>
          <w:szCs w:val="18"/>
          <w:b w:val="1"/>
          <w:bCs w:val="1"/>
          <w:color w:val="auto"/>
        </w:rPr>
        <w:t>API</w:t>
      </w:r>
      <w:r>
        <w:rPr>
          <w:rFonts w:ascii="Times New Roman" w:cs="Times New Roman" w:eastAsia="Times New Roman" w:hAnsi="Times New Roman"/>
          <w:sz w:val="18"/>
          <w:szCs w:val="18"/>
          <w:color w:val="auto"/>
        </w:rPr>
        <w:t>”) intended to be delivered through innovative drug delivery systems including sublingual films</w:t>
      </w: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 and orally disintegrating tablets (“</w:t>
      </w:r>
      <w:r>
        <w:rPr>
          <w:rFonts w:ascii="Times New Roman" w:cs="Times New Roman" w:eastAsia="Times New Roman" w:hAnsi="Times New Roman"/>
          <w:sz w:val="18"/>
          <w:szCs w:val="18"/>
          <w:b w:val="1"/>
          <w:bCs w:val="1"/>
          <w:color w:val="auto"/>
        </w:rPr>
        <w:t>ODT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3</w:t>
      </w:r>
      <w:r>
        <w:rPr>
          <w:rFonts w:ascii="Times New Roman" w:cs="Times New Roman" w:eastAsia="Times New Roman" w:hAnsi="Times New Roman"/>
          <w:sz w:val="18"/>
          <w:szCs w:val="18"/>
          <w:color w:val="auto"/>
        </w:rPr>
        <w:t>, via inhalation and via intravenous (“</w:t>
      </w:r>
      <w:r>
        <w:rPr>
          <w:rFonts w:ascii="Times New Roman" w:cs="Times New Roman" w:eastAsia="Times New Roman" w:hAnsi="Times New Roman"/>
          <w:sz w:val="18"/>
          <w:szCs w:val="18"/>
          <w:b w:val="1"/>
          <w:bCs w:val="1"/>
          <w:color w:val="auto"/>
        </w:rPr>
        <w:t>IV</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left="3" w:right="20"/>
        <w:spacing w:after="0" w:line="227" w:lineRule="auto"/>
        <w:rPr>
          <w:sz w:val="20"/>
          <w:szCs w:val="20"/>
          <w:color w:val="auto"/>
        </w:rPr>
      </w:pPr>
      <w:r>
        <w:rPr>
          <w:rFonts w:ascii="Times New Roman" w:cs="Times New Roman" w:eastAsia="Times New Roman" w:hAnsi="Times New Roman"/>
          <w:sz w:val="18"/>
          <w:szCs w:val="18"/>
          <w:color w:val="auto"/>
        </w:rPr>
        <w:t>The Company intends to apply for regulatory approval for therapies targeting indications such as major depressive disorder (“</w:t>
      </w:r>
      <w:r>
        <w:rPr>
          <w:rFonts w:ascii="Times New Roman" w:cs="Times New Roman" w:eastAsia="Times New Roman" w:hAnsi="Times New Roman"/>
          <w:sz w:val="18"/>
          <w:szCs w:val="18"/>
          <w:b w:val="1"/>
          <w:bCs w:val="1"/>
          <w:color w:val="auto"/>
        </w:rPr>
        <w:t>MDD</w:t>
      </w:r>
      <w:r>
        <w:rPr>
          <w:rFonts w:ascii="Times New Roman" w:cs="Times New Roman" w:eastAsia="Times New Roman" w:hAnsi="Times New Roman"/>
          <w:sz w:val="18"/>
          <w:szCs w:val="18"/>
          <w:color w:val="auto"/>
        </w:rPr>
        <w:t>”), alcohol use disorder (“</w:t>
      </w:r>
      <w:r>
        <w:rPr>
          <w:rFonts w:ascii="Times New Roman" w:cs="Times New Roman" w:eastAsia="Times New Roman" w:hAnsi="Times New Roman"/>
          <w:sz w:val="18"/>
          <w:szCs w:val="18"/>
          <w:b w:val="1"/>
          <w:bCs w:val="1"/>
          <w:color w:val="auto"/>
        </w:rPr>
        <w:t>AUD</w:t>
      </w:r>
      <w:r>
        <w:rPr>
          <w:rFonts w:ascii="Times New Roman" w:cs="Times New Roman" w:eastAsia="Times New Roman" w:hAnsi="Times New Roman"/>
          <w:sz w:val="18"/>
          <w:szCs w:val="18"/>
          <w:color w:val="auto"/>
        </w:rPr>
        <w:t>”), generalized anxiety disorder ("</w:t>
      </w:r>
      <w:r>
        <w:rPr>
          <w:rFonts w:ascii="Times New Roman" w:cs="Times New Roman" w:eastAsia="Times New Roman" w:hAnsi="Times New Roman"/>
          <w:sz w:val="18"/>
          <w:szCs w:val="18"/>
          <w:b w:val="1"/>
          <w:bCs w:val="1"/>
          <w:color w:val="auto"/>
        </w:rPr>
        <w:t>GAD</w:t>
      </w:r>
      <w:r>
        <w:rPr>
          <w:rFonts w:ascii="Times New Roman" w:cs="Times New Roman" w:eastAsia="Times New Roman" w:hAnsi="Times New Roman"/>
          <w:sz w:val="18"/>
          <w:szCs w:val="18"/>
          <w:color w:val="auto"/>
        </w:rPr>
        <w:t>") and potentially other various mental health conditions</w:t>
      </w:r>
      <w:r>
        <w:rPr>
          <w:rFonts w:ascii="Times New Roman" w:cs="Times New Roman" w:eastAsia="Times New Roman" w:hAnsi="Times New Roman"/>
          <w:sz w:val="23"/>
          <w:szCs w:val="23"/>
          <w:color w:val="auto"/>
          <w:vertAlign w:val="superscript"/>
        </w:rPr>
        <w:t>4</w:t>
      </w:r>
      <w:r>
        <w:rPr>
          <w:rFonts w:ascii="Times New Roman" w:cs="Times New Roman" w:eastAsia="Times New Roman" w:hAnsi="Times New Roman"/>
          <w:sz w:val="18"/>
          <w:szCs w:val="18"/>
          <w:color w:val="auto"/>
        </w:rPr>
        <w:t>. The Company is also developing compounds that may have the potential to address neuroinflammation</w:t>
      </w:r>
      <w:r>
        <w:rPr>
          <w:rFonts w:ascii="Times New Roman" w:cs="Times New Roman" w:eastAsia="Times New Roman" w:hAnsi="Times New Roman"/>
          <w:sz w:val="23"/>
          <w:szCs w:val="23"/>
          <w:color w:val="auto"/>
          <w:vertAlign w:val="superscript"/>
        </w:rPr>
        <w:t>5</w:t>
      </w:r>
      <w:r>
        <w:rPr>
          <w:rFonts w:ascii="Times New Roman" w:cs="Times New Roman" w:eastAsia="Times New Roman" w:hAnsi="Times New Roman"/>
          <w:sz w:val="18"/>
          <w:szCs w:val="18"/>
          <w:color w:val="auto"/>
        </w:rPr>
        <w:t>, central nervous system (“</w:t>
      </w:r>
      <w:r>
        <w:rPr>
          <w:rFonts w:ascii="Times New Roman" w:cs="Times New Roman" w:eastAsia="Times New Roman" w:hAnsi="Times New Roman"/>
          <w:sz w:val="18"/>
          <w:szCs w:val="18"/>
          <w:b w:val="1"/>
          <w:bCs w:val="1"/>
          <w:color w:val="auto"/>
        </w:rPr>
        <w:t>CNS</w:t>
      </w:r>
      <w:r>
        <w:rPr>
          <w:rFonts w:ascii="Times New Roman" w:cs="Times New Roman" w:eastAsia="Times New Roman" w:hAnsi="Times New Roman"/>
          <w:sz w:val="18"/>
          <w:szCs w:val="18"/>
          <w:color w:val="auto"/>
        </w:rPr>
        <w:t>”) disorders, and psychiatric disorders</w:t>
      </w:r>
      <w:r>
        <w:rPr>
          <w:rFonts w:ascii="Times New Roman" w:cs="Times New Roman" w:eastAsia="Times New Roman" w:hAnsi="Times New Roman"/>
          <w:sz w:val="23"/>
          <w:szCs w:val="23"/>
          <w:color w:val="auto"/>
          <w:vertAlign w:val="superscript"/>
        </w:rPr>
        <w:t>6</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both"/>
        <w:ind w:left="3" w:right="20"/>
        <w:spacing w:after="0" w:line="238" w:lineRule="auto"/>
        <w:rPr>
          <w:sz w:val="20"/>
          <w:szCs w:val="20"/>
          <w:color w:val="auto"/>
        </w:rPr>
      </w:pPr>
      <w:r>
        <w:rPr>
          <w:rFonts w:ascii="Times New Roman" w:cs="Times New Roman" w:eastAsia="Times New Roman" w:hAnsi="Times New Roman"/>
          <w:sz w:val="18"/>
          <w:szCs w:val="18"/>
          <w:color w:val="auto"/>
        </w:rPr>
        <w:t>Further, over the next 12-month period, the Company will continue to seek to establish strategic partnerships that advance the Company’s scientific research and IP for new psychedelic-based compounds and novel delivery mechanisms</w:t>
      </w:r>
      <w:r>
        <w:rPr>
          <w:rFonts w:ascii="Times New Roman" w:cs="Times New Roman" w:eastAsia="Times New Roman" w:hAnsi="Times New Roman"/>
          <w:sz w:val="23"/>
          <w:szCs w:val="23"/>
          <w:color w:val="auto"/>
          <w:vertAlign w:val="superscript"/>
        </w:rPr>
        <w:t>7</w:t>
      </w:r>
      <w:r>
        <w:rPr>
          <w:rFonts w:ascii="Times New Roman" w:cs="Times New Roman" w:eastAsia="Times New Roman" w:hAnsi="Times New Roman"/>
          <w:sz w:val="18"/>
          <w:szCs w:val="18"/>
          <w:color w:val="auto"/>
        </w:rPr>
        <w:t>. The Company will also continue to sponsor select internal and partner-related clinical trials that advance the understanding of safety and efficacy for various psychedelic agents that target mental health conditions</w:t>
      </w:r>
      <w:r>
        <w:rPr>
          <w:rFonts w:ascii="Times New Roman" w:cs="Times New Roman" w:eastAsia="Times New Roman" w:hAnsi="Times New Roman"/>
          <w:sz w:val="23"/>
          <w:szCs w:val="23"/>
          <w:color w:val="auto"/>
          <w:vertAlign w:val="superscript"/>
        </w:rPr>
        <w:t>8</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Stage of Development</w:t>
      </w:r>
    </w:p>
    <w:p>
      <w:pPr>
        <w:spacing w:after="0" w:line="137"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Like most life sciences and pharmaceutical companies, the Company's psychedelic business is focused on research and development and any future revenue will be dependent on a number of factors, including the outcome of the Company’s sponsored clinical trials and the receipt of all necessary regulatory approvals.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39875"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37" w:lineRule="exact"/>
        <w:rPr>
          <w:sz w:val="20"/>
          <w:szCs w:val="20"/>
          <w:color w:val="auto"/>
        </w:rPr>
      </w:pPr>
    </w:p>
    <w:p>
      <w:pPr>
        <w:jc w:val="both"/>
        <w:ind w:left="3" w:firstLine="3"/>
        <w:spacing w:after="0" w:line="223" w:lineRule="auto"/>
        <w:tabs>
          <w:tab w:leader="none" w:pos="88"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The material factors and assumptions underlying this forward-looking statement are: drug development involves long lead times, is very expensive and involves many variables of uncertainty.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has contracted with IntelGenx to develop a sublingual film formulation of psilocybin. IntelGenx has produced multiple formulation types, but the final formulation has not been selected. Successful completion of formulation is necessary before clinical trials supplies can be provided to investigators. On November 8, 2021, the Company announced that its research into its Deuterated Psilocybin Analog program has identified a putative orally deliverable drug product that appears to have more desirable characteristics than psilocybin delivered by sublingual film. Although the Company is still evaluating the sublingual film technology, it has prioritized the Deuterated Psilocybin Analog program over the sublingual film technology as a result of the Company’s positive view of the Deuterated Psilocybin Analog program research data.</w:t>
      </w:r>
    </w:p>
    <w:p>
      <w:pPr>
        <w:spacing w:after="0" w:line="2" w:lineRule="exact"/>
        <w:rPr>
          <w:rFonts w:ascii="Times New Roman" w:cs="Times New Roman" w:eastAsia="Times New Roman" w:hAnsi="Times New Roman"/>
          <w:sz w:val="19"/>
          <w:szCs w:val="19"/>
          <w:color w:val="auto"/>
          <w:vertAlign w:val="superscript"/>
        </w:rPr>
      </w:pPr>
    </w:p>
    <w:p>
      <w:pPr>
        <w:ind w:left="3"/>
        <w:spacing w:after="0" w:line="222"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8"/>
          <w:szCs w:val="18"/>
          <w:color w:val="auto"/>
          <w:vertAlign w:val="superscript"/>
        </w:rPr>
        <w:t>3</w:t>
      </w:r>
      <w:r>
        <w:rPr>
          <w:rFonts w:ascii="Times New Roman" w:cs="Times New Roman" w:eastAsia="Times New Roman" w:hAnsi="Times New Roman"/>
          <w:sz w:val="15"/>
          <w:szCs w:val="15"/>
          <w:color w:val="auto"/>
        </w:rPr>
        <w:t xml:space="preserve"> The Company is currently applying Catalent’s proprietary Zydis® ODT technology as a delivery method during the development of the Company's novel deuterated tryptamine. Zydis technology creates a freeze-dried tablet that disperses almost instantly in the mouth without water and is recognized as one of the world’s best-performing ODTs. See footnote 1.</w:t>
      </w:r>
    </w:p>
    <w:p>
      <w:pPr>
        <w:ind w:left="3"/>
        <w:spacing w:after="0" w:line="185"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20"/>
          <w:szCs w:val="20"/>
          <w:color w:val="auto"/>
          <w:vertAlign w:val="superscript"/>
        </w:rPr>
        <w:t>4</w:t>
      </w:r>
      <w:r>
        <w:rPr>
          <w:rFonts w:ascii="Times New Roman" w:cs="Times New Roman" w:eastAsia="Times New Roman" w:hAnsi="Times New Roman"/>
          <w:sz w:val="14"/>
          <w:szCs w:val="14"/>
          <w:color w:val="auto"/>
        </w:rPr>
        <w:t xml:space="preserve"> See footnote 1.</w:t>
      </w:r>
    </w:p>
    <w:p>
      <w:pPr>
        <w:ind w:left="3"/>
        <w:spacing w:after="0" w:line="204" w:lineRule="auto"/>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21"/>
          <w:szCs w:val="21"/>
          <w:color w:val="auto"/>
          <w:vertAlign w:val="superscript"/>
        </w:rPr>
        <w:t>5</w:t>
      </w:r>
      <w:r>
        <w:rPr>
          <w:rFonts w:ascii="Times New Roman" w:cs="Times New Roman" w:eastAsia="Times New Roman" w:hAnsi="Times New Roman"/>
          <w:sz w:val="15"/>
          <w:szCs w:val="15"/>
          <w:color w:val="auto"/>
        </w:rPr>
        <w:t xml:space="preserve"> See footnote 1.</w:t>
      </w:r>
    </w:p>
    <w:p>
      <w:pPr>
        <w:ind w:left="103" w:hanging="103"/>
        <w:spacing w:after="0" w:line="181" w:lineRule="auto"/>
        <w:tabs>
          <w:tab w:leader="none" w:pos="103"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See footnote 1.</w:t>
      </w:r>
    </w:p>
    <w:p>
      <w:pPr>
        <w:ind w:left="83" w:hanging="83"/>
        <w:spacing w:after="0" w:line="181" w:lineRule="auto"/>
        <w:tabs>
          <w:tab w:leader="none" w:pos="83" w:val="left"/>
        </w:tabs>
        <w:numPr>
          <w:ilvl w:val="0"/>
          <w:numId w:val="18"/>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material factors and assumption underlying this forward-looking statement is that the Company will be able to successfully negotiate strategic partnerships.</w:t>
      </w:r>
    </w:p>
    <w:p>
      <w:pPr>
        <w:jc w:val="both"/>
        <w:ind w:left="3" w:right="20" w:hanging="3"/>
        <w:spacing w:after="0" w:line="220" w:lineRule="auto"/>
        <w:tabs>
          <w:tab w:leader="none" w:pos="82" w:val="left"/>
        </w:tabs>
        <w:numPr>
          <w:ilvl w:val="0"/>
          <w:numId w:val="19"/>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The material factors and assumptions underlying this forward-looking statement are: (a) that the Company will be able to successfully negotiate strategic partnerships; and (b) all necessary approvals for the studies will be obtained. As of the date hereof, the Company and the University of Washington are co-sponsoring a randomized, placebo-controlled clinical trial of psychedelic-assisted psychotherapy with psilocybin for frontline clinicians experiencing Covid-related distress.</w:t>
      </w:r>
    </w:p>
    <w:p>
      <w:pPr>
        <w:spacing w:after="0" w:line="200" w:lineRule="exact"/>
        <w:rPr>
          <w:sz w:val="20"/>
          <w:szCs w:val="20"/>
          <w:color w:val="auto"/>
        </w:rPr>
      </w:pPr>
    </w:p>
    <w:p>
      <w:pPr>
        <w:spacing w:after="0" w:line="34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63"/>
          </w:cols>
          <w:pgMar w:left="317" w:top="919" w:right="319" w:bottom="1440" w:gutter="0" w:footer="0" w:header="0"/>
        </w:sectPr>
      </w:pPr>
    </w:p>
    <w:bookmarkStart w:id="34" w:name="page35"/>
    <w:bookmarkEnd w:id="34"/>
    <w:p>
      <w:pPr>
        <w:jc w:val="both"/>
        <w:ind w:left="3"/>
        <w:spacing w:after="0" w:line="262" w:lineRule="auto"/>
        <w:rPr>
          <w:sz w:val="20"/>
          <w:szCs w:val="20"/>
          <w:color w:val="auto"/>
        </w:rPr>
      </w:pPr>
      <w:r>
        <w:rPr>
          <w:rFonts w:ascii="Times New Roman" w:cs="Times New Roman" w:eastAsia="Times New Roman" w:hAnsi="Times New Roman"/>
          <w:sz w:val="18"/>
          <w:szCs w:val="18"/>
          <w:color w:val="auto"/>
        </w:rPr>
        <w:t>In order to establish its business operations, Cybin intends to leverage the extensive professional network of its management to build working partnerships with (i) existing producers of psychedelic products based in Canada, the United States, the EU and the UK to source the psychedelic pharmaceutical products the Company intends to develop and distribute under its specific brand, and (ii) to explore options to facilitate the development and distribution and sale of its specific brand of psychedelic pharmaceutical products.</w:t>
      </w:r>
      <w:r>
        <w:rPr>
          <w:rFonts w:ascii="Times New Roman" w:cs="Times New Roman" w:eastAsia="Times New Roman" w:hAnsi="Times New Roman"/>
          <w:sz w:val="23"/>
          <w:szCs w:val="23"/>
          <w:color w:val="auto"/>
          <w:vertAlign w:val="superscript"/>
        </w:rPr>
        <w:t>9</w:t>
      </w:r>
    </w:p>
    <w:p>
      <w:pPr>
        <w:spacing w:after="0" w:line="84" w:lineRule="exact"/>
        <w:rPr>
          <w:sz w:val="20"/>
          <w:szCs w:val="20"/>
          <w:color w:val="auto"/>
        </w:rPr>
      </w:pPr>
    </w:p>
    <w:p>
      <w:pPr>
        <w:jc w:val="both"/>
        <w:ind w:left="3"/>
        <w:spacing w:after="0" w:line="263" w:lineRule="auto"/>
        <w:rPr>
          <w:sz w:val="20"/>
          <w:szCs w:val="20"/>
          <w:color w:val="auto"/>
        </w:rPr>
      </w:pPr>
      <w:r>
        <w:rPr>
          <w:rFonts w:ascii="Times New Roman" w:cs="Times New Roman" w:eastAsia="Times New Roman" w:hAnsi="Times New Roman"/>
          <w:sz w:val="18"/>
          <w:szCs w:val="18"/>
          <w:color w:val="auto"/>
        </w:rPr>
        <w:t xml:space="preserve">Prescription drugs are classified and regulated under the federal </w:t>
      </w:r>
      <w:r>
        <w:rPr>
          <w:rFonts w:ascii="Times New Roman" w:cs="Times New Roman" w:eastAsia="Times New Roman" w:hAnsi="Times New Roman"/>
          <w:sz w:val="18"/>
          <w:szCs w:val="18"/>
          <w:i w:val="1"/>
          <w:iCs w:val="1"/>
          <w:color w:val="auto"/>
        </w:rPr>
        <w:t>Food and Drugs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Canadian FDA</w:t>
      </w:r>
      <w:r>
        <w:rPr>
          <w:rFonts w:ascii="Times New Roman" w:cs="Times New Roman" w:eastAsia="Times New Roman" w:hAnsi="Times New Roman"/>
          <w:sz w:val="18"/>
          <w:szCs w:val="18"/>
          <w:color w:val="auto"/>
        </w:rPr>
        <w:t>”). Labeling, marketing and selling of any prescription drug must comply with the Canadian FDA, including by ensuring that the Company’s products are not packaged or marketed in a manner that is misleading or deceptive to a consumer.</w:t>
      </w:r>
    </w:p>
    <w:p>
      <w:pPr>
        <w:spacing w:after="0" w:line="144"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 xml:space="preserve">In the United States, foods, drugs and dietary supplements are subject to extensive regulation. The </w:t>
      </w:r>
      <w:r>
        <w:rPr>
          <w:rFonts w:ascii="Times New Roman" w:cs="Times New Roman" w:eastAsia="Times New Roman" w:hAnsi="Times New Roman"/>
          <w:sz w:val="18"/>
          <w:szCs w:val="18"/>
          <w:i w:val="1"/>
          <w:iCs w:val="1"/>
          <w:color w:val="auto"/>
        </w:rPr>
        <w:t>Federal Food, Drug, and Cosmetic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FFDCA</w:t>
      </w:r>
      <w:r>
        <w:rPr>
          <w:rFonts w:ascii="Times New Roman" w:cs="Times New Roman" w:eastAsia="Times New Roman" w:hAnsi="Times New Roman"/>
          <w:sz w:val="18"/>
          <w:szCs w:val="18"/>
          <w:color w:val="auto"/>
        </w:rPr>
        <w:t>”) and other federal and state statutes and regulations govern, among other things, the research, development, testing, manufacturing, storage, recordkeeping, approval, labeling, promotion and marketing, distribution, post-approval monitoring and reporting, sampling, and import and export of pharmaceutical products. The Company must ensure that all promotion and marketing, distribution, and labeling of any pharmaceutical products comply with the U.S. regulations, including the FFDCA and the U.S. Food and Drug Administration (the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w:t>
      </w:r>
    </w:p>
    <w:p>
      <w:pPr>
        <w:spacing w:after="0" w:line="153"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18"/>
          <w:szCs w:val="18"/>
          <w:color w:val="auto"/>
        </w:rPr>
        <w:t>On November 4, 2021, the Company announced that it had been granted a Schedule I manufacturing license from the U.S. Drug Enforcement Administration (“</w:t>
      </w:r>
      <w:r>
        <w:rPr>
          <w:rFonts w:ascii="Times New Roman" w:cs="Times New Roman" w:eastAsia="Times New Roman" w:hAnsi="Times New Roman"/>
          <w:sz w:val="18"/>
          <w:szCs w:val="18"/>
          <w:b w:val="1"/>
          <w:bCs w:val="1"/>
          <w:color w:val="auto"/>
        </w:rPr>
        <w:t>DEA</w:t>
      </w:r>
      <w:r>
        <w:rPr>
          <w:rFonts w:ascii="Times New Roman" w:cs="Times New Roman" w:eastAsia="Times New Roman" w:hAnsi="Times New Roman"/>
          <w:sz w:val="18"/>
          <w:szCs w:val="18"/>
          <w:color w:val="auto"/>
        </w:rPr>
        <w:t>”). The DEA license is for the Company’s research lab in the Boston area. The license allows the Company to further become a hub for innovation and drug discovery. Previously, the Company conducted much of its R&amp;D work through globally licensed research organizations in the U.S., Canada, and the UK, and through certain in-house capabilities. With the DEA license, the Company has expanded its internal R&amp;D capabilities to support innovative drug discovery and delivery involving Schedule I compounds.</w:t>
      </w:r>
    </w:p>
    <w:p>
      <w:pPr>
        <w:spacing w:after="0" w:line="17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Non-Revenue Generating Projects</w:t>
      </w:r>
      <w:r>
        <w:rPr>
          <w:rFonts w:ascii="Times New Roman" w:cs="Times New Roman" w:eastAsia="Times New Roman" w:hAnsi="Times New Roman"/>
          <w:sz w:val="23"/>
          <w:szCs w:val="23"/>
          <w:b w:val="1"/>
          <w:bCs w:val="1"/>
          <w:i w:val="1"/>
          <w:iCs w:val="1"/>
          <w:color w:val="auto"/>
          <w:vertAlign w:val="superscript"/>
        </w:rPr>
        <w:t>10</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currently has four significant projects, which have not yet generated revenue:</w:t>
      </w:r>
    </w:p>
    <w:p>
      <w:pPr>
        <w:spacing w:after="0" w:line="205" w:lineRule="exact"/>
        <w:rPr>
          <w:sz w:val="20"/>
          <w:szCs w:val="20"/>
          <w:color w:val="auto"/>
        </w:rPr>
      </w:pPr>
    </w:p>
    <w:p>
      <w:pPr>
        <w:ind w:left="583" w:hanging="292"/>
        <w:spacing w:after="0"/>
        <w:tabs>
          <w:tab w:leader="none" w:pos="5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Psilocybin Analog Program (CYB003)</w:t>
      </w:r>
    </w:p>
    <w:p>
      <w:pPr>
        <w:spacing w:after="0" w:line="19"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Deuterated Dimethyltryptamine Program (CYB004)</w:t>
      </w:r>
    </w:p>
    <w:p>
      <w:pPr>
        <w:spacing w:after="0" w:line="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Phenethylamine Derivatives Program (CYB005)</w:t>
      </w:r>
    </w:p>
    <w:p>
      <w:pPr>
        <w:spacing w:after="0" w:line="5" w:lineRule="exact"/>
        <w:rPr>
          <w:rFonts w:ascii="Times New Roman" w:cs="Times New Roman" w:eastAsia="Times New Roman" w:hAnsi="Times New Roman"/>
          <w:sz w:val="18"/>
          <w:szCs w:val="18"/>
          <w:color w:val="auto"/>
        </w:rPr>
      </w:pPr>
    </w:p>
    <w:p>
      <w:pPr>
        <w:ind w:left="583" w:hanging="292"/>
        <w:spacing w:after="0"/>
        <w:tabs>
          <w:tab w:leader="none" w:pos="583"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Programs</w:t>
      </w:r>
    </w:p>
    <w:p>
      <w:pPr>
        <w:spacing w:after="0" w:line="185" w:lineRule="exact"/>
        <w:rPr>
          <w:sz w:val="20"/>
          <w:szCs w:val="20"/>
          <w:color w:val="auto"/>
        </w:rPr>
      </w:pPr>
    </w:p>
    <w:p>
      <w:pPr>
        <w:jc w:val="both"/>
        <w:ind w:left="3"/>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program, including a description of the Company’s plan for such programs, the status of the objectives related to the Company’s plan for such program and anticipated expenditures to advance the program to the next stage of pipeline development.</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Psilocybin Analog Program (CYB003)</w:t>
      </w:r>
    </w:p>
    <w:p>
      <w:pPr>
        <w:spacing w:after="0" w:line="234" w:lineRule="exact"/>
        <w:rPr>
          <w:sz w:val="20"/>
          <w:szCs w:val="20"/>
          <w:color w:val="auto"/>
        </w:rPr>
      </w:pPr>
    </w:p>
    <w:p>
      <w:pPr>
        <w:jc w:val="both"/>
        <w:ind w:left="3"/>
        <w:spacing w:after="0" w:line="258" w:lineRule="auto"/>
        <w:rPr>
          <w:sz w:val="20"/>
          <w:szCs w:val="20"/>
          <w:color w:val="auto"/>
        </w:rPr>
      </w:pPr>
      <w:r>
        <w:rPr>
          <w:rFonts w:ascii="Times New Roman" w:cs="Times New Roman" w:eastAsia="Times New Roman" w:hAnsi="Times New Roman"/>
          <w:sz w:val="18"/>
          <w:szCs w:val="18"/>
          <w:color w:val="auto"/>
        </w:rPr>
        <w:t>The Company has been investigating the development of short-acting tryptamines with the aim of creating clinical development candidates, utilizing (i) the chemical modification of tryptamine derivatives through the selective substitution of hydrogen atoms with deuterium (i.e. deuteration); and (ii) the combination of such deuterated tryptamine derivative molecules with selected drug delivery methods, including but not limited to oral, inhalation methods, IV and intramuscular delivery.</w:t>
      </w:r>
    </w:p>
    <w:p>
      <w:pPr>
        <w:spacing w:after="0" w:line="165" w:lineRule="exact"/>
        <w:rPr>
          <w:sz w:val="20"/>
          <w:szCs w:val="20"/>
          <w:color w:val="auto"/>
        </w:rPr>
      </w:pPr>
    </w:p>
    <w:p>
      <w:pPr>
        <w:jc w:val="both"/>
        <w:ind w:left="3"/>
        <w:spacing w:after="0" w:line="268" w:lineRule="auto"/>
        <w:rPr>
          <w:sz w:val="20"/>
          <w:szCs w:val="20"/>
          <w:color w:val="auto"/>
        </w:rPr>
      </w:pPr>
      <w:r>
        <w:rPr>
          <w:rFonts w:ascii="Times New Roman" w:cs="Times New Roman" w:eastAsia="Times New Roman" w:hAnsi="Times New Roman"/>
          <w:sz w:val="18"/>
          <w:szCs w:val="18"/>
          <w:color w:val="auto"/>
        </w:rPr>
        <w:t>The Company's lead program, CYB003, is an orally delivered deuterated psilocybin analog that aims to address the limitations of oral psilocybin, including side effects, scalability and accessibility of treatment.</w:t>
      </w:r>
    </w:p>
    <w:p>
      <w:pPr>
        <w:spacing w:after="0" w:line="180" w:lineRule="exact"/>
        <w:rPr>
          <w:sz w:val="20"/>
          <w:szCs w:val="20"/>
          <w:color w:val="auto"/>
        </w:rPr>
      </w:pPr>
    </w:p>
    <w:p>
      <w:pPr>
        <w:jc w:val="both"/>
        <w:ind w:left="3"/>
        <w:spacing w:after="0" w:line="282" w:lineRule="auto"/>
        <w:rPr>
          <w:sz w:val="20"/>
          <w:szCs w:val="20"/>
          <w:color w:val="auto"/>
        </w:rPr>
      </w:pPr>
      <w:r>
        <w:rPr>
          <w:rFonts w:ascii="Times New Roman" w:cs="Times New Roman" w:eastAsia="Times New Roman" w:hAnsi="Times New Roman"/>
          <w:sz w:val="18"/>
          <w:szCs w:val="18"/>
          <w:color w:val="auto"/>
        </w:rPr>
        <w:t>In preclinical studies, CYB003 demonstrated several advantages compared to oral psilocybin, including faster onset of action, shorter duration of effect, less variability in plasma levels, and improved brain penetration. These preclinical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153987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93" w:lineRule="exact"/>
        <w:rPr>
          <w:sz w:val="20"/>
          <w:szCs w:val="20"/>
          <w:color w:val="auto"/>
        </w:rPr>
      </w:pPr>
    </w:p>
    <w:p>
      <w:pPr>
        <w:ind w:left="3" w:hanging="3"/>
        <w:spacing w:after="0" w:line="215" w:lineRule="auto"/>
        <w:tabs>
          <w:tab w:leader="none" w:pos="108" w:val="left"/>
        </w:tabs>
        <w:numPr>
          <w:ilvl w:val="0"/>
          <w:numId w:val="21"/>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Company’s assumption is that it will be able to enter into agreements at such a time when there will be sufficient competition in the market which will render prices reasonable.</w:t>
      </w:r>
    </w:p>
    <w:p>
      <w:pPr>
        <w:ind w:left="3"/>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21"/>
          <w:szCs w:val="21"/>
          <w:color w:val="auto"/>
          <w:vertAlign w:val="superscript"/>
        </w:rPr>
        <w:t>10</w:t>
      </w:r>
      <w:r>
        <w:rPr>
          <w:rFonts w:ascii="Times New Roman" w:cs="Times New Roman" w:eastAsia="Times New Roman" w:hAnsi="Times New Roman"/>
          <w:sz w:val="15"/>
          <w:szCs w:val="15"/>
          <w:color w:val="auto"/>
        </w:rPr>
        <w:t xml:space="preserve"> All quarter references in this section are based on calendar year-end.</w:t>
      </w:r>
    </w:p>
    <w:p>
      <w:pPr>
        <w:spacing w:after="0" w:line="200" w:lineRule="exact"/>
        <w:rPr>
          <w:sz w:val="20"/>
          <w:szCs w:val="20"/>
          <w:color w:val="auto"/>
        </w:rPr>
      </w:pPr>
    </w:p>
    <w:p>
      <w:pPr>
        <w:spacing w:after="0" w:line="306"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3"/>
          </w:cols>
          <w:pgMar w:left="317" w:top="701" w:right="339" w:bottom="1440" w:gutter="0" w:footer="0" w:header="0"/>
        </w:sectPr>
      </w:pPr>
    </w:p>
    <w:bookmarkStart w:id="35" w:name="page36"/>
    <w:bookmarkEnd w:id="35"/>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results could potentially translate into therapeutic benefits, such as shorter treatment duration, more predictable dosing, lower doses to achieve efficacy, and fewer side effects for patients.</w:t>
      </w:r>
    </w:p>
    <w:p>
      <w:pPr>
        <w:spacing w:after="0" w:line="164" w:lineRule="exact"/>
        <w:rPr>
          <w:sz w:val="20"/>
          <w:szCs w:val="20"/>
          <w:color w:val="auto"/>
        </w:rPr>
      </w:pPr>
    </w:p>
    <w:p>
      <w:pPr>
        <w:jc w:val="both"/>
        <w:ind w:left="3" w:right="20"/>
        <w:spacing w:after="0" w:line="251" w:lineRule="auto"/>
        <w:rPr>
          <w:sz w:val="20"/>
          <w:szCs w:val="20"/>
          <w:color w:val="auto"/>
        </w:rPr>
      </w:pPr>
      <w:r>
        <w:rPr>
          <w:rFonts w:ascii="Times New Roman" w:cs="Times New Roman" w:eastAsia="Times New Roman" w:hAnsi="Times New Roman"/>
          <w:sz w:val="18"/>
          <w:szCs w:val="18"/>
          <w:color w:val="auto"/>
        </w:rPr>
        <w:t>The Company completed its CYB003 Investigational New Drug ("</w:t>
      </w:r>
      <w:r>
        <w:rPr>
          <w:rFonts w:ascii="Times New Roman" w:cs="Times New Roman" w:eastAsia="Times New Roman" w:hAnsi="Times New Roman"/>
          <w:sz w:val="18"/>
          <w:szCs w:val="18"/>
          <w:b w:val="1"/>
          <w:bCs w:val="1"/>
          <w:color w:val="auto"/>
        </w:rPr>
        <w:t>IND</w:t>
      </w:r>
      <w:r>
        <w:rPr>
          <w:rFonts w:ascii="Times New Roman" w:cs="Times New Roman" w:eastAsia="Times New Roman" w:hAnsi="Times New Roman"/>
          <w:sz w:val="18"/>
          <w:szCs w:val="18"/>
          <w:color w:val="auto"/>
        </w:rPr>
        <w:t>")-enabling preclinical studies and Chemistry, Manufacturing and Control ("</w:t>
      </w:r>
      <w:r>
        <w:rPr>
          <w:rFonts w:ascii="Times New Roman" w:cs="Times New Roman" w:eastAsia="Times New Roman" w:hAnsi="Times New Roman"/>
          <w:sz w:val="18"/>
          <w:szCs w:val="18"/>
          <w:b w:val="1"/>
          <w:bCs w:val="1"/>
          <w:color w:val="auto"/>
        </w:rPr>
        <w:t>CMC")</w:t>
      </w:r>
      <w:r>
        <w:rPr>
          <w:rFonts w:ascii="Times New Roman" w:cs="Times New Roman" w:eastAsia="Times New Roman" w:hAnsi="Times New Roman"/>
          <w:sz w:val="18"/>
          <w:szCs w:val="18"/>
          <w:color w:val="auto"/>
        </w:rPr>
        <w:t xml:space="preserve"> development, including the production of clinical materials required for clinical trials, in the second quarter of calendar 2022. In the same period, the Company submitted an IND application to the FDA and received a “may proceed letter” and IND application clearance from the FDA as well as Institutional Review Board (the “</w:t>
      </w:r>
      <w:r>
        <w:rPr>
          <w:rFonts w:ascii="Times New Roman" w:cs="Times New Roman" w:eastAsia="Times New Roman" w:hAnsi="Times New Roman"/>
          <w:sz w:val="18"/>
          <w:szCs w:val="18"/>
          <w:b w:val="1"/>
          <w:bCs w:val="1"/>
          <w:color w:val="auto"/>
        </w:rPr>
        <w:t>IRB</w:t>
      </w:r>
      <w:r>
        <w:rPr>
          <w:rFonts w:ascii="Times New Roman" w:cs="Times New Roman" w:eastAsia="Times New Roman" w:hAnsi="Times New Roman"/>
          <w:sz w:val="18"/>
          <w:szCs w:val="18"/>
          <w:color w:val="auto"/>
        </w:rPr>
        <w:t>”) approval in the U.S. to commence its first-in-human Phase 1/2a study of CYB003 in participants with moderate to severe MDD. The Company has engaged Clinilabs Drug Development Corporation (“</w:t>
      </w:r>
      <w:r>
        <w:rPr>
          <w:rFonts w:ascii="Times New Roman" w:cs="Times New Roman" w:eastAsia="Times New Roman" w:hAnsi="Times New Roman"/>
          <w:sz w:val="18"/>
          <w:szCs w:val="18"/>
          <w:b w:val="1"/>
          <w:bCs w:val="1"/>
          <w:color w:val="auto"/>
        </w:rPr>
        <w:t>Clinilabs</w:t>
      </w:r>
      <w:r>
        <w:rPr>
          <w:rFonts w:ascii="Times New Roman" w:cs="Times New Roman" w:eastAsia="Times New Roman" w:hAnsi="Times New Roman"/>
          <w:sz w:val="18"/>
          <w:szCs w:val="18"/>
          <w:color w:val="auto"/>
        </w:rPr>
        <w:t>”), a full-service contract research organization with deep expertise in central nervous system drug development, to carry out the Phase 1/2a clinical trial of CYB003. On August 30, 2022, the Company announced that the first two participants have been dosed in the Phase 1/2a study.</w:t>
      </w:r>
    </w:p>
    <w:p>
      <w:pPr>
        <w:spacing w:after="0" w:line="19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About the CYB003 Phase 1/2a Clinical Trial</w:t>
      </w:r>
    </w:p>
    <w:p>
      <w:pPr>
        <w:spacing w:after="0" w:line="209" w:lineRule="exact"/>
        <w:rPr>
          <w:sz w:val="20"/>
          <w:szCs w:val="20"/>
          <w:color w:val="auto"/>
        </w:rPr>
      </w:pPr>
    </w:p>
    <w:p>
      <w:pPr>
        <w:jc w:val="both"/>
        <w:ind w:left="3" w:right="20"/>
        <w:spacing w:after="0" w:line="244" w:lineRule="auto"/>
        <w:rPr>
          <w:sz w:val="20"/>
          <w:szCs w:val="20"/>
          <w:color w:val="auto"/>
        </w:rPr>
      </w:pPr>
      <w:r>
        <w:rPr>
          <w:rFonts w:ascii="Times New Roman" w:cs="Times New Roman" w:eastAsia="Times New Roman" w:hAnsi="Times New Roman"/>
          <w:sz w:val="18"/>
          <w:szCs w:val="18"/>
          <w:color w:val="auto"/>
        </w:rPr>
        <w:t>The Phase 1/2a trial is a randomized, double-blind, placebo-controlled study evaluating CYB003 in participants with moderate to severe MDD. Approximately 32 MDD participants are planned to be enrolled into six cohorts. Participants will receive two administrations (placebo/active and active/active) and response/remission will be assessed at Week 3 (after first dose) and at Week 6 (after second dose). Participants in the trial that are currently being treated with antidepressants will be allowed to remain on their antidepressant medication.</w:t>
      </w:r>
    </w:p>
    <w:p>
      <w:pPr>
        <w:spacing w:after="0" w:line="173" w:lineRule="exact"/>
        <w:rPr>
          <w:sz w:val="20"/>
          <w:szCs w:val="20"/>
          <w:color w:val="auto"/>
        </w:rPr>
      </w:pPr>
    </w:p>
    <w:p>
      <w:pPr>
        <w:jc w:val="both"/>
        <w:ind w:left="3"/>
        <w:spacing w:after="0" w:line="241" w:lineRule="auto"/>
        <w:rPr>
          <w:sz w:val="20"/>
          <w:szCs w:val="20"/>
          <w:color w:val="auto"/>
        </w:rPr>
      </w:pPr>
      <w:r>
        <w:rPr>
          <w:rFonts w:ascii="Times New Roman" w:cs="Times New Roman" w:eastAsia="Times New Roman" w:hAnsi="Times New Roman"/>
          <w:sz w:val="18"/>
          <w:szCs w:val="18"/>
          <w:color w:val="auto"/>
        </w:rPr>
        <w:t>The study will investigate the safety, tolerability, pharmacokinetics ("</w:t>
      </w:r>
      <w:r>
        <w:rPr>
          <w:rFonts w:ascii="Times New Roman" w:cs="Times New Roman" w:eastAsia="Times New Roman" w:hAnsi="Times New Roman"/>
          <w:sz w:val="18"/>
          <w:szCs w:val="18"/>
          <w:b w:val="1"/>
          <w:bCs w:val="1"/>
          <w:color w:val="auto"/>
        </w:rPr>
        <w:t>PK</w:t>
      </w:r>
      <w:r>
        <w:rPr>
          <w:rFonts w:ascii="Times New Roman" w:cs="Times New Roman" w:eastAsia="Times New Roman" w:hAnsi="Times New Roman"/>
          <w:sz w:val="18"/>
          <w:szCs w:val="18"/>
          <w:color w:val="auto"/>
        </w:rPr>
        <w:t>") and pharmacodynamics ("</w:t>
      </w:r>
      <w:r>
        <w:rPr>
          <w:rFonts w:ascii="Times New Roman" w:cs="Times New Roman" w:eastAsia="Times New Roman" w:hAnsi="Times New Roman"/>
          <w:sz w:val="18"/>
          <w:szCs w:val="18"/>
          <w:b w:val="1"/>
          <w:bCs w:val="1"/>
          <w:color w:val="auto"/>
        </w:rPr>
        <w:t>PD</w:t>
      </w:r>
      <w:r>
        <w:rPr>
          <w:rFonts w:ascii="Times New Roman" w:cs="Times New Roman" w:eastAsia="Times New Roman" w:hAnsi="Times New Roman"/>
          <w:sz w:val="18"/>
          <w:szCs w:val="18"/>
          <w:color w:val="auto"/>
        </w:rPr>
        <w:t>") of ascending oral doses of CYB003 in MDD participants. The trial will also assess rapid onset of antidepressant effect on the day of dosing, using the Montgomery-Asberg Depression Rating Scale ("</w:t>
      </w:r>
      <w:r>
        <w:rPr>
          <w:rFonts w:ascii="Times New Roman" w:cs="Times New Roman" w:eastAsia="Times New Roman" w:hAnsi="Times New Roman"/>
          <w:sz w:val="18"/>
          <w:szCs w:val="18"/>
          <w:b w:val="1"/>
          <w:bCs w:val="1"/>
          <w:color w:val="auto"/>
        </w:rPr>
        <w:t>MADRS</w:t>
      </w:r>
      <w:r>
        <w:rPr>
          <w:rFonts w:ascii="Times New Roman" w:cs="Times New Roman" w:eastAsia="Times New Roman" w:hAnsi="Times New Roman"/>
          <w:sz w:val="18"/>
          <w:szCs w:val="18"/>
          <w:color w:val="auto"/>
        </w:rPr>
        <w:t>"), and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191" w:lineRule="exact"/>
        <w:rPr>
          <w:sz w:val="20"/>
          <w:szCs w:val="20"/>
          <w:color w:val="auto"/>
        </w:rPr>
      </w:pPr>
    </w:p>
    <w:p>
      <w:pPr>
        <w:jc w:val="both"/>
        <w:ind w:left="3"/>
        <w:spacing w:after="0" w:line="235" w:lineRule="auto"/>
        <w:rPr>
          <w:sz w:val="20"/>
          <w:szCs w:val="20"/>
          <w:color w:val="auto"/>
        </w:rPr>
      </w:pPr>
      <w:r>
        <w:rPr>
          <w:rFonts w:ascii="Times New Roman" w:cs="Times New Roman" w:eastAsia="Times New Roman" w:hAnsi="Times New Roman"/>
          <w:sz w:val="18"/>
          <w:szCs w:val="18"/>
          <w:color w:val="auto"/>
        </w:rPr>
        <w:t>To support the Phase 1/2a clinical trial of CYB003, the Company developed EMBARK, a psychological support model that integrates leading clinical approaches to promote supportive healing with psychedelic medicine. EMBARK’s six clinical domains (</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xistential-Spiritual, </w:t>
      </w: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8"/>
          <w:szCs w:val="18"/>
          <w:color w:val="auto"/>
        </w:rPr>
        <w:t xml:space="preserve">indfulness, </w:t>
      </w:r>
      <w:r>
        <w:rPr>
          <w:rFonts w:ascii="Times New Roman" w:cs="Times New Roman" w:eastAsia="Times New Roman" w:hAnsi="Times New Roman"/>
          <w:sz w:val="18"/>
          <w:szCs w:val="18"/>
          <w:b w:val="1"/>
          <w:bCs w:val="1"/>
          <w:color w:val="auto"/>
        </w:rPr>
        <w:t>B</w:t>
      </w:r>
      <w:r>
        <w:rPr>
          <w:rFonts w:ascii="Times New Roman" w:cs="Times New Roman" w:eastAsia="Times New Roman" w:hAnsi="Times New Roman"/>
          <w:sz w:val="18"/>
          <w:szCs w:val="18"/>
          <w:color w:val="auto"/>
        </w:rPr>
        <w:t xml:space="preserve">ody Aware, </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ffective-Cognitive,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8"/>
          <w:szCs w:val="18"/>
          <w:color w:val="auto"/>
        </w:rPr>
        <w:t>elational,</w:t>
      </w:r>
      <w:r>
        <w:rPr>
          <w:rFonts w:ascii="Times New Roman" w:cs="Times New Roman" w:eastAsia="Times New Roman" w:hAnsi="Times New Roman"/>
          <w:sz w:val="18"/>
          <w:szCs w:val="18"/>
          <w:b w:val="1"/>
          <w:bCs w:val="1"/>
          <w:color w:val="auto"/>
        </w:rPr>
        <w:t xml:space="preserve"> K</w:t>
      </w:r>
      <w:r>
        <w:rPr>
          <w:rFonts w:ascii="Times New Roman" w:cs="Times New Roman" w:eastAsia="Times New Roman" w:hAnsi="Times New Roman"/>
          <w:sz w:val="18"/>
          <w:szCs w:val="18"/>
          <w:color w:val="auto"/>
        </w:rPr>
        <w:t>eeping Momentum) represent the broad spectrum of ways in which therapeutic benefits may arise in psychedelic treatment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equally broad training needed to prepare therapists to support them all. The Company launched its EMBARK training program in June 2021, which prepares facilitators to work within all of these domains, while inviting facilitators to bring in their own therapeutic training and expertise in a flexible, yet structured way. The EMBARK curriculum additionally emphasizes trauma-informed, culturally competent, and ethically rigorous care. The Company intends to utilize the EMBARK model in potential future clinical trials for its other non-revenue generating projects. In October 2022, the Company announced the graduation of the first cohort of EMBARK trained facilitators.</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As at December 31, 2022, the Company has spent approximately $5,722 on the Deuterated Psilocybin Analog Program since the beginning of the fiscal year.</w:t>
      </w:r>
    </w:p>
    <w:p>
      <w:pPr>
        <w:spacing w:after="0" w:line="1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additionally spent $1,410 related to licensing agreements for this program (see "Intellectual Property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color w:val="auto"/>
        </w:rPr>
        <w:t>.</w:t>
      </w:r>
    </w:p>
    <w:p>
      <w:pPr>
        <w:spacing w:after="0" w:line="210" w:lineRule="exact"/>
        <w:rPr>
          <w:sz w:val="20"/>
          <w:szCs w:val="20"/>
          <w:color w:val="auto"/>
        </w:rPr>
      </w:pPr>
    </w:p>
    <w:p>
      <w:pPr>
        <w:jc w:val="both"/>
        <w:ind w:left="3" w:right="20"/>
        <w:spacing w:after="0" w:line="254" w:lineRule="auto"/>
        <w:rPr>
          <w:sz w:val="20"/>
          <w:szCs w:val="20"/>
          <w:color w:val="auto"/>
        </w:rPr>
      </w:pPr>
      <w:r>
        <w:rPr>
          <w:rFonts w:ascii="Times New Roman" w:cs="Times New Roman" w:eastAsia="Times New Roman" w:hAnsi="Times New Roman"/>
          <w:sz w:val="18"/>
          <w:szCs w:val="18"/>
          <w:color w:val="auto"/>
        </w:rPr>
        <w:t>As the Company continues to progress through the CYB003 program, additional milestones related to the Phase 1/2a clinical trial have been identified. The Company intends to:</w:t>
      </w:r>
    </w:p>
    <w:p>
      <w:pPr>
        <w:spacing w:after="0" w:line="168" w:lineRule="exact"/>
        <w:rPr>
          <w:sz w:val="20"/>
          <w:szCs w:val="20"/>
          <w:color w:val="auto"/>
        </w:rPr>
      </w:pPr>
    </w:p>
    <w:p>
      <w:pPr>
        <w:ind w:left="563" w:hanging="272"/>
        <w:spacing w:after="0"/>
        <w:tabs>
          <w:tab w:leader="none" w:pos="56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an interim pharmacokinetic and safety readout from the Phase 1/2a trial by the end of February 2023</w:t>
      </w:r>
      <w:r>
        <w:rPr>
          <w:rFonts w:ascii="Times New Roman" w:cs="Times New Roman" w:eastAsia="Times New Roman" w:hAnsi="Times New Roman"/>
          <w:sz w:val="23"/>
          <w:szCs w:val="23"/>
          <w:color w:val="auto"/>
          <w:vertAlign w:val="superscript"/>
        </w:rPr>
        <w:t>11</w:t>
      </w:r>
      <w:r>
        <w:rPr>
          <w:rFonts w:ascii="Times New Roman" w:cs="Times New Roman" w:eastAsia="Times New Roman" w:hAnsi="Times New Roman"/>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1539875"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45" w:lineRule="exact"/>
        <w:rPr>
          <w:sz w:val="20"/>
          <w:szCs w:val="20"/>
          <w:color w:val="auto"/>
        </w:rPr>
      </w:pPr>
    </w:p>
    <w:p>
      <w:pPr>
        <w:jc w:val="both"/>
        <w:ind w:left="3" w:right="20" w:hanging="3"/>
        <w:spacing w:after="0" w:line="222" w:lineRule="auto"/>
        <w:tabs>
          <w:tab w:leader="none" w:pos="173" w:val="left"/>
        </w:tabs>
        <w:numPr>
          <w:ilvl w:val="0"/>
          <w:numId w:val="2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The Company had previously estimated the milestone completion date would be end of calendar 2022. The updated timeframe is end of February 2023 due to anticipated progress in the clinical trial.</w:t>
      </w:r>
    </w:p>
    <w:p>
      <w:pPr>
        <w:spacing w:after="0" w:line="200" w:lineRule="exact"/>
        <w:rPr>
          <w:sz w:val="20"/>
          <w:szCs w:val="20"/>
          <w:color w:val="auto"/>
        </w:rPr>
      </w:pPr>
    </w:p>
    <w:p>
      <w:pPr>
        <w:spacing w:after="0" w:line="343"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63"/>
          </w:cols>
          <w:pgMar w:left="317" w:top="701" w:right="319" w:bottom="1440" w:gutter="0" w:footer="0" w:header="0"/>
        </w:sectPr>
      </w:pPr>
    </w:p>
    <w:bookmarkStart w:id="36" w:name="page37"/>
    <w:bookmarkEnd w:id="36"/>
    <w:p>
      <w:pPr>
        <w:ind w:left="563" w:hanging="272"/>
        <w:spacing w:after="0"/>
        <w:tabs>
          <w:tab w:leader="none" w:pos="56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its clinical trial first in human full study report in Q3 2023</w:t>
      </w:r>
      <w:r>
        <w:rPr>
          <w:rFonts w:ascii="Times New Roman" w:cs="Times New Roman" w:eastAsia="Times New Roman" w:hAnsi="Times New Roman"/>
          <w:sz w:val="23"/>
          <w:szCs w:val="23"/>
          <w:color w:val="auto"/>
          <w:vertAlign w:val="superscript"/>
        </w:rPr>
        <w:t>12</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ind w:left="3" w:right="20"/>
        <w:spacing w:after="0" w:line="229" w:lineRule="auto"/>
        <w:rPr>
          <w:sz w:val="20"/>
          <w:szCs w:val="20"/>
          <w:color w:val="auto"/>
        </w:rPr>
      </w:pPr>
      <w:r>
        <w:rPr>
          <w:rFonts w:ascii="Times New Roman" w:cs="Times New Roman" w:eastAsia="Times New Roman" w:hAnsi="Times New Roman"/>
          <w:sz w:val="18"/>
          <w:szCs w:val="18"/>
          <w:color w:val="auto"/>
        </w:rPr>
        <w:t>The Company expects to spend approximately $3,192</w:t>
      </w:r>
      <w:r>
        <w:rPr>
          <w:rFonts w:ascii="Times New Roman" w:cs="Times New Roman" w:eastAsia="Times New Roman" w:hAnsi="Times New Roman"/>
          <w:sz w:val="23"/>
          <w:szCs w:val="23"/>
          <w:color w:val="auto"/>
          <w:vertAlign w:val="superscript"/>
        </w:rPr>
        <w:t>13,14</w:t>
      </w:r>
      <w:r>
        <w:rPr>
          <w:rFonts w:ascii="Times New Roman" w:cs="Times New Roman" w:eastAsia="Times New Roman" w:hAnsi="Times New Roman"/>
          <w:sz w:val="18"/>
          <w:szCs w:val="18"/>
          <w:color w:val="auto"/>
        </w:rPr>
        <w:t xml:space="preserve"> to receive its initial pharmacokinetic and safety readout by the end of February 2023</w:t>
      </w:r>
      <w:r>
        <w:rPr>
          <w:rFonts w:ascii="Times New Roman" w:cs="Times New Roman" w:eastAsia="Times New Roman" w:hAnsi="Times New Roman"/>
          <w:sz w:val="23"/>
          <w:szCs w:val="23"/>
          <w:color w:val="auto"/>
          <w:vertAlign w:val="superscript"/>
        </w:rPr>
        <w:t>15</w:t>
      </w:r>
      <w:r>
        <w:rPr>
          <w:rFonts w:ascii="Times New Roman" w:cs="Times New Roman" w:eastAsia="Times New Roman" w:hAnsi="Times New Roman"/>
          <w:sz w:val="18"/>
          <w:szCs w:val="18"/>
          <w:color w:val="auto"/>
        </w:rPr>
        <w:t>. The Company intends to continue funding the Deuterated Psilocybin Analog (CYB003) Program.</w:t>
      </w:r>
    </w:p>
    <w:p>
      <w:pPr>
        <w:spacing w:after="0" w:line="205"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intends to complete future clinical trials for this program in the U.S., Canada, and/or Europe.</w:t>
      </w:r>
    </w:p>
    <w:p>
      <w:pPr>
        <w:spacing w:after="0" w:line="217" w:lineRule="exact"/>
        <w:rPr>
          <w:sz w:val="20"/>
          <w:szCs w:val="20"/>
          <w:color w:val="auto"/>
        </w:rPr>
      </w:pPr>
    </w:p>
    <w:p>
      <w:pPr>
        <w:jc w:val="both"/>
        <w:ind w:left="3"/>
        <w:spacing w:after="0" w:line="256" w:lineRule="auto"/>
        <w:rPr>
          <w:sz w:val="20"/>
          <w:szCs w:val="20"/>
          <w:color w:val="auto"/>
        </w:rPr>
      </w:pPr>
      <w:r>
        <w:rPr>
          <w:rFonts w:ascii="Times New Roman" w:cs="Times New Roman" w:eastAsia="Times New Roman" w:hAnsi="Times New Roman"/>
          <w:sz w:val="18"/>
          <w:szCs w:val="18"/>
          <w:color w:val="auto"/>
        </w:rPr>
        <w:t>There is no assurance that the aforementioned timelines will be met.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19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Deuterated Dimethyltryptamine Program (CYB004)</w:t>
      </w:r>
    </w:p>
    <w:p>
      <w:pPr>
        <w:spacing w:after="0" w:line="234" w:lineRule="exact"/>
        <w:rPr>
          <w:sz w:val="20"/>
          <w:szCs w:val="20"/>
          <w:color w:val="auto"/>
        </w:rPr>
      </w:pPr>
    </w:p>
    <w:p>
      <w:pPr>
        <w:jc w:val="both"/>
        <w:ind w:left="3"/>
        <w:spacing w:after="0" w:line="254" w:lineRule="auto"/>
        <w:rPr>
          <w:sz w:val="20"/>
          <w:szCs w:val="20"/>
          <w:color w:val="auto"/>
        </w:rPr>
      </w:pPr>
      <w:r>
        <w:rPr>
          <w:rFonts w:ascii="Times New Roman" w:cs="Times New Roman" w:eastAsia="Times New Roman" w:hAnsi="Times New Roman"/>
          <w:sz w:val="18"/>
          <w:szCs w:val="18"/>
          <w:color w:val="auto"/>
        </w:rPr>
        <w:t>The Company’s Deuterated Dimethyltryptamine Program is focused on the development of CYB004, a deuterated version of DMT. Cybin is currently developing CYB004 for the potential treatment of GAD, with or without MDD.</w:t>
      </w:r>
    </w:p>
    <w:p>
      <w:pPr>
        <w:spacing w:after="0" w:line="168"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18"/>
          <w:szCs w:val="18"/>
          <w:color w:val="auto"/>
        </w:rPr>
        <w:t>In preclinical studies, inhaled CYB004 demonstrated significant advantages over both IV DMT and inhaled DMT, including longer duration of action, and improved bioavailability. The study also demonstrated that inhaled CYB004 showed a similar onset of effect and dose profile to IV DMT. These data may support the potential for inhalation as a viable and well-controlled delivery system of psychedelic-based therapeutics.</w:t>
      </w:r>
    </w:p>
    <w:p>
      <w:pPr>
        <w:spacing w:after="0" w:line="18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The Company has continued to advance its Deuterated Dimethyltryptamine Program as described herein, including with the following progress:</w:t>
      </w:r>
    </w:p>
    <w:p>
      <w:pPr>
        <w:spacing w:after="0" w:line="7" w:lineRule="exact"/>
        <w:rPr>
          <w:sz w:val="20"/>
          <w:szCs w:val="20"/>
          <w:color w:val="auto"/>
        </w:rPr>
      </w:pPr>
    </w:p>
    <w:p>
      <w:pPr>
        <w:ind w:left="583" w:right="20" w:hanging="292"/>
        <w:spacing w:after="0" w:line="246"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additional preclinical studies on CYB004, and reported positive preclinical data from a PK study evaluating CYB004 delivered via inhalation; and</w:t>
      </w:r>
    </w:p>
    <w:p>
      <w:pPr>
        <w:jc w:val="both"/>
        <w:ind w:left="583" w:right="20" w:hanging="292"/>
        <w:spacing w:after="0" w:line="250" w:lineRule="auto"/>
        <w:tabs>
          <w:tab w:leader="none" w:pos="572"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U.S. Patent 11,242,318 which includes claims directed to the composition of matter for several deuterated tryptamine compounds, including the proposed drug substance in CYB004. The issued claims include other forms of deuterated psychedelic tryptamines, notably certain deuterated forms of DMT and 5-MeO-DMT. The patent, which is expected to expire in 2041 before consideration of any patent term extensions, covers composition of matter for the CYB004 drug substance as a putative new chemical entity.</w:t>
      </w:r>
    </w:p>
    <w:p>
      <w:pPr>
        <w:spacing w:after="0" w:line="193" w:lineRule="exact"/>
        <w:rPr>
          <w:sz w:val="20"/>
          <w:szCs w:val="20"/>
          <w:color w:val="auto"/>
        </w:rPr>
      </w:pPr>
    </w:p>
    <w:p>
      <w:pPr>
        <w:jc w:val="both"/>
        <w:ind w:left="3" w:right="20"/>
        <w:spacing w:after="0" w:line="237" w:lineRule="auto"/>
        <w:rPr>
          <w:sz w:val="20"/>
          <w:szCs w:val="20"/>
          <w:color w:val="auto"/>
        </w:rPr>
      </w:pPr>
      <w:r>
        <w:rPr>
          <w:rFonts w:ascii="Times New Roman" w:cs="Times New Roman" w:eastAsia="Times New Roman" w:hAnsi="Times New Roman"/>
          <w:sz w:val="18"/>
          <w:szCs w:val="18"/>
          <w:color w:val="auto"/>
        </w:rPr>
        <w:t>In addition, on June 7, 2022, the Company announced it had entered into an agreement to acquire a Phase 1 DMT study (the “</w:t>
      </w:r>
      <w:r>
        <w:rPr>
          <w:rFonts w:ascii="Times New Roman" w:cs="Times New Roman" w:eastAsia="Times New Roman" w:hAnsi="Times New Roman"/>
          <w:sz w:val="18"/>
          <w:szCs w:val="18"/>
          <w:b w:val="1"/>
          <w:bCs w:val="1"/>
          <w:color w:val="auto"/>
        </w:rPr>
        <w:t>Asset Acquisition</w:t>
      </w:r>
      <w:r>
        <w:rPr>
          <w:rFonts w:ascii="Times New Roman" w:cs="Times New Roman" w:eastAsia="Times New Roman" w:hAnsi="Times New Roman"/>
          <w:sz w:val="18"/>
          <w:szCs w:val="18"/>
          <w:color w:val="auto"/>
        </w:rPr>
        <w:t>”) from Entheon Biomedical Corp. (“</w:t>
      </w:r>
      <w:r>
        <w:rPr>
          <w:rFonts w:ascii="Times New Roman" w:cs="Times New Roman" w:eastAsia="Times New Roman" w:hAnsi="Times New Roman"/>
          <w:sz w:val="18"/>
          <w:szCs w:val="18"/>
          <w:b w:val="1"/>
          <w:bCs w:val="1"/>
          <w:color w:val="auto"/>
        </w:rPr>
        <w:t>Entheon</w:t>
      </w:r>
      <w:r>
        <w:rPr>
          <w:rFonts w:ascii="Times New Roman" w:cs="Times New Roman" w:eastAsia="Times New Roman" w:hAnsi="Times New Roman"/>
          <w:sz w:val="18"/>
          <w:szCs w:val="18"/>
          <w:color w:val="auto"/>
        </w:rPr>
        <w:t>”) to accelerate the clinical development path for CYB004. On July 11, 2022, the Company announced that the Asset Acquisition was completed. The Phase 1 study, previously identified as EBRX-101 and now named CYB004-E, is being conducted in the Netherlands in 50 healthy volunteers. The CYB004-E study is expected to yield essential safety and dosing optimization data. Entheon will continue to support the CYB004-E study and act as external consultants to the Company. Pending results from the CYB004-E study, the Company plans to evaluate CYB004 to determine the clinical path forward.</w:t>
      </w:r>
    </w:p>
    <w:p>
      <w:pPr>
        <w:spacing w:after="0" w:line="184"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On January 12, 2023, the Company announced that it has selected GAD with or without MDD as the target indication for its proprietary deuterated DMT molecule, CYB004.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220345</wp:posOffset>
            </wp:positionV>
            <wp:extent cx="1539875"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both"/>
        <w:ind w:left="3" w:right="20" w:hanging="3"/>
        <w:spacing w:after="0" w:line="215" w:lineRule="auto"/>
        <w:tabs>
          <w:tab w:leader="none" w:pos="178"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There is no assurance that the aforementioned timeline will be met or that the program will advance to clinical trials, at all. Anticipated timelines regarding drug development are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Times New Roman" w:cs="Times New Roman" w:eastAsia="Times New Roman" w:hAnsi="Times New Roman"/>
          <w:sz w:val="25"/>
          <w:szCs w:val="25"/>
          <w:color w:val="auto"/>
          <w:vertAlign w:val="superscript"/>
        </w:rPr>
      </w:pPr>
    </w:p>
    <w:p>
      <w:pPr>
        <w:ind w:left="183" w:hanging="183"/>
        <w:spacing w:after="0" w:line="182" w:lineRule="auto"/>
        <w:tabs>
          <w:tab w:leader="none" w:pos="183"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Dollar amount since the beginning of the fiscal year April 1, 2022.</w:t>
      </w:r>
    </w:p>
    <w:p>
      <w:pPr>
        <w:spacing w:after="0" w:line="8" w:lineRule="exact"/>
        <w:rPr>
          <w:rFonts w:ascii="Times New Roman" w:cs="Times New Roman" w:eastAsia="Times New Roman" w:hAnsi="Times New Roman"/>
          <w:sz w:val="25"/>
          <w:szCs w:val="25"/>
          <w:color w:val="auto"/>
          <w:vertAlign w:val="superscript"/>
        </w:rPr>
      </w:pPr>
    </w:p>
    <w:p>
      <w:pPr>
        <w:jc w:val="both"/>
        <w:ind w:left="3" w:right="20" w:hanging="3"/>
        <w:spacing w:after="0" w:line="209" w:lineRule="auto"/>
        <w:tabs>
          <w:tab w:leader="none" w:pos="169" w:val="left"/>
        </w:tabs>
        <w:numPr>
          <w:ilvl w:val="0"/>
          <w:numId w:val="2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The Company had previously estimated that its actual and expected spend up to December 31, 2023, for this program would be $4,190.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Times New Roman" w:cs="Times New Roman" w:eastAsia="Times New Roman" w:hAnsi="Times New Roman"/>
          <w:sz w:val="25"/>
          <w:szCs w:val="25"/>
          <w:color w:val="auto"/>
          <w:vertAlign w:val="superscript"/>
        </w:rPr>
      </w:pPr>
    </w:p>
    <w:p>
      <w:pPr>
        <w:ind w:left="123" w:hanging="123"/>
        <w:spacing w:after="0" w:line="201" w:lineRule="auto"/>
        <w:tabs>
          <w:tab w:leader="none" w:pos="123" w:val="left"/>
        </w:tabs>
        <w:numPr>
          <w:ilvl w:val="0"/>
          <w:numId w:val="26"/>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See footnote 11.</w:t>
      </w:r>
    </w:p>
    <w:p>
      <w:pPr>
        <w:spacing w:after="0" w:line="200" w:lineRule="exact"/>
        <w:rPr>
          <w:sz w:val="20"/>
          <w:szCs w:val="20"/>
          <w:color w:val="auto"/>
        </w:rPr>
      </w:pPr>
    </w:p>
    <w:p>
      <w:pPr>
        <w:spacing w:after="0" w:line="34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63"/>
          </w:cols>
          <w:pgMar w:left="317" w:top="701" w:right="319" w:bottom="1440" w:gutter="0" w:footer="0" w:header="0"/>
        </w:sectPr>
      </w:pPr>
    </w:p>
    <w:bookmarkStart w:id="37" w:name="page38"/>
    <w:bookmarkEnd w:id="37"/>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CYB004-E DMT Study</w:t>
      </w:r>
    </w:p>
    <w:p>
      <w:pPr>
        <w:spacing w:after="0" w:line="221"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The CYB004-E study is an adaptive, randomized, double-blind, placebo-controlled, single ascending dose study to evaluate the safety, PK and PD of a target-controlled intravenous infusion of DMT in healthy volunteers. The study is expected to provide essential safety and dosing optimization data to inform the clinical path forward for CYB004.</w:t>
      </w:r>
    </w:p>
    <w:p>
      <w:pPr>
        <w:spacing w:after="0" w:line="188" w:lineRule="exact"/>
        <w:rPr>
          <w:sz w:val="20"/>
          <w:szCs w:val="20"/>
          <w:color w:val="auto"/>
        </w:rPr>
      </w:pPr>
    </w:p>
    <w:p>
      <w:pPr>
        <w:jc w:val="both"/>
        <w:ind w:left="3"/>
        <w:spacing w:after="0" w:line="246" w:lineRule="auto"/>
        <w:rPr>
          <w:sz w:val="20"/>
          <w:szCs w:val="20"/>
          <w:color w:val="auto"/>
        </w:rPr>
      </w:pPr>
      <w:r>
        <w:rPr>
          <w:rFonts w:ascii="Times New Roman" w:cs="Times New Roman" w:eastAsia="Times New Roman" w:hAnsi="Times New Roman"/>
          <w:sz w:val="18"/>
          <w:szCs w:val="18"/>
          <w:color w:val="auto"/>
        </w:rPr>
        <w:t>On November 10, 2022, the Company announced that its CYB004-E Phase 1 trial evaluating IV DMT completed dosing for four out of five participant cohorts and that the Safety Review Committee had confirmed no safety or toxicity issues. This trial is the Company’s largest Phase 1 DMT trial conducted to-date.</w:t>
      </w:r>
    </w:p>
    <w:p>
      <w:pPr>
        <w:spacing w:after="0" w:line="176" w:lineRule="exact"/>
        <w:rPr>
          <w:sz w:val="20"/>
          <w:szCs w:val="20"/>
          <w:color w:val="auto"/>
        </w:rPr>
      </w:pPr>
    </w:p>
    <w:p>
      <w:pPr>
        <w:jc w:val="both"/>
        <w:ind w:left="3"/>
        <w:spacing w:after="0" w:line="239"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 CYB004 is a deuterated molecule that has the potential to improve upon the bioavailability of DMT and may offer more convenient dosing methods via inhaled, subcutaneous, or intramuscular routes of administration.</w:t>
      </w:r>
    </w:p>
    <w:p>
      <w:pPr>
        <w:spacing w:after="0" w:line="19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7"/>
          <w:szCs w:val="17"/>
          <w:color w:val="auto"/>
        </w:rPr>
        <w:t>As at December 31, 2022, the Company has spent approximately $5,345 on its Deuterated Dimethyltryptamine Program since the beginning of the fiscal year.</w:t>
      </w:r>
    </w:p>
    <w:p>
      <w:pPr>
        <w:spacing w:after="0" w:line="217" w:lineRule="exact"/>
        <w:rPr>
          <w:sz w:val="20"/>
          <w:szCs w:val="20"/>
          <w:color w:val="auto"/>
        </w:rPr>
      </w:pPr>
    </w:p>
    <w:p>
      <w:pPr>
        <w:jc w:val="both"/>
        <w:ind w:left="3" w:right="20"/>
        <w:spacing w:after="0" w:line="233" w:lineRule="auto"/>
        <w:rPr>
          <w:sz w:val="20"/>
          <w:szCs w:val="20"/>
          <w:color w:val="auto"/>
        </w:rPr>
      </w:pPr>
      <w:r>
        <w:rPr>
          <w:rFonts w:ascii="Times New Roman" w:cs="Times New Roman" w:eastAsia="Times New Roman" w:hAnsi="Times New Roman"/>
          <w:sz w:val="18"/>
          <w:szCs w:val="18"/>
          <w:color w:val="auto"/>
        </w:rPr>
        <w:t>As the Company continues to progress its Deuterated Dimethyltryptamine Program, additional milestones related to its clinical development have been identified. The Company intends to:</w:t>
      </w:r>
    </w:p>
    <w:p>
      <w:pPr>
        <w:ind w:left="563" w:hanging="272"/>
        <w:spacing w:after="0" w:line="203" w:lineRule="auto"/>
        <w:tabs>
          <w:tab w:leader="none" w:pos="563" w:val="left"/>
        </w:tabs>
        <w:numPr>
          <w:ilvl w:val="0"/>
          <w:numId w:val="27"/>
        </w:numPr>
        <w:rPr>
          <w:rFonts w:ascii="Times New Roman" w:cs="Times New Roman" w:eastAsia="Times New Roman" w:hAnsi="Times New Roman"/>
          <w:sz w:val="18"/>
          <w:szCs w:val="18"/>
          <w:color w:val="auto"/>
          <w:strike w:val="1"/>
        </w:rPr>
      </w:pPr>
      <w:r>
        <w:rPr>
          <w:rFonts w:ascii="Times New Roman" w:cs="Times New Roman" w:eastAsia="Times New Roman" w:hAnsi="Times New Roman"/>
          <w:sz w:val="18"/>
          <w:szCs w:val="18"/>
          <w:color w:val="auto"/>
        </w:rPr>
        <w:t>provide an update on the CYB004-E Phase 1 trial by the end of February 2023</w:t>
      </w:r>
      <w:r>
        <w:rPr>
          <w:rFonts w:ascii="Times New Roman" w:cs="Times New Roman" w:eastAsia="Times New Roman" w:hAnsi="Times New Roman"/>
          <w:sz w:val="23"/>
          <w:szCs w:val="23"/>
          <w:color w:val="auto"/>
          <w:vertAlign w:val="superscript"/>
        </w:rPr>
        <w:t>16</w:t>
      </w:r>
      <w:r>
        <w:rPr>
          <w:rFonts w:ascii="Times New Roman" w:cs="Times New Roman" w:eastAsia="Times New Roman" w:hAnsi="Times New Roman"/>
          <w:sz w:val="18"/>
          <w:szCs w:val="18"/>
          <w:color w:val="auto"/>
        </w:rPr>
        <w:t>; and,</w:t>
      </w:r>
    </w:p>
    <w:p>
      <w:pPr>
        <w:ind w:left="563" w:hanging="272"/>
        <w:spacing w:after="0"/>
        <w:tabs>
          <w:tab w:leader="none" w:pos="56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the IND-enabling preclinical studies of CYB004 in Q3 2023</w:t>
      </w:r>
      <w:r>
        <w:rPr>
          <w:rFonts w:ascii="Times New Roman" w:cs="Times New Roman" w:eastAsia="Times New Roman" w:hAnsi="Times New Roman"/>
          <w:sz w:val="23"/>
          <w:szCs w:val="23"/>
          <w:color w:val="auto"/>
          <w:vertAlign w:val="superscript"/>
        </w:rPr>
        <w:t>17</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jc w:val="both"/>
        <w:ind w:left="3" w:right="20"/>
        <w:spacing w:after="0" w:line="232" w:lineRule="auto"/>
        <w:rPr>
          <w:sz w:val="20"/>
          <w:szCs w:val="20"/>
          <w:color w:val="auto"/>
        </w:rPr>
      </w:pPr>
      <w:r>
        <w:rPr>
          <w:rFonts w:ascii="Times New Roman" w:cs="Times New Roman" w:eastAsia="Times New Roman" w:hAnsi="Times New Roman"/>
          <w:sz w:val="18"/>
          <w:szCs w:val="18"/>
          <w:color w:val="auto"/>
        </w:rPr>
        <w:t>The Company expects to spend approximately $9,518</w:t>
      </w:r>
      <w:r>
        <w:rPr>
          <w:rFonts w:ascii="Times New Roman" w:cs="Times New Roman" w:eastAsia="Times New Roman" w:hAnsi="Times New Roman"/>
          <w:sz w:val="23"/>
          <w:szCs w:val="23"/>
          <w:color w:val="auto"/>
          <w:vertAlign w:val="superscript"/>
        </w:rPr>
        <w:t>18</w:t>
      </w:r>
      <w:r>
        <w:rPr>
          <w:rFonts w:ascii="Times New Roman" w:cs="Times New Roman" w:eastAsia="Times New Roman" w:hAnsi="Times New Roman"/>
          <w:sz w:val="18"/>
          <w:szCs w:val="18"/>
          <w:color w:val="auto"/>
        </w:rPr>
        <w:t xml:space="preserve"> to advance preclinical development of CYB004 by December 31, 2023 and $3,366</w:t>
      </w:r>
      <w:r>
        <w:rPr>
          <w:rFonts w:ascii="Times New Roman" w:cs="Times New Roman" w:eastAsia="Times New Roman" w:hAnsi="Times New Roman"/>
          <w:sz w:val="23"/>
          <w:szCs w:val="23"/>
          <w:color w:val="auto"/>
          <w:vertAlign w:val="superscript"/>
        </w:rPr>
        <w:t>19</w:t>
      </w:r>
      <w:r>
        <w:rPr>
          <w:rFonts w:ascii="Times New Roman" w:cs="Times New Roman" w:eastAsia="Times New Roman" w:hAnsi="Times New Roman"/>
          <w:sz w:val="18"/>
          <w:szCs w:val="18"/>
          <w:color w:val="auto"/>
        </w:rPr>
        <w:t xml:space="preserve"> to advance the Phase 1 DMT study (CYB004-E) by the first half of calendar 2023. The Company intends to continue funding the Deuterated Dimethyltryptamine (CYB004) Program.</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Phenethylamine Derivatives Program (CYB005)</w:t>
      </w:r>
    </w:p>
    <w:p>
      <w:pPr>
        <w:spacing w:after="0" w:line="209" w:lineRule="exact"/>
        <w:rPr>
          <w:sz w:val="20"/>
          <w:szCs w:val="20"/>
          <w:color w:val="auto"/>
        </w:rPr>
      </w:pPr>
    </w:p>
    <w:p>
      <w:pPr>
        <w:jc w:val="both"/>
        <w:ind w:left="3"/>
        <w:spacing w:after="0" w:line="274" w:lineRule="auto"/>
        <w:rPr>
          <w:sz w:val="20"/>
          <w:szCs w:val="20"/>
          <w:color w:val="auto"/>
        </w:rPr>
      </w:pPr>
      <w:r>
        <w:rPr>
          <w:rFonts w:ascii="Times New Roman" w:cs="Times New Roman" w:eastAsia="Times New Roman" w:hAnsi="Times New Roman"/>
          <w:sz w:val="17"/>
          <w:szCs w:val="17"/>
          <w:color w:val="auto"/>
        </w:rPr>
        <w:t xml:space="preserve">The Company's Phenethylamine Derivatives Program (CYB005) is focused on the development of therapeutic phenethylamine derivatives. Multiple phenethylamines have been shown to have psychedelic properties and several, such as MDMA, have shown promise as therapeutics. Cybin’s proprietary approach to phenethylamines modification with deuterium substitution, proprietary formulations and directed delivery systems has yielded a number of novel leads with significant therapeutic potential. Several compounds are now being further studied both </w:t>
      </w:r>
      <w:r>
        <w:rPr>
          <w:rFonts w:ascii="Times New Roman" w:cs="Times New Roman" w:eastAsia="Times New Roman" w:hAnsi="Times New Roman"/>
          <w:sz w:val="17"/>
          <w:szCs w:val="17"/>
          <w:i w:val="1"/>
          <w:iCs w:val="1"/>
          <w:color w:val="auto"/>
        </w:rPr>
        <w:t>in vitro</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for selection of the best development candidates. The Company is investigating phenethylamine derivatives for the potential treatment of neuroinflammation and other neurological conditions</w:t>
      </w:r>
      <w:r>
        <w:rPr>
          <w:rFonts w:ascii="Times New Roman" w:cs="Times New Roman" w:eastAsia="Times New Roman" w:hAnsi="Times New Roman"/>
          <w:sz w:val="22"/>
          <w:szCs w:val="22"/>
          <w:color w:val="auto"/>
          <w:vertAlign w:val="superscript"/>
        </w:rPr>
        <w:t>20</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In order to assess the feasibility and viability of these phenethylamine derivatives entering clinical studies, the Company has and will continue to contract with reputable and licensed third-party vendors to undertake extensive preclinical characterization of target molecules on the Company’s behalf. These activities include, but are not limited to: the synthesis of such molecules as API at laboratory scale, the development and optimization of production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102235</wp:posOffset>
            </wp:positionV>
            <wp:extent cx="15398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164" w:lineRule="exact"/>
        <w:rPr>
          <w:sz w:val="20"/>
          <w:szCs w:val="20"/>
          <w:color w:val="auto"/>
        </w:rPr>
      </w:pPr>
    </w:p>
    <w:p>
      <w:pPr>
        <w:ind w:left="183" w:hanging="183"/>
        <w:spacing w:after="0"/>
        <w:tabs>
          <w:tab w:leader="none" w:pos="183"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11.</w:t>
      </w:r>
    </w:p>
    <w:p>
      <w:pPr>
        <w:spacing w:after="0" w:line="68" w:lineRule="exact"/>
        <w:rPr>
          <w:rFonts w:ascii="Times New Roman" w:cs="Times New Roman" w:eastAsia="Times New Roman" w:hAnsi="Times New Roman"/>
          <w:sz w:val="25"/>
          <w:szCs w:val="25"/>
          <w:color w:val="auto"/>
          <w:vertAlign w:val="superscript"/>
        </w:rPr>
      </w:pPr>
    </w:p>
    <w:p>
      <w:pPr>
        <w:ind w:left="183" w:hanging="183"/>
        <w:spacing w:after="0" w:line="181" w:lineRule="auto"/>
        <w:tabs>
          <w:tab w:leader="none" w:pos="183" w:val="left"/>
        </w:tabs>
        <w:numPr>
          <w:ilvl w:val="0"/>
          <w:numId w:val="2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See footnote 11.</w:t>
      </w:r>
    </w:p>
    <w:p>
      <w:pPr>
        <w:spacing w:after="0" w:line="56" w:lineRule="exact"/>
        <w:rPr>
          <w:rFonts w:ascii="Times New Roman" w:cs="Times New Roman" w:eastAsia="Times New Roman" w:hAnsi="Times New Roman"/>
          <w:sz w:val="20"/>
          <w:szCs w:val="20"/>
          <w:color w:val="auto"/>
          <w:vertAlign w:val="superscript"/>
        </w:rPr>
      </w:pPr>
    </w:p>
    <w:p>
      <w:pPr>
        <w:jc w:val="both"/>
        <w:ind w:left="3" w:right="20" w:hanging="3"/>
        <w:spacing w:after="0" w:line="210" w:lineRule="auto"/>
        <w:tabs>
          <w:tab w:leader="none" w:pos="178"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13.The Company had previously estimated that its actual and expected spend up to December 31, 2023 for this program would be $10,244. Anticipated spending regarding drug development is based on reasonable assumptions informed by current knowledge and information available to the Company.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 w:lineRule="exact"/>
        <w:rPr>
          <w:rFonts w:ascii="Times New Roman" w:cs="Times New Roman" w:eastAsia="Times New Roman" w:hAnsi="Times New Roman"/>
          <w:sz w:val="25"/>
          <w:szCs w:val="25"/>
          <w:color w:val="auto"/>
          <w:vertAlign w:val="superscript"/>
        </w:rPr>
      </w:pPr>
    </w:p>
    <w:p>
      <w:pPr>
        <w:ind w:left="183" w:hanging="183"/>
        <w:spacing w:after="0" w:line="182" w:lineRule="auto"/>
        <w:tabs>
          <w:tab w:leader="none" w:pos="183"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13.</w:t>
      </w:r>
    </w:p>
    <w:p>
      <w:pPr>
        <w:spacing w:after="0" w:line="57" w:lineRule="exact"/>
        <w:rPr>
          <w:rFonts w:ascii="Times New Roman" w:cs="Times New Roman" w:eastAsia="Times New Roman" w:hAnsi="Times New Roman"/>
          <w:sz w:val="25"/>
          <w:szCs w:val="25"/>
          <w:color w:val="auto"/>
          <w:vertAlign w:val="superscript"/>
        </w:rPr>
      </w:pPr>
    </w:p>
    <w:p>
      <w:pPr>
        <w:ind w:left="3" w:right="40" w:hanging="3"/>
        <w:spacing w:after="0" w:line="210" w:lineRule="auto"/>
        <w:tabs>
          <w:tab w:leader="none" w:pos="178"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This statement is based on the following material factors and assumptions: (a) the Company assumes it will enter into a contract with a licensed third-party vendor to undertake extensive preclinical characterization of target molecules on the Company’s behalf; (b) the Company anticipates to complete a number of animal models and the completion of ADME profiles; (c) the Company assumes to enter into third party agreements in order to complete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 and (d) obtain an IND and/or a CTA to enter into clinical trials.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w:t>
      </w:r>
    </w:p>
    <w:p>
      <w:pPr>
        <w:spacing w:after="0" w:line="200" w:lineRule="exact"/>
        <w:rPr>
          <w:sz w:val="20"/>
          <w:szCs w:val="20"/>
          <w:color w:val="auto"/>
        </w:rPr>
      </w:pPr>
    </w:p>
    <w:p>
      <w:pPr>
        <w:spacing w:after="0" w:line="347"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63"/>
          </w:cols>
          <w:pgMar w:left="317" w:top="697" w:right="319" w:bottom="1440" w:gutter="0" w:footer="0" w:header="0"/>
        </w:sectPr>
      </w:pPr>
    </w:p>
    <w:bookmarkStart w:id="38" w:name="page39"/>
    <w:bookmarkEnd w:id="38"/>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processes for such APIs, the development of stable formulations utilizing these APIs, the development and validation of analytical methods for such formulations, the scale up of API production processes beyond laboratory scale, suitable for entry into animal and human studies, studies of the stability of such formulations suitable for human studies, the development of Chemistry, Manufacturing and Controls to meet cGMP.</w:t>
      </w:r>
    </w:p>
    <w:p>
      <w:pPr>
        <w:spacing w:after="0" w:line="188"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In addition, utilizing the expertise of selected third parties, the Company intends to oversee the study of the PK profiles of its formulations in a number of animal models and the completion of Absorption, Distribution, Metabolism, and Excretion ("</w:t>
      </w:r>
      <w:r>
        <w:rPr>
          <w:rFonts w:ascii="Times New Roman" w:cs="Times New Roman" w:eastAsia="Times New Roman" w:hAnsi="Times New Roman"/>
          <w:sz w:val="18"/>
          <w:szCs w:val="18"/>
          <w:b w:val="1"/>
          <w:bCs w:val="1"/>
          <w:color w:val="auto"/>
        </w:rPr>
        <w:t>ADME</w:t>
      </w:r>
      <w:r>
        <w:rPr>
          <w:rFonts w:ascii="Times New Roman" w:cs="Times New Roman" w:eastAsia="Times New Roman" w:hAnsi="Times New Roman"/>
          <w:sz w:val="18"/>
          <w:szCs w:val="18"/>
          <w:color w:val="auto"/>
        </w:rPr>
        <w:t>") profiles. Further, the Company’s licensed third party vendors will be responsible for completing a range of additional preclinical programs including but not limited to dose-ranging studies in multiple animal species, toxicity studies in multiple animal species, genotoxicity studies, teratogenicity studies, along with neuropharmacological, pulmonary, and cardiovascular profiling, before the final selection of drug candidates for entry into human trials.</w:t>
      </w:r>
    </w:p>
    <w:p>
      <w:pPr>
        <w:spacing w:after="0" w:line="194"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The Company intends to complete these studies, and collect further relevant safety and toxicity data, prior to the filing for any IND application with the FDA, a CTA with Health Canada, or other similar application with regulatory bodies in other jurisdictions.</w:t>
      </w:r>
    </w:p>
    <w:p>
      <w:pPr>
        <w:spacing w:after="0" w:line="168"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As at December 31, 2022, the Company has spent approximately $703 on its preclinical Phenethylamine Derivatives Program since the beginning of the fiscal year.</w:t>
      </w:r>
    </w:p>
    <w:p>
      <w:pPr>
        <w:spacing w:after="0" w:line="180" w:lineRule="exact"/>
        <w:rPr>
          <w:sz w:val="20"/>
          <w:szCs w:val="20"/>
          <w:color w:val="auto"/>
        </w:rPr>
      </w:pPr>
    </w:p>
    <w:p>
      <w:pPr>
        <w:jc w:val="both"/>
        <w:ind w:left="3" w:right="20"/>
        <w:spacing w:after="0" w:line="266" w:lineRule="auto"/>
        <w:rPr>
          <w:sz w:val="20"/>
          <w:szCs w:val="20"/>
          <w:color w:val="auto"/>
        </w:rPr>
      </w:pPr>
      <w:r>
        <w:rPr>
          <w:rFonts w:ascii="Times New Roman" w:cs="Times New Roman" w:eastAsia="Times New Roman" w:hAnsi="Times New Roman"/>
          <w:sz w:val="18"/>
          <w:szCs w:val="18"/>
          <w:color w:val="auto"/>
        </w:rPr>
        <w:t>The Company is currently identifying a viable drug candidate and completing its assessment of the potential path forward for this candidate, including whether it will be developed internally or by way of potential third party partners. The Company anticipates that its phenethylamine program may deliver a drug candidate suitable for entry into clinical studies by the end of calendar 2023</w:t>
      </w:r>
      <w:r>
        <w:rPr>
          <w:rFonts w:ascii="Times New Roman" w:cs="Times New Roman" w:eastAsia="Times New Roman" w:hAnsi="Times New Roman"/>
          <w:sz w:val="23"/>
          <w:szCs w:val="23"/>
          <w:color w:val="auto"/>
          <w:vertAlign w:val="superscript"/>
        </w:rPr>
        <w:t>21</w:t>
      </w:r>
      <w:r>
        <w:rPr>
          <w:rFonts w:ascii="Times New Roman" w:cs="Times New Roman" w:eastAsia="Times New Roman" w:hAnsi="Times New Roman"/>
          <w:sz w:val="18"/>
          <w:szCs w:val="18"/>
          <w:color w:val="auto"/>
        </w:rPr>
        <w:t>.</w:t>
      </w:r>
    </w:p>
    <w:p>
      <w:pPr>
        <w:spacing w:after="0" w:line="109" w:lineRule="exact"/>
        <w:rPr>
          <w:sz w:val="20"/>
          <w:szCs w:val="20"/>
          <w:color w:val="auto"/>
        </w:rPr>
      </w:pPr>
    </w:p>
    <w:p>
      <w:pPr>
        <w:jc w:val="both"/>
        <w:ind w:left="3" w:right="20"/>
        <w:spacing w:after="0" w:line="229" w:lineRule="auto"/>
        <w:rPr>
          <w:sz w:val="20"/>
          <w:szCs w:val="20"/>
          <w:color w:val="auto"/>
        </w:rPr>
      </w:pPr>
      <w:r>
        <w:rPr>
          <w:rFonts w:ascii="Times New Roman" w:cs="Times New Roman" w:eastAsia="Times New Roman" w:hAnsi="Times New Roman"/>
          <w:sz w:val="18"/>
          <w:szCs w:val="18"/>
          <w:color w:val="auto"/>
        </w:rPr>
        <w:t>The Company expects to spend approximately $1,283</w:t>
      </w:r>
      <w:r>
        <w:rPr>
          <w:rFonts w:ascii="Times New Roman" w:cs="Times New Roman" w:eastAsia="Times New Roman" w:hAnsi="Times New Roman"/>
          <w:sz w:val="23"/>
          <w:szCs w:val="23"/>
          <w:color w:val="auto"/>
          <w:vertAlign w:val="superscript"/>
        </w:rPr>
        <w:t>22</w:t>
      </w:r>
      <w:r>
        <w:rPr>
          <w:rFonts w:ascii="Times New Roman" w:cs="Times New Roman" w:eastAsia="Times New Roman" w:hAnsi="Times New Roman"/>
          <w:sz w:val="18"/>
          <w:szCs w:val="18"/>
          <w:color w:val="auto"/>
        </w:rPr>
        <w:t xml:space="preserve"> to complete preclinical development of a phenethylamine drug candidate by September 30, 2023. The Company intends to continue funding the Phenethylamine Derivatives Program (CYB005) Program.</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Technology Programs</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Digital Therapy Platform</w:t>
      </w:r>
    </w:p>
    <w:p>
      <w:pPr>
        <w:spacing w:after="0" w:line="23" w:lineRule="exact"/>
        <w:rPr>
          <w:sz w:val="20"/>
          <w:szCs w:val="20"/>
          <w:color w:val="auto"/>
        </w:rPr>
      </w:pPr>
    </w:p>
    <w:p>
      <w:pPr>
        <w:jc w:val="both"/>
        <w:ind w:left="3" w:right="20"/>
        <w:spacing w:after="0" w:line="256" w:lineRule="auto"/>
        <w:rPr>
          <w:sz w:val="20"/>
          <w:szCs w:val="20"/>
          <w:color w:val="auto"/>
        </w:rPr>
      </w:pPr>
      <w:r>
        <w:rPr>
          <w:rFonts w:ascii="Times New Roman" w:cs="Times New Roman" w:eastAsia="Times New Roman" w:hAnsi="Times New Roman"/>
          <w:sz w:val="18"/>
          <w:szCs w:val="18"/>
          <w:color w:val="auto"/>
        </w:rPr>
        <w:t>The Company has been working on the creation of a patient digital therapy platform (the “</w:t>
      </w:r>
      <w:r>
        <w:rPr>
          <w:rFonts w:ascii="Times New Roman" w:cs="Times New Roman" w:eastAsia="Times New Roman" w:hAnsi="Times New Roman"/>
          <w:sz w:val="18"/>
          <w:szCs w:val="18"/>
          <w:b w:val="1"/>
          <w:bCs w:val="1"/>
          <w:color w:val="auto"/>
        </w:rPr>
        <w:t>Digital Platform</w:t>
      </w:r>
      <w:r>
        <w:rPr>
          <w:rFonts w:ascii="Times New Roman" w:cs="Times New Roman" w:eastAsia="Times New Roman" w:hAnsi="Times New Roman"/>
          <w:sz w:val="18"/>
          <w:szCs w:val="18"/>
          <w:color w:val="auto"/>
        </w:rPr>
        <w:t>”). The Digital Platform is envisioned to help patients undergoing psychedelic therapies to memorialize the learning from their treatment sessions and to assist with the integration of such learnings into the patient’s psychotherapy program.</w:t>
      </w:r>
    </w:p>
    <w:p>
      <w:pPr>
        <w:spacing w:after="0" w:line="154" w:lineRule="exact"/>
        <w:rPr>
          <w:sz w:val="20"/>
          <w:szCs w:val="20"/>
          <w:color w:val="auto"/>
        </w:rPr>
      </w:pPr>
    </w:p>
    <w:p>
      <w:pPr>
        <w:jc w:val="both"/>
        <w:ind w:left="3"/>
        <w:spacing w:after="0" w:line="260" w:lineRule="auto"/>
        <w:rPr>
          <w:sz w:val="20"/>
          <w:szCs w:val="20"/>
          <w:color w:val="auto"/>
        </w:rPr>
      </w:pPr>
      <w:r>
        <w:rPr>
          <w:rFonts w:ascii="Times New Roman" w:cs="Times New Roman" w:eastAsia="Times New Roman" w:hAnsi="Times New Roman"/>
          <w:sz w:val="18"/>
          <w:szCs w:val="18"/>
          <w:color w:val="auto"/>
        </w:rPr>
        <w:t>The Company’s digital therapy platform technology is designed to better enable the evaluation of patient outcomes through a highly secure, patient-centered data analytics platform for better pre- and post-psychedelic treatments. The digital therapy platform is proprietary to Cybin and the subject of one of the Company’s patent applications.</w:t>
      </w:r>
    </w:p>
    <w:p>
      <w:pPr>
        <w:spacing w:after="0" w:line="188"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Proof-of-concept testing for the Company's Digital Platform was completed in Q2 2022. The Company is currently evaluating paths forward for its Digital Platform program.</w:t>
      </w:r>
    </w:p>
    <w:p>
      <w:pPr>
        <w:spacing w:after="0" w:line="164"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Kernel Collaboration</w:t>
      </w:r>
    </w:p>
    <w:p>
      <w:pPr>
        <w:spacing w:after="0" w:line="29"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On January 11, 2021, the Company announced that it entered into an agreement with HI, LLC dba Kernel (“</w:t>
      </w:r>
      <w:r>
        <w:rPr>
          <w:rFonts w:ascii="Times New Roman" w:cs="Times New Roman" w:eastAsia="Times New Roman" w:hAnsi="Times New Roman"/>
          <w:sz w:val="18"/>
          <w:szCs w:val="18"/>
          <w:b w:val="1"/>
          <w:bCs w:val="1"/>
          <w:color w:val="auto"/>
        </w:rPr>
        <w:t>Kernel</w:t>
      </w:r>
      <w:r>
        <w:rPr>
          <w:rFonts w:ascii="Times New Roman" w:cs="Times New Roman" w:eastAsia="Times New Roman" w:hAnsi="Times New Roman"/>
          <w:sz w:val="18"/>
          <w:szCs w:val="18"/>
          <w:color w:val="auto"/>
        </w:rPr>
        <w:t>”) that will enable the Company to use the Kernel Flow technology (</w:t>
      </w:r>
      <w:r>
        <w:rPr>
          <w:rFonts w:ascii="Times New Roman" w:cs="Times New Roman" w:eastAsia="Times New Roman" w:hAnsi="Times New Roman"/>
          <w:sz w:val="18"/>
          <w:szCs w:val="18"/>
          <w:b w:val="1"/>
          <w:bCs w:val="1"/>
          <w:color w:val="auto"/>
        </w:rPr>
        <w:t>"Flow"</w:t>
      </w:r>
      <w:r>
        <w:rPr>
          <w:rFonts w:ascii="Times New Roman" w:cs="Times New Roman" w:eastAsia="Times New Roman" w:hAnsi="Times New Roman"/>
          <w:sz w:val="18"/>
          <w:szCs w:val="18"/>
          <w:color w:val="auto"/>
        </w:rPr>
        <w:t>) to potentially measure neural activity during psychedelic therapy.</w:t>
      </w:r>
    </w:p>
    <w:p>
      <w:pPr>
        <w:spacing w:after="0" w:line="170" w:lineRule="exact"/>
        <w:rPr>
          <w:sz w:val="20"/>
          <w:szCs w:val="20"/>
          <w:color w:val="auto"/>
        </w:rPr>
      </w:pPr>
    </w:p>
    <w:p>
      <w:pPr>
        <w:jc w:val="both"/>
        <w:ind w:left="3" w:right="20"/>
        <w:spacing w:after="0" w:line="260" w:lineRule="auto"/>
        <w:rPr>
          <w:sz w:val="20"/>
          <w:szCs w:val="20"/>
          <w:color w:val="auto"/>
        </w:rPr>
      </w:pPr>
      <w:r>
        <w:rPr>
          <w:rFonts w:ascii="Times New Roman" w:cs="Times New Roman" w:eastAsia="Times New Roman" w:hAnsi="Times New Roman"/>
          <w:sz w:val="18"/>
          <w:szCs w:val="18"/>
          <w:color w:val="auto"/>
        </w:rPr>
        <w:t>On October 26, 2021, the Company announced that the FDA had authorized an IND application to proceed with a Cybin-sponsored feasibility study using Flow to measure ketamine’s psychedelic effect on cerebral cortex hemodynamics. On January 11, 2022, the Company announced that the IRB had approved the feasibility study. On May 9, 2022, the Company and Kernel announced results from the piloting of the feasibility study. The preliminary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117475</wp:posOffset>
            </wp:positionV>
            <wp:extent cx="1539875"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ind w:left="183" w:hanging="183"/>
        <w:spacing w:after="0"/>
        <w:tabs>
          <w:tab w:leader="none" w:pos="183" w:val="left"/>
        </w:tabs>
        <w:numPr>
          <w:ilvl w:val="0"/>
          <w:numId w:val="2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See footnote 11.</w:t>
      </w:r>
    </w:p>
    <w:p>
      <w:pPr>
        <w:spacing w:after="0" w:line="56" w:lineRule="exact"/>
        <w:rPr>
          <w:rFonts w:ascii="Times New Roman" w:cs="Times New Roman" w:eastAsia="Times New Roman" w:hAnsi="Times New Roman"/>
          <w:sz w:val="25"/>
          <w:szCs w:val="25"/>
          <w:color w:val="auto"/>
          <w:vertAlign w:val="superscript"/>
        </w:rPr>
      </w:pPr>
    </w:p>
    <w:p>
      <w:pPr>
        <w:ind w:left="183" w:hanging="183"/>
        <w:spacing w:after="0" w:line="181" w:lineRule="auto"/>
        <w:tabs>
          <w:tab w:leader="none" w:pos="183" w:val="left"/>
        </w:tabs>
        <w:numPr>
          <w:ilvl w:val="0"/>
          <w:numId w:val="2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See footnote 13.</w:t>
      </w:r>
    </w:p>
    <w:p>
      <w:pPr>
        <w:spacing w:after="0" w:line="200" w:lineRule="exact"/>
        <w:rPr>
          <w:sz w:val="20"/>
          <w:szCs w:val="20"/>
          <w:color w:val="auto"/>
        </w:rPr>
      </w:pPr>
    </w:p>
    <w:p>
      <w:pPr>
        <w:spacing w:after="0" w:line="35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63"/>
          </w:cols>
          <w:pgMar w:left="317" w:top="701" w:right="319" w:bottom="1440" w:gutter="0" w:footer="0" w:header="0"/>
        </w:sectPr>
      </w:pPr>
    </w:p>
    <w:bookmarkStart w:id="39" w:name="page40"/>
    <w:bookmarkEnd w:id="39"/>
    <w:p>
      <w:pPr>
        <w:jc w:val="both"/>
        <w:ind w:left="3" w:right="20"/>
        <w:spacing w:after="0" w:line="229" w:lineRule="auto"/>
        <w:rPr>
          <w:sz w:val="20"/>
          <w:szCs w:val="20"/>
          <w:color w:val="auto"/>
        </w:rPr>
      </w:pPr>
      <w:r>
        <w:rPr>
          <w:rFonts w:ascii="Times New Roman" w:cs="Times New Roman" w:eastAsia="Times New Roman" w:hAnsi="Times New Roman"/>
          <w:sz w:val="18"/>
          <w:szCs w:val="18"/>
          <w:color w:val="auto"/>
        </w:rPr>
        <w:t>data confirmed Flow's ability to successfully measure neuro-effect of ketamine over 10 days.</w:t>
      </w:r>
      <w:r>
        <w:rPr>
          <w:rFonts w:ascii="Times New Roman" w:cs="Times New Roman" w:eastAsia="Times New Roman" w:hAnsi="Times New Roman"/>
          <w:sz w:val="23"/>
          <w:szCs w:val="23"/>
          <w:color w:val="auto"/>
          <w:vertAlign w:val="superscript"/>
        </w:rPr>
        <w:t>23</w:t>
      </w:r>
      <w:r>
        <w:rPr>
          <w:rFonts w:ascii="Times New Roman" w:cs="Times New Roman" w:eastAsia="Times New Roman" w:hAnsi="Times New Roman"/>
          <w:sz w:val="18"/>
          <w:szCs w:val="18"/>
          <w:color w:val="auto"/>
        </w:rPr>
        <w:t xml:space="preserve"> The Company completed its feasibility study sponsorship utilizing Flow in Q3 2022.</w:t>
      </w:r>
    </w:p>
    <w:p>
      <w:pPr>
        <w:spacing w:after="0" w:line="169"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Flow's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pulse rate ("PR") and pulse rate variability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Results from the study are intended to inform the next steps forward for this program.</w:t>
      </w:r>
    </w:p>
    <w:p>
      <w:pPr>
        <w:spacing w:after="0" w:line="22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About the Phase 1 Kernel Flow Feasibility Study</w:t>
      </w:r>
    </w:p>
    <w:p>
      <w:pPr>
        <w:spacing w:after="0" w:line="234" w:lineRule="exact"/>
        <w:rPr>
          <w:sz w:val="20"/>
          <w:szCs w:val="20"/>
          <w:color w:val="auto"/>
        </w:rPr>
      </w:pPr>
    </w:p>
    <w:p>
      <w:pPr>
        <w:jc w:val="both"/>
        <w:ind w:left="3" w:right="20"/>
        <w:spacing w:after="0" w:line="253" w:lineRule="auto"/>
        <w:rPr>
          <w:sz w:val="20"/>
          <w:szCs w:val="20"/>
          <w:color w:val="auto"/>
        </w:rPr>
      </w:pPr>
      <w:r>
        <w:rPr>
          <w:rFonts w:ascii="Times New Roman" w:cs="Times New Roman" w:eastAsia="Times New Roman" w:hAnsi="Times New Roman"/>
          <w:sz w:val="18"/>
          <w:szCs w:val="18"/>
          <w:color w:val="auto"/>
        </w:rPr>
        <w:t>The feasibility study was a single-blind, placebo-controlled, non-randomized design with participants completing study visits roughly once a week for four weeks. The four study visits were always conducted in the same order: a screening visit, two dosing visits, and a follow-up phone call. Dosing visits were always placebo (saline, 0.9% NaCl) first and ketamine second, with the ketamine visit occurring one week (7.1±0.5 days, mean ±standard deviation) after the saline visit. Ketamine and saline were administered via bolus intramuscular injection (deltoid muscle). Ketamine dosing was based on participant weight with a target of 0.75 mg/kg, up to the maximum dose of 60 mg. Two participants were administered the maximum dose. Participants included 15 healthy individuals who met eligibility criteria and consented to participation in the study. There were eight females and seven males, all 24-48 years old.</w:t>
      </w:r>
    </w:p>
    <w:p>
      <w:pPr>
        <w:spacing w:after="0" w:line="195" w:lineRule="exact"/>
        <w:rPr>
          <w:sz w:val="20"/>
          <w:szCs w:val="20"/>
          <w:color w:val="auto"/>
        </w:rPr>
      </w:pPr>
    </w:p>
    <w:p>
      <w:pPr>
        <w:jc w:val="both"/>
        <w:ind w:left="3"/>
        <w:spacing w:after="0" w:line="282" w:lineRule="auto"/>
        <w:rPr>
          <w:sz w:val="20"/>
          <w:szCs w:val="20"/>
          <w:color w:val="auto"/>
        </w:rPr>
      </w:pPr>
      <w:r>
        <w:rPr>
          <w:rFonts w:ascii="Times New Roman" w:cs="Times New Roman" w:eastAsia="Times New Roman" w:hAnsi="Times New Roman"/>
          <w:sz w:val="18"/>
          <w:szCs w:val="18"/>
          <w:color w:val="auto"/>
        </w:rPr>
        <w:t>The main objective of the feasibility study was to evaluate a participant’s experience wearing Flow while in an altered state of consciousness following the administration of ketamine.</w:t>
      </w:r>
    </w:p>
    <w:p>
      <w:pPr>
        <w:spacing w:after="0" w:line="168"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As part of Cybin’s sponsorship of the feasibility study, the Company will retain an exclusive interest in any innovations that are discovered or developed through its independent analysis of the study findings.</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As at December 31, 2022, the Company has spent approximately $493 on its technology programs since the beginning of the fiscal year.</w:t>
      </w:r>
    </w:p>
    <w:p>
      <w:pPr>
        <w:spacing w:after="0" w:line="20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Relationships with Third Parties</w:t>
      </w:r>
    </w:p>
    <w:p>
      <w:pPr>
        <w:spacing w:after="0" w:line="209" w:lineRule="exact"/>
        <w:rPr>
          <w:sz w:val="20"/>
          <w:szCs w:val="20"/>
          <w:color w:val="auto"/>
        </w:rPr>
      </w:pPr>
    </w:p>
    <w:p>
      <w:pPr>
        <w:jc w:val="both"/>
        <w:ind w:left="3" w:right="20"/>
        <w:spacing w:after="0" w:line="268" w:lineRule="auto"/>
        <w:rPr>
          <w:sz w:val="20"/>
          <w:szCs w:val="20"/>
          <w:color w:val="auto"/>
        </w:rPr>
      </w:pPr>
      <w:r>
        <w:rPr>
          <w:rFonts w:ascii="Times New Roman" w:cs="Times New Roman" w:eastAsia="Times New Roman" w:hAnsi="Times New Roman"/>
          <w:sz w:val="18"/>
          <w:szCs w:val="18"/>
          <w:color w:val="auto"/>
        </w:rPr>
        <w:t>The Company’s research and development of its psychedelic pharmaceutical products is conducted by way of licensed partners. The Company also intends to sponsor clinical and other studies at various clinical trial sites.</w:t>
      </w:r>
    </w:p>
    <w:p>
      <w:pPr>
        <w:spacing w:after="0" w:line="15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University of Washington</w:t>
      </w:r>
    </w:p>
    <w:p>
      <w:pPr>
        <w:spacing w:after="0" w:line="29"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As of the date of this MD&amp;A, the Company and the University of Washington are co-sponsoring a randomized, placebo-controlled clinical trial of psychedelic-assisted psychotherapy with psilocybin, utilizing the Company's EMBARK psychological support model, for frontline clinicians experiencing COVID-19 related distress.</w:t>
      </w:r>
    </w:p>
    <w:p>
      <w:pPr>
        <w:spacing w:after="0" w:line="1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Greenbrook TMS</w:t>
      </w:r>
    </w:p>
    <w:p>
      <w:pPr>
        <w:spacing w:after="0" w:line="29"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On July 6, 2021, the Company entered into a collaboration agreement with Greenbrook TMS to establish mental health centers of excellence for the purpose of facilitating research and development of innovative psychedelic compound-based therapeutics for patients suffering from depression.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382905</wp:posOffset>
            </wp:positionV>
            <wp:extent cx="1539875"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ind w:left="3" w:hanging="3"/>
        <w:spacing w:after="0" w:line="231" w:lineRule="auto"/>
        <w:tabs>
          <w:tab w:leader="none" w:pos="139" w:val="left"/>
        </w:tabs>
        <w:numPr>
          <w:ilvl w:val="0"/>
          <w:numId w:val="3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Preliminary data from the piloting suggested that ketamine-induced changes in functional connectivity persisted for several days after administration. Flow successfully measured the neuro-effect of ketamine over 11 days (baseline at Days 1-5, dosing at Day 6, follow-up at Days 7-11), and confirmed changes in functional connectivity that are consistent with current scientific research (</w:t>
      </w:r>
      <w:r>
        <w:rPr>
          <w:rFonts w:ascii="Times New Roman" w:cs="Times New Roman" w:eastAsia="Times New Roman" w:hAnsi="Times New Roman"/>
          <w:sz w:val="15"/>
          <w:szCs w:val="15"/>
          <w:i w:val="1"/>
          <w:iCs w:val="1"/>
          <w:color w:val="auto"/>
        </w:rPr>
        <w:t>Scheidegger et al 2012; Zacharias et al 2019; Li et al 2022</w:t>
      </w:r>
      <w:r>
        <w:rPr>
          <w:rFonts w:ascii="Times New Roman" w:cs="Times New Roman" w:eastAsia="Times New Roman" w:hAnsi="Times New Roman"/>
          <w:sz w:val="15"/>
          <w:szCs w:val="15"/>
          <w:color w:val="auto"/>
        </w:rPr>
        <w:t>). The piloting was conducted to ensure the efficiency of the feasibility study design. Participants in the pilot received either a low dose of ketamine and/or a placebo while wearing the Flow headset.</w:t>
      </w:r>
    </w:p>
    <w:p>
      <w:pPr>
        <w:spacing w:after="0" w:line="200" w:lineRule="exact"/>
        <w:rPr>
          <w:sz w:val="20"/>
          <w:szCs w:val="20"/>
          <w:color w:val="auto"/>
        </w:rPr>
      </w:pPr>
    </w:p>
    <w:p>
      <w:pPr>
        <w:spacing w:after="0" w:line="344"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63"/>
          </w:cols>
          <w:pgMar w:left="317" w:top="701" w:right="319" w:bottom="1440" w:gutter="0" w:footer="0" w:header="0"/>
        </w:sectPr>
      </w:pPr>
    </w:p>
    <w:bookmarkStart w:id="40" w:name="page41"/>
    <w:bookmarkEnd w:id="40"/>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Clinilabs Drug Development Corporation</w:t>
      </w:r>
    </w:p>
    <w:p>
      <w:pPr>
        <w:spacing w:after="0" w:line="29" w:lineRule="exact"/>
        <w:rPr>
          <w:sz w:val="20"/>
          <w:szCs w:val="20"/>
          <w:color w:val="auto"/>
        </w:rPr>
      </w:pPr>
    </w:p>
    <w:p>
      <w:pPr>
        <w:jc w:val="both"/>
        <w:ind w:left="3"/>
        <w:spacing w:after="0" w:line="252" w:lineRule="auto"/>
        <w:rPr>
          <w:sz w:val="20"/>
          <w:szCs w:val="20"/>
          <w:color w:val="auto"/>
        </w:rPr>
      </w:pPr>
      <w:r>
        <w:rPr>
          <w:rFonts w:ascii="Times New Roman" w:cs="Times New Roman" w:eastAsia="Times New Roman" w:hAnsi="Times New Roman"/>
          <w:sz w:val="18"/>
          <w:szCs w:val="18"/>
          <w:color w:val="auto"/>
        </w:rPr>
        <w:t>On April 21, 2022, the Company announced that it had partnered with Clinilabs, a global, full-service contract research organization with deep expertise in central nervous system drug development, to carry out the Company’s Phase 1/2a clinical trial of CYB003, its proprietary deuterated psilocybin analog. CYB003 is the first psilocybin analog to be evaluated in Phase 1/2a development for the treatment of MDD.</w:t>
      </w:r>
    </w:p>
    <w:p>
      <w:pPr>
        <w:spacing w:after="0" w:line="191"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Entheon Biomedical Corp.</w:t>
      </w:r>
    </w:p>
    <w:p>
      <w:pPr>
        <w:spacing w:after="0" w:line="29"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On July 11, 2022, the Company completed the acquisition of a Phase 1 DMT study from Entheon. As part of the Asset Acquisition, Entheon assigned its rights under the Master Services Agreement between Entheon and Centre For Human Drug Research (“</w:t>
      </w:r>
      <w:r>
        <w:rPr>
          <w:rFonts w:ascii="Times New Roman" w:cs="Times New Roman" w:eastAsia="Times New Roman" w:hAnsi="Times New Roman"/>
          <w:sz w:val="18"/>
          <w:szCs w:val="18"/>
          <w:b w:val="1"/>
          <w:bCs w:val="1"/>
          <w:color w:val="auto"/>
        </w:rPr>
        <w:t>CHDR</w:t>
      </w:r>
      <w:r>
        <w:rPr>
          <w:rFonts w:ascii="Times New Roman" w:cs="Times New Roman" w:eastAsia="Times New Roman" w:hAnsi="Times New Roman"/>
          <w:sz w:val="18"/>
          <w:szCs w:val="18"/>
          <w:color w:val="auto"/>
        </w:rPr>
        <w:t>”) to the Company. The Company now maintains a direct contractual relationship with CHDR to conduct the CYB004-E trial. CHDR is an independent institute in the Netherlands specializing in innovative early-stage clinical drug research.</w:t>
      </w:r>
    </w:p>
    <w:p>
      <w:pPr>
        <w:spacing w:after="0" w:line="18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Mindset Pharma Inc.</w:t>
      </w:r>
    </w:p>
    <w:p>
      <w:pPr>
        <w:spacing w:after="0" w:line="29" w:lineRule="exact"/>
        <w:rPr>
          <w:sz w:val="20"/>
          <w:szCs w:val="20"/>
          <w:color w:val="auto"/>
        </w:rPr>
      </w:pPr>
    </w:p>
    <w:p>
      <w:pPr>
        <w:jc w:val="both"/>
        <w:ind w:left="3"/>
        <w:spacing w:after="0" w:line="250" w:lineRule="auto"/>
        <w:rPr>
          <w:sz w:val="20"/>
          <w:szCs w:val="20"/>
          <w:color w:val="auto"/>
        </w:rPr>
      </w:pPr>
      <w:r>
        <w:rPr>
          <w:rFonts w:ascii="Times New Roman" w:cs="Times New Roman" w:eastAsia="Times New Roman" w:hAnsi="Times New Roman"/>
          <w:sz w:val="18"/>
          <w:szCs w:val="18"/>
          <w:color w:val="auto"/>
        </w:rPr>
        <w:t>On September 27, 2022, the Company entered into an agreement, as amended, with Mindset Pharma Inc. (“</w:t>
      </w:r>
      <w:r>
        <w:rPr>
          <w:rFonts w:ascii="Times New Roman" w:cs="Times New Roman" w:eastAsia="Times New Roman" w:hAnsi="Times New Roman"/>
          <w:sz w:val="18"/>
          <w:szCs w:val="18"/>
          <w:b w:val="1"/>
          <w:bCs w:val="1"/>
          <w:color w:val="auto"/>
        </w:rPr>
        <w:t>Mindset</w:t>
      </w:r>
      <w:r>
        <w:rPr>
          <w:rFonts w:ascii="Times New Roman" w:cs="Times New Roman" w:eastAsia="Times New Roman" w:hAnsi="Times New Roman"/>
          <w:sz w:val="18"/>
          <w:szCs w:val="18"/>
          <w:color w:val="auto"/>
        </w:rPr>
        <w:t>”) to acquire an exclusive license to an extensive targeted class of tryptamine-based molecules. The agreement includes an initial license fee payment by Cybin to Mindset of US$500 as well as additional clinical development milestone payments of up to US$9,500, with the first milestone payment, in the amount of US$500, payable upon completion of a Phase 1 clinical trial. At the sole discretion of Cybin, the milestones may be paid in cash or in Common Shares, or a combination thereof, subject to the approval of the Neo Exchange Inc. There is no assurance that the aforementioned milestones will be met.The agreement also contemplates a sales royalty of approximately 2% for all commercialized licensed products within the scope of the agreement, which is customary for drug licensing agreements of this nature.</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i w:val="1"/>
          <w:iCs w:val="1"/>
          <w:color w:val="auto"/>
        </w:rPr>
        <w:t>Other Third-Party Partners</w:t>
      </w:r>
    </w:p>
    <w:p>
      <w:pPr>
        <w:spacing w:after="0" w:line="23" w:lineRule="exact"/>
        <w:rPr>
          <w:sz w:val="20"/>
          <w:szCs w:val="20"/>
          <w:color w:val="auto"/>
        </w:rPr>
      </w:pPr>
    </w:p>
    <w:p>
      <w:pPr>
        <w:jc w:val="both"/>
        <w:ind w:left="3" w:right="20"/>
        <w:spacing w:after="0" w:line="236" w:lineRule="auto"/>
        <w:rPr>
          <w:sz w:val="20"/>
          <w:szCs w:val="20"/>
          <w:color w:val="auto"/>
        </w:rPr>
      </w:pPr>
      <w:r>
        <w:rPr>
          <w:rFonts w:ascii="Times New Roman" w:cs="Times New Roman" w:eastAsia="Times New Roman" w:hAnsi="Times New Roman"/>
          <w:sz w:val="18"/>
          <w:szCs w:val="18"/>
          <w:color w:val="auto"/>
        </w:rPr>
        <w:t>The Company has established contractual sources of synthetic GMP (as defined below) and non-GMP raw materials to support its development operations through licensed third-party suppliers located in Canada, the United States, the UK and Europe. Such raw materials are expected to be, in general, readily available and in adequate supply to meet the Company’s need for development quantities, or custom manufactured on the Company’s behalf.</w:t>
      </w:r>
      <w:r>
        <w:rPr>
          <w:rFonts w:ascii="Times New Roman" w:cs="Times New Roman" w:eastAsia="Times New Roman" w:hAnsi="Times New Roman"/>
          <w:sz w:val="23"/>
          <w:szCs w:val="23"/>
          <w:color w:val="auto"/>
          <w:vertAlign w:val="superscript"/>
        </w:rPr>
        <w:t>24</w:t>
      </w:r>
      <w:r>
        <w:rPr>
          <w:rFonts w:ascii="Times New Roman" w:cs="Times New Roman" w:eastAsia="Times New Roman" w:hAnsi="Times New Roman"/>
          <w:sz w:val="18"/>
          <w:szCs w:val="18"/>
          <w:color w:val="auto"/>
        </w:rPr>
        <w:t xml:space="preserve"> The prices of research quantities of psilocybin and novel psychedelic compounds are generally higher than commercial supply prices at significantly larger scale and the Company, therefore, expects its supply prices to reduce over time. Development and production of the Company’s proprietary novel compounds is performed under confidential contractual agreements.</w:t>
      </w:r>
    </w:p>
    <w:p>
      <w:pPr>
        <w:spacing w:after="0" w:line="206"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The Company has conducted due diligence on each such third party, including but not limited to the review of necessary licences and the regulatory framework enacted in the jurisdiction of operation.</w:t>
      </w:r>
    </w:p>
    <w:p>
      <w:pPr>
        <w:spacing w:after="0" w:line="132"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The allocation of capital towards the Company’s ongoing projects and programs is largely dependent on the success, or difficulties encountered, in any particular portion of the process and therefore the time involved in completing it; in turn the time and costs associated with completing each step are highly dependent on the incremental results of each step and the results of other programs, and the Company’s need to be flexible to rapidly reallocate capital to projects whose results show the greatest potential. As such, it is difficult for the Company to anticipate the timing and costs associated with taking the projects to their next planned stage, and the Company cannot make assurances that the foregoing estimates will prove to be accurate, as actual results and future events could differ materially from those anticipated. Accordingly, investors are cautioned not to put undue reliance on the foregoing estimates.</w:t>
      </w:r>
    </w:p>
    <w:p>
      <w:pPr>
        <w:spacing w:after="0" w:line="195" w:lineRule="exact"/>
        <w:rPr>
          <w:sz w:val="20"/>
          <w:szCs w:val="20"/>
          <w:color w:val="auto"/>
        </w:rPr>
      </w:pPr>
    </w:p>
    <w:p>
      <w:pPr>
        <w:jc w:val="both"/>
        <w:ind w:left="3"/>
        <w:spacing w:after="0" w:line="253" w:lineRule="auto"/>
        <w:rPr>
          <w:sz w:val="20"/>
          <w:szCs w:val="20"/>
          <w:color w:val="auto"/>
        </w:rPr>
      </w:pPr>
      <w:r>
        <w:rPr>
          <w:rFonts w:ascii="Times New Roman" w:cs="Times New Roman" w:eastAsia="Times New Roman" w:hAnsi="Times New Roman"/>
          <w:sz w:val="18"/>
          <w:szCs w:val="18"/>
          <w:color w:val="auto"/>
        </w:rPr>
        <w:t>Moreover, identifying the timing and costs of such projects beyond their immediate next steps go to the core differentiating factors with respect to the Company and its competitors. The disclosure of prospective costs and timing other than as already disclosed by the Company would negatively impact shareholder value and undermine the Company’s proprietary technology. In keeping with pharmaceutical industry practice, it is the Company’s policy to disclose these details in conjunction with its financial statements, and to publicly disclose published patent applications, published scientific papers, scientific symposia and the attainment of key milestones only. In addition, the premature disclosure of proprietary data would have a material and adverse effect on the Company’s patent and other intellectual property rights and could result in the breach of confidentiality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236855</wp:posOffset>
            </wp:positionV>
            <wp:extent cx="1539875"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ind w:left="3" w:hanging="3"/>
        <w:spacing w:after="0" w:line="204" w:lineRule="auto"/>
        <w:tabs>
          <w:tab w:leader="none" w:pos="179" w:val="left"/>
        </w:tabs>
        <w:numPr>
          <w:ilvl w:val="0"/>
          <w:numId w:val="3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At this time the Company has not entered into commercial supply agreements and has no control over price or conditions. The Company has assumed that it will be able to enter into commercial supply agreements at such a time when there will be sufficient competition in the market which will render prices reasonable.</w:t>
      </w:r>
    </w:p>
    <w:p>
      <w:pPr>
        <w:spacing w:after="0" w:line="200" w:lineRule="exact"/>
        <w:rPr>
          <w:sz w:val="20"/>
          <w:szCs w:val="20"/>
          <w:color w:val="auto"/>
        </w:rPr>
      </w:pPr>
    </w:p>
    <w:p>
      <w:pPr>
        <w:spacing w:after="0" w:line="342"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63"/>
          </w:cols>
          <w:pgMar w:left="317" w:top="697" w:right="319" w:bottom="1440" w:gutter="0" w:footer="0" w:header="0"/>
        </w:sectPr>
      </w:pPr>
    </w:p>
    <w:bookmarkStart w:id="41" w:name="page42"/>
    <w:bookmarkEnd w:id="41"/>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The material factors or assumptions used to develop the estimated costs disclosed above are included in the “Cautionary Note Regarding Forward-Looking Information” section above. The actual amount that the Company spends in connection with each of the intended uses of proceeds will depend on a number of factors, including those listed under “Risk Factors” in this MD&amp;A or unforeseen events.</w:t>
      </w:r>
    </w:p>
    <w:p>
      <w:pPr>
        <w:spacing w:after="0" w:line="18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Other than as described in the AIF and herein, to the knowledge of management, there are no other particular significant events or milestones that must occur for the Company’s initial business objectives in the next 12 months to be accomplished. However, there is no guarantee that the Company will meet its business objectives or milestones described above within the specific time periods, within the estimated costs or at all. The Company may, for sound business reasons, reallocate its time or capital resources, or both, differently than as described above.</w:t>
      </w:r>
    </w:p>
    <w:p>
      <w:pPr>
        <w:spacing w:after="0" w:line="17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9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Certain COVID-19 related risks could delay or slow the implementation of the planned objectives resulting in additional costs for the Company to achieve its business objectives. The extent to which COVID-19 may impact the Company business activities will depend on future developments, such as the ultimate geographic spread of the disease, the duration of the outbreak, travel restrictions, business disruptions, and the effectiveness of actions taken in Canada, the United States, and other countries to contain and treat the disease. As these events are highly uncertain and the Company cannot determine their potential impact on operations at this time. The COVID-19 pandemic may negatively impact the Company’s business through disruption of supply and manufacturing, which would influence the amount and timing of planned expenditure. For example, prolonged disruptions in the supply of goods and services relied on by the Company to develop its products or restrictions resulting from government regulations that impact the Company ability to conduct its studies and clinic trials, may adversely impact the Company’s business.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w:t>
      </w:r>
    </w:p>
    <w:p>
      <w:pPr>
        <w:spacing w:after="0" w:line="19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Cybin has title to one granted US patent related to the Company’s investigational deuterated DMT compound CYB004. The patent covers composition of matter and protects the CYB004 drug substance, a putative new chemical entity.</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Patent Number</w:t>
            </w:r>
          </w:p>
        </w:tc>
        <w:tc>
          <w:tcPr>
            <w:tcW w:w="1740" w:type="dxa"/>
            <w:vAlign w:val="bottom"/>
            <w:tcBorders>
              <w:top w:val="single" w:sz="8" w:color="auto"/>
              <w:bottom w:val="single" w:sz="8" w:color="BFBFBF"/>
              <w:right w:val="single" w:sz="8" w:color="auto"/>
            </w:tcBorders>
            <w:shd w:val="clear" w:color="auto" w:fill="BFBFBF"/>
          </w:tcPr>
          <w:p>
            <w:pPr>
              <w:ind w:left="14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7160" w:type="dxa"/>
            <w:vAlign w:val="bottom"/>
            <w:tcBorders>
              <w:top w:val="single" w:sz="8" w:color="auto"/>
              <w:bottom w:val="single" w:sz="8" w:color="BFBFBF"/>
              <w:right w:val="single" w:sz="8" w:color="auto"/>
            </w:tcBorders>
            <w:shd w:val="clear" w:color="auto" w:fill="BFBFBF"/>
          </w:tcPr>
          <w:p>
            <w:pPr>
              <w:ind w:left="31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210"/>
        </w:trPr>
        <w:tc>
          <w:tcPr>
            <w:tcW w:w="320" w:type="dxa"/>
            <w:vAlign w:val="bottom"/>
            <w:tcBorders>
              <w:top w:val="single" w:sz="8" w:color="auto"/>
              <w:left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1</w:t>
            </w:r>
          </w:p>
        </w:tc>
        <w:tc>
          <w:tcPr>
            <w:tcW w:w="2040" w:type="dxa"/>
            <w:vAlign w:val="bottom"/>
            <w:tcBorders>
              <w:top w:val="single" w:sz="8" w:color="auto"/>
              <w:right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97"/>
              </w:rPr>
              <w:t>11,242,318</w:t>
            </w:r>
          </w:p>
        </w:tc>
        <w:tc>
          <w:tcPr>
            <w:tcW w:w="1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71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7160" w:type="dxa"/>
            <w:vAlign w:val="bottom"/>
            <w:tcBorders>
              <w:bottom w:val="single" w:sz="8" w:color="auto"/>
              <w:right w:val="single" w:sz="8" w:color="auto"/>
            </w:tcBorders>
          </w:tcPr>
          <w:p>
            <w:pPr>
              <w:spacing w:after="0"/>
              <w:rPr>
                <w:sz w:val="3"/>
                <w:szCs w:val="3"/>
                <w:color w:val="auto"/>
              </w:rPr>
            </w:pPr>
          </w:p>
        </w:tc>
      </w:tr>
    </w:tbl>
    <w:p>
      <w:pPr>
        <w:spacing w:after="0" w:line="28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addition, Cybin has title to eleven provisional patent applications, four US non-provisional patent applications, twenty national (non-US) patent applications, and nine Patent Cooperation Treaty (“</w:t>
      </w:r>
      <w:r>
        <w:rPr>
          <w:rFonts w:ascii="Times New Roman" w:cs="Times New Roman" w:eastAsia="Times New Roman" w:hAnsi="Times New Roman"/>
          <w:sz w:val="18"/>
          <w:szCs w:val="18"/>
          <w:b w:val="1"/>
          <w:bCs w:val="1"/>
          <w:color w:val="auto"/>
        </w:rPr>
        <w:t>PCT</w:t>
      </w:r>
      <w:r>
        <w:rPr>
          <w:rFonts w:ascii="Times New Roman" w:cs="Times New Roman" w:eastAsia="Times New Roman" w:hAnsi="Times New Roman"/>
          <w:sz w:val="18"/>
          <w:szCs w:val="18"/>
          <w:color w:val="auto"/>
        </w:rPr>
        <w:t>”) applications, including claims directed to compositions of matter and methods of use in support of its research and development and preclinical and clinical trial programs.</w:t>
      </w:r>
    </w:p>
    <w:p>
      <w:pPr>
        <w:spacing w:after="0" w:line="213"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06"/>
        </w:trPr>
        <w:tc>
          <w:tcPr>
            <w:tcW w:w="320" w:type="dxa"/>
            <w:vAlign w:val="bottom"/>
            <w:tcBorders>
              <w:top w:val="single" w:sz="8" w:color="auto"/>
              <w:left w:val="single" w:sz="8" w:color="auto"/>
              <w:right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1</w:t>
            </w:r>
          </w:p>
        </w:tc>
        <w:tc>
          <w:tcPr>
            <w:tcW w:w="20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PCT/EP2022/069109</w:t>
            </w:r>
          </w:p>
        </w:tc>
        <w:tc>
          <w:tcPr>
            <w:tcW w:w="174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top w:val="single" w:sz="8" w:color="auto"/>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Integrated Data Collection Devices for Use in Various Therapeutic and</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Wellness Applications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2</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PCT/EP2021/072898</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3</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PCT/EP2021/072896</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20" w:type="dxa"/>
            <w:vAlign w:val="bottom"/>
            <w:tcBorders>
              <w:left w:val="single" w:sz="8" w:color="auto"/>
              <w:right w:val="single" w:sz="8" w:color="auto"/>
            </w:tcBorders>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w w:val="99"/>
              </w:rPr>
              <w:t>4</w:t>
            </w:r>
          </w:p>
        </w:tc>
        <w:tc>
          <w:tcPr>
            <w:tcW w:w="20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PCT/EP2021/077057</w:t>
            </w:r>
          </w:p>
        </w:tc>
        <w:tc>
          <w:tcPr>
            <w:tcW w:w="174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Methods For Delivery of Psychedelic Medications By Inhalation and Systems</w:t>
            </w:r>
          </w:p>
        </w:tc>
        <w:tc>
          <w:tcPr>
            <w:tcW w:w="0" w:type="dxa"/>
            <w:vAlign w:val="bottom"/>
          </w:tcPr>
          <w:p>
            <w:pPr>
              <w:spacing w:after="0"/>
              <w:rPr>
                <w:sz w:val="1"/>
                <w:szCs w:val="1"/>
                <w:color w:val="auto"/>
              </w:rPr>
            </w:pPr>
          </w:p>
        </w:tc>
      </w:tr>
      <w:tr>
        <w:trPr>
          <w:trHeight w:val="101"/>
        </w:trPr>
        <w:tc>
          <w:tcPr>
            <w:tcW w:w="320" w:type="dxa"/>
            <w:vAlign w:val="bottom"/>
            <w:tcBorders>
              <w:left w:val="single" w:sz="8" w:color="auto"/>
              <w:right w:val="single" w:sz="8" w:color="auto"/>
            </w:tcBorders>
            <w:vMerge w:val="continue"/>
          </w:tcPr>
          <w:p>
            <w:pPr>
              <w:spacing w:after="0"/>
              <w:rPr>
                <w:sz w:val="8"/>
                <w:szCs w:val="8"/>
                <w:color w:val="auto"/>
              </w:rPr>
            </w:pPr>
          </w:p>
        </w:tc>
        <w:tc>
          <w:tcPr>
            <w:tcW w:w="2040" w:type="dxa"/>
            <w:vAlign w:val="bottom"/>
            <w:tcBorders>
              <w:right w:val="single" w:sz="8" w:color="auto"/>
            </w:tcBorders>
            <w:vMerge w:val="continue"/>
          </w:tcPr>
          <w:p>
            <w:pPr>
              <w:spacing w:after="0"/>
              <w:rPr>
                <w:sz w:val="8"/>
                <w:szCs w:val="8"/>
                <w:color w:val="auto"/>
              </w:rPr>
            </w:pPr>
          </w:p>
        </w:tc>
        <w:tc>
          <w:tcPr>
            <w:tcW w:w="1740" w:type="dxa"/>
            <w:vAlign w:val="bottom"/>
            <w:tcBorders>
              <w:right w:val="single" w:sz="8" w:color="auto"/>
            </w:tcBorders>
            <w:vMerge w:val="continue"/>
          </w:tcPr>
          <w:p>
            <w:pPr>
              <w:spacing w:after="0"/>
              <w:rPr>
                <w:sz w:val="8"/>
                <w:szCs w:val="8"/>
                <w:color w:val="auto"/>
              </w:rPr>
            </w:pPr>
          </w:p>
        </w:tc>
        <w:tc>
          <w:tcPr>
            <w:tcW w:w="2020" w:type="dxa"/>
            <w:vAlign w:val="bottom"/>
            <w:tcBorders>
              <w:right w:val="single" w:sz="8" w:color="auto"/>
            </w:tcBorders>
            <w:vMerge w:val="continue"/>
          </w:tcPr>
          <w:p>
            <w:pPr>
              <w:spacing w:after="0"/>
              <w:rPr>
                <w:sz w:val="8"/>
                <w:szCs w:val="8"/>
                <w:color w:val="auto"/>
              </w:rPr>
            </w:pPr>
          </w:p>
        </w:tc>
        <w:tc>
          <w:tcPr>
            <w:tcW w:w="512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For Performing the Methods</w:t>
            </w:r>
          </w:p>
        </w:tc>
        <w:tc>
          <w:tcPr>
            <w:tcW w:w="0" w:type="dxa"/>
            <w:vAlign w:val="bottom"/>
          </w:tcPr>
          <w:p>
            <w:pPr>
              <w:spacing w:after="0"/>
              <w:rPr>
                <w:sz w:val="1"/>
                <w:szCs w:val="1"/>
                <w:color w:val="auto"/>
              </w:rPr>
            </w:pPr>
          </w:p>
        </w:tc>
      </w:tr>
      <w:tr>
        <w:trPr>
          <w:trHeight w:val="109"/>
        </w:trPr>
        <w:tc>
          <w:tcPr>
            <w:tcW w:w="320" w:type="dxa"/>
            <w:vAlign w:val="bottom"/>
            <w:tcBorders>
              <w:left w:val="single" w:sz="8" w:color="auto"/>
              <w:right w:val="single" w:sz="8" w:color="auto"/>
            </w:tcBorders>
          </w:tcPr>
          <w:p>
            <w:pPr>
              <w:spacing w:after="0"/>
              <w:rPr>
                <w:sz w:val="9"/>
                <w:szCs w:val="9"/>
                <w:color w:val="auto"/>
              </w:rPr>
            </w:pPr>
          </w:p>
        </w:tc>
        <w:tc>
          <w:tcPr>
            <w:tcW w:w="2040" w:type="dxa"/>
            <w:vAlign w:val="bottom"/>
            <w:tcBorders>
              <w:right w:val="single" w:sz="8" w:color="auto"/>
            </w:tcBorders>
          </w:tcPr>
          <w:p>
            <w:pPr>
              <w:spacing w:after="0"/>
              <w:rPr>
                <w:sz w:val="9"/>
                <w:szCs w:val="9"/>
                <w:color w:val="auto"/>
              </w:rPr>
            </w:pPr>
          </w:p>
        </w:tc>
        <w:tc>
          <w:tcPr>
            <w:tcW w:w="1740" w:type="dxa"/>
            <w:vAlign w:val="bottom"/>
            <w:tcBorders>
              <w:right w:val="single" w:sz="8" w:color="auto"/>
            </w:tcBorders>
          </w:tcPr>
          <w:p>
            <w:pPr>
              <w:spacing w:after="0"/>
              <w:rPr>
                <w:sz w:val="9"/>
                <w:szCs w:val="9"/>
                <w:color w:val="auto"/>
              </w:rPr>
            </w:pPr>
          </w:p>
        </w:tc>
        <w:tc>
          <w:tcPr>
            <w:tcW w:w="2020" w:type="dxa"/>
            <w:vAlign w:val="bottom"/>
            <w:tcBorders>
              <w:right w:val="single" w:sz="8" w:color="auto"/>
            </w:tcBorders>
          </w:tcPr>
          <w:p>
            <w:pPr>
              <w:spacing w:after="0"/>
              <w:rPr>
                <w:sz w:val="9"/>
                <w:szCs w:val="9"/>
                <w:color w:val="auto"/>
              </w:rPr>
            </w:pPr>
          </w:p>
        </w:tc>
        <w:tc>
          <w:tcPr>
            <w:tcW w:w="5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
        </w:trPr>
        <w:tc>
          <w:tcPr>
            <w:tcW w:w="320" w:type="dxa"/>
            <w:vAlign w:val="bottom"/>
            <w:tcBorders>
              <w:left w:val="single" w:sz="8" w:color="auto"/>
              <w:bottom w:val="single" w:sz="8" w:color="auto"/>
              <w:right w:val="single" w:sz="8" w:color="auto"/>
            </w:tcBorders>
          </w:tcPr>
          <w:p>
            <w:pPr>
              <w:spacing w:after="0"/>
              <w:rPr>
                <w:sz w:val="2"/>
                <w:szCs w:val="2"/>
                <w:color w:val="auto"/>
              </w:rPr>
            </w:pPr>
          </w:p>
        </w:tc>
        <w:tc>
          <w:tcPr>
            <w:tcW w:w="2040" w:type="dxa"/>
            <w:vAlign w:val="bottom"/>
            <w:tcBorders>
              <w:bottom w:val="single" w:sz="8" w:color="auto"/>
              <w:right w:val="single" w:sz="8" w:color="auto"/>
            </w:tcBorders>
          </w:tcPr>
          <w:p>
            <w:pPr>
              <w:spacing w:after="0"/>
              <w:rPr>
                <w:sz w:val="2"/>
                <w:szCs w:val="2"/>
                <w:color w:val="auto"/>
              </w:rPr>
            </w:pPr>
          </w:p>
        </w:tc>
        <w:tc>
          <w:tcPr>
            <w:tcW w:w="1740" w:type="dxa"/>
            <w:vAlign w:val="bottom"/>
            <w:tcBorders>
              <w:bottom w:val="single" w:sz="8" w:color="auto"/>
              <w:right w:val="single" w:sz="8" w:color="auto"/>
            </w:tcBorders>
          </w:tcPr>
          <w:p>
            <w:pPr>
              <w:spacing w:after="0"/>
              <w:rPr>
                <w:sz w:val="2"/>
                <w:szCs w:val="2"/>
                <w:color w:val="auto"/>
              </w:rPr>
            </w:pPr>
          </w:p>
        </w:tc>
        <w:tc>
          <w:tcPr>
            <w:tcW w:w="2020" w:type="dxa"/>
            <w:vAlign w:val="bottom"/>
            <w:tcBorders>
              <w:bottom w:val="single" w:sz="8" w:color="auto"/>
              <w:right w:val="single" w:sz="8" w:color="auto"/>
            </w:tcBorders>
          </w:tcPr>
          <w:p>
            <w:pPr>
              <w:spacing w:after="0"/>
              <w:rPr>
                <w:sz w:val="2"/>
                <w:szCs w:val="2"/>
                <w:color w:val="auto"/>
              </w:rPr>
            </w:pPr>
          </w:p>
        </w:tc>
        <w:tc>
          <w:tcPr>
            <w:tcW w:w="51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5</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17/564,707</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60"/>
          </w:cols>
          <w:pgMar w:left="320" w:top="701" w:right="319" w:bottom="1440" w:gutter="0" w:footer="0" w:header="0"/>
        </w:sectPr>
      </w:pPr>
    </w:p>
    <w:bookmarkStart w:id="42" w:name="page43"/>
    <w:bookmarkEnd w:id="42"/>
    <w:tbl>
      <w:tblPr>
        <w:tblLayout w:type="fixed"/>
        <w:tblInd w:w="10" w:type="dxa"/>
        <w:tblCellMar>
          <w:top w:w="0" w:type="dxa"/>
          <w:left w:w="0" w:type="dxa"/>
          <w:bottom w:w="0" w:type="dxa"/>
          <w:right w:w="0" w:type="dxa"/>
        </w:tblCellMar>
      </w:tblPr>
      <w:tr>
        <w:trPr>
          <w:trHeight w:val="272"/>
        </w:trPr>
        <w:tc>
          <w:tcPr>
            <w:tcW w:w="320" w:type="dxa"/>
            <w:vAlign w:val="bottom"/>
            <w:tcBorders>
              <w:top w:val="single" w:sz="8" w:color="auto"/>
              <w:left w:val="single" w:sz="8" w:color="auto"/>
              <w:bottom w:val="single" w:sz="8" w:color="BFBFBF"/>
              <w:right w:val="single" w:sz="8" w:color="auto"/>
            </w:tcBorders>
            <w:shd w:val="clear" w:color="auto" w:fill="BFBFBF"/>
          </w:tcPr>
          <w:p>
            <w:pPr>
              <w:spacing w:after="0"/>
              <w:rPr>
                <w:sz w:val="23"/>
                <w:szCs w:val="23"/>
                <w:color w:val="auto"/>
              </w:rPr>
            </w:pPr>
          </w:p>
        </w:tc>
        <w:tc>
          <w:tcPr>
            <w:tcW w:w="2040" w:type="dxa"/>
            <w:vAlign w:val="bottom"/>
            <w:tcBorders>
              <w:top w:val="single" w:sz="8" w:color="auto"/>
              <w:bottom w:val="single" w:sz="8" w:color="BFBFBF"/>
              <w:right w:val="single" w:sz="8" w:color="auto"/>
            </w:tcBorders>
            <w:shd w:val="clear" w:color="auto" w:fill="BFBFBF"/>
          </w:tcPr>
          <w:p>
            <w:pPr>
              <w:ind w:left="40"/>
              <w:spacing w:after="0"/>
              <w:rPr>
                <w:sz w:val="20"/>
                <w:szCs w:val="20"/>
                <w:color w:val="auto"/>
              </w:rPr>
            </w:pPr>
            <w:r>
              <w:rPr>
                <w:rFonts w:ascii="Times New Roman" w:cs="Times New Roman" w:eastAsia="Times New Roman" w:hAnsi="Times New Roman"/>
                <w:sz w:val="16"/>
                <w:szCs w:val="16"/>
                <w:b w:val="1"/>
                <w:bCs w:val="1"/>
                <w:color w:val="auto"/>
              </w:rPr>
              <w:t>Patent Application Number</w:t>
            </w:r>
          </w:p>
        </w:tc>
        <w:tc>
          <w:tcPr>
            <w:tcW w:w="1740" w:type="dxa"/>
            <w:vAlign w:val="bottom"/>
            <w:tcBorders>
              <w:top w:val="single" w:sz="8" w:color="auto"/>
              <w:bottom w:val="single" w:sz="8" w:color="BFBFBF"/>
              <w:right w:val="single" w:sz="8" w:color="auto"/>
            </w:tcBorders>
            <w:shd w:val="clear" w:color="auto" w:fill="BFBFBF"/>
          </w:tcPr>
          <w:p>
            <w:pPr>
              <w:ind w:left="120"/>
              <w:spacing w:after="0"/>
              <w:rPr>
                <w:sz w:val="20"/>
                <w:szCs w:val="20"/>
                <w:color w:val="auto"/>
              </w:rPr>
            </w:pPr>
            <w:r>
              <w:rPr>
                <w:rFonts w:ascii="Times New Roman" w:cs="Times New Roman" w:eastAsia="Times New Roman" w:hAnsi="Times New Roman"/>
                <w:sz w:val="16"/>
                <w:szCs w:val="16"/>
                <w:b w:val="1"/>
                <w:bCs w:val="1"/>
                <w:color w:val="auto"/>
              </w:rPr>
              <w:t>Jurisdiction of Filing</w:t>
            </w:r>
          </w:p>
        </w:tc>
        <w:tc>
          <w:tcPr>
            <w:tcW w:w="2020" w:type="dxa"/>
            <w:vAlign w:val="bottom"/>
            <w:tcBorders>
              <w:top w:val="single" w:sz="8" w:color="auto"/>
              <w:bottom w:val="single" w:sz="8" w:color="BFBFBF"/>
              <w:right w:val="single" w:sz="8" w:color="auto"/>
            </w:tcBorders>
            <w:shd w:val="clear" w:color="auto" w:fill="BFBFBF"/>
          </w:tcPr>
          <w:p>
            <w:pPr>
              <w:ind w:left="780"/>
              <w:spacing w:after="0"/>
              <w:rPr>
                <w:sz w:val="20"/>
                <w:szCs w:val="20"/>
                <w:color w:val="auto"/>
              </w:rPr>
            </w:pPr>
            <w:r>
              <w:rPr>
                <w:rFonts w:ascii="Times New Roman" w:cs="Times New Roman" w:eastAsia="Times New Roman" w:hAnsi="Times New Roman"/>
                <w:sz w:val="16"/>
                <w:szCs w:val="16"/>
                <w:b w:val="1"/>
                <w:bCs w:val="1"/>
                <w:color w:val="auto"/>
              </w:rPr>
              <w:t>Status</w:t>
            </w:r>
          </w:p>
        </w:tc>
        <w:tc>
          <w:tcPr>
            <w:tcW w:w="5120" w:type="dxa"/>
            <w:vAlign w:val="bottom"/>
            <w:tcBorders>
              <w:top w:val="single" w:sz="8" w:color="auto"/>
              <w:bottom w:val="single" w:sz="8" w:color="BFBFBF"/>
              <w:right w:val="single" w:sz="8" w:color="auto"/>
            </w:tcBorders>
            <w:shd w:val="clear" w:color="auto" w:fill="BFBFBF"/>
          </w:tcPr>
          <w:p>
            <w:pPr>
              <w:ind w:left="214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0" w:type="dxa"/>
            <w:vAlign w:val="bottom"/>
          </w:tcPr>
          <w:p>
            <w:pPr>
              <w:spacing w:after="0"/>
              <w:rPr>
                <w:sz w:val="1"/>
                <w:szCs w:val="1"/>
                <w:color w:val="auto"/>
              </w:rPr>
            </w:pPr>
          </w:p>
        </w:tc>
      </w:tr>
      <w:tr>
        <w:trPr>
          <w:trHeight w:val="210"/>
        </w:trPr>
        <w:tc>
          <w:tcPr>
            <w:tcW w:w="3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6</w:t>
            </w:r>
          </w:p>
        </w:tc>
        <w:tc>
          <w:tcPr>
            <w:tcW w:w="20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PCT/EP2022/056991</w:t>
            </w:r>
          </w:p>
        </w:tc>
        <w:tc>
          <w:tcPr>
            <w:tcW w:w="174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Psilocybin Analogs, Salts,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right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7</w:t>
            </w: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vMerge w:val="continue"/>
          </w:tcPr>
          <w:p>
            <w:pPr>
              <w:spacing w:after="0"/>
              <w:rPr>
                <w:sz w:val="18"/>
                <w:szCs w:val="18"/>
                <w:color w:val="auto"/>
              </w:rPr>
            </w:pP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63/268,019</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8</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63/268,020</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9</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PCT/EP2022/058574</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10</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63/268,022</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11</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63/268,024</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Amphetamine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12</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63/362,238</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Methods For Delivery of Psychedelic Medications by Inhalation and Systems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13</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63/362,258</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Combination Drug Therapies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14</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PCT/EP2022/063269</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15</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63/366,788</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Formulations of Psilocybin</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16</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63/402,650</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Tryptamine Compounds,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17</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PCT/EP2022/076073</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Formulations Of Psilocybin Analogs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18</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17/974,007</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19</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63/420,265</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Phenethylamine Compounds,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20</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18/056,958</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21</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17/999,310</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22</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63/384,704</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23</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63/386,375</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United States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24</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PCT/EP2023/050702</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Ireland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Tryptamine Compositions and Methods</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25</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793553</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New Zealand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26</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297492</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Israel</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27</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3177454</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28</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NC2022/0016662</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Colombia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29</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MX/a/2022/014605</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Mexico</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30</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202203191</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Chile</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31</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10-2022-7040243</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Republic of Korea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32</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EP21808464.8</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European Patent Office</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33</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202180036163.3</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China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34</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1120220235658</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Brazil</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35</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2021276656</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Australia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36</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11202254530T</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Singapore</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37</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202213256</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South Africa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38</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2201007493</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Thailand</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39</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1-2022-553135</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Philippines</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40</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202227065770</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India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41</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2022-571175</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Japan</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Deuterated Tryptamine Derivatives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42</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3186357</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43</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10-2023-7003815</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Korea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Therapeutic Phenethylamine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3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44</w:t>
            </w:r>
          </w:p>
        </w:tc>
        <w:tc>
          <w:tcPr>
            <w:tcW w:w="20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3186359</w:t>
            </w:r>
          </w:p>
        </w:tc>
        <w:tc>
          <w:tcPr>
            <w:tcW w:w="17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Canada</w:t>
            </w:r>
          </w:p>
        </w:tc>
        <w:tc>
          <w:tcPr>
            <w:tcW w:w="2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6"/>
                <w:szCs w:val="16"/>
                <w:color w:val="auto"/>
              </w:rPr>
              <w:t>Pending</w:t>
            </w:r>
          </w:p>
        </w:tc>
        <w:tc>
          <w:tcPr>
            <w:tcW w:w="512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Phenethylamine Derivatives, Compositions, and Methods of Use</w:t>
            </w:r>
          </w:p>
        </w:tc>
        <w:tc>
          <w:tcPr>
            <w:tcW w:w="0" w:type="dxa"/>
            <w:vAlign w:val="bottom"/>
          </w:tcPr>
          <w:p>
            <w:pPr>
              <w:spacing w:after="0"/>
              <w:rPr>
                <w:sz w:val="1"/>
                <w:szCs w:val="1"/>
                <w:color w:val="auto"/>
              </w:rPr>
            </w:pPr>
          </w:p>
        </w:tc>
      </w:tr>
      <w:tr>
        <w:trPr>
          <w:trHeight w:val="37"/>
        </w:trPr>
        <w:tc>
          <w:tcPr>
            <w:tcW w:w="320" w:type="dxa"/>
            <w:vAlign w:val="bottom"/>
            <w:tcBorders>
              <w:left w:val="single" w:sz="8" w:color="auto"/>
              <w:bottom w:val="single" w:sz="8" w:color="auto"/>
              <w:right w:val="single" w:sz="8" w:color="auto"/>
            </w:tcBorders>
          </w:tcPr>
          <w:p>
            <w:pPr>
              <w:spacing w:after="0"/>
              <w:rPr>
                <w:sz w:val="3"/>
                <w:szCs w:val="3"/>
                <w:color w:val="auto"/>
              </w:rPr>
            </w:pPr>
          </w:p>
        </w:tc>
        <w:tc>
          <w:tcPr>
            <w:tcW w:w="2040" w:type="dxa"/>
            <w:vAlign w:val="bottom"/>
            <w:tcBorders>
              <w:bottom w:val="single" w:sz="8" w:color="auto"/>
              <w:right w:val="single" w:sz="8" w:color="auto"/>
            </w:tcBorders>
          </w:tcPr>
          <w:p>
            <w:pPr>
              <w:spacing w:after="0"/>
              <w:rPr>
                <w:sz w:val="3"/>
                <w:szCs w:val="3"/>
                <w:color w:val="auto"/>
              </w:rPr>
            </w:pPr>
          </w:p>
        </w:tc>
        <w:tc>
          <w:tcPr>
            <w:tcW w:w="1740" w:type="dxa"/>
            <w:vAlign w:val="bottom"/>
            <w:tcBorders>
              <w:bottom w:val="single" w:sz="8" w:color="auto"/>
              <w:right w:val="single" w:sz="8" w:color="auto"/>
            </w:tcBorders>
          </w:tcPr>
          <w:p>
            <w:pPr>
              <w:spacing w:after="0"/>
              <w:rPr>
                <w:sz w:val="3"/>
                <w:szCs w:val="3"/>
                <w:color w:val="auto"/>
              </w:rPr>
            </w:pPr>
          </w:p>
        </w:tc>
        <w:tc>
          <w:tcPr>
            <w:tcW w:w="2020" w:type="dxa"/>
            <w:vAlign w:val="bottom"/>
            <w:tcBorders>
              <w:bottom w:val="single" w:sz="8" w:color="auto"/>
              <w:right w:val="single" w:sz="8" w:color="auto"/>
            </w:tcBorders>
          </w:tcPr>
          <w:p>
            <w:pPr>
              <w:spacing w:after="0"/>
              <w:rPr>
                <w:sz w:val="3"/>
                <w:szCs w:val="3"/>
                <w:color w:val="auto"/>
              </w:rPr>
            </w:pPr>
          </w:p>
        </w:tc>
        <w:tc>
          <w:tcPr>
            <w:tcW w:w="51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220"/>
          </w:cols>
          <w:pgMar w:left="320" w:top="726" w:right="359" w:bottom="1440" w:gutter="0" w:footer="0" w:header="0"/>
        </w:sectPr>
      </w:pPr>
    </w:p>
    <w:bookmarkStart w:id="43" w:name="page44"/>
    <w:bookmarkEnd w:id="43"/>
    <w:p>
      <w:pPr>
        <w:jc w:val="both"/>
        <w:spacing w:after="0" w:line="258" w:lineRule="auto"/>
        <w:rPr>
          <w:sz w:val="20"/>
          <w:szCs w:val="20"/>
          <w:color w:val="auto"/>
        </w:rPr>
      </w:pPr>
      <w:r>
        <w:rPr>
          <w:rFonts w:ascii="Times New Roman" w:cs="Times New Roman" w:eastAsia="Times New Roman" w:hAnsi="Times New Roman"/>
          <w:sz w:val="18"/>
          <w:szCs w:val="18"/>
          <w:color w:val="auto"/>
        </w:rPr>
        <w:t>Cybin’s patent applications cover a wide range of novel psychedelic compounds from different classes, including those with targeted structural modifications for improved pharmacokinetic characteristics and safety profiles without altering their receptor binding. The patent applications also cover novel drug delivery platforms for administration of the psychedelic drugs with faster onset of action, higher bioavailability by way of bypassing liver metabolism, more controlled delivery for better patient experience, and optimized therapeutic outcomes.</w:t>
      </w:r>
    </w:p>
    <w:p>
      <w:pPr>
        <w:spacing w:after="0" w:line="16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Additionally, the Company has entered into multiple licensing agreements that provide Cybin with additional access to IP from over 20 more patents or patent applications, including the acquisition of an exclusive license to a targeted class of tryptamine-based molecules from Mindset. The licensing agreements collectively provide the Company with access to a broad range of preclinical molecule combinations for its library of psychedelic derivative drug development candidates.</w:t>
      </w:r>
    </w:p>
    <w:p>
      <w:pPr>
        <w:spacing w:after="0" w:line="19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Cybin has also filed applications for registration of twenty-five trademarks, including Changing Minds™, Cybin®, Embark™, It’s not magic. It’s mushrooms™, It’s not magic, its science™, Journey™, Mushroom &amp; Friends™, Psilotonin™, Psychedelics to Therapeutics®, MindClef™ and CYB™. The Company has registered the CYBIN trademark in the European Union (the "</w:t>
      </w:r>
      <w:r>
        <w:rPr>
          <w:rFonts w:ascii="Times New Roman" w:cs="Times New Roman" w:eastAsia="Times New Roman" w:hAnsi="Times New Roman"/>
          <w:sz w:val="18"/>
          <w:szCs w:val="18"/>
          <w:b w:val="1"/>
          <w:bCs w:val="1"/>
          <w:color w:val="auto"/>
        </w:rPr>
        <w:t>EU</w:t>
      </w:r>
      <w:r>
        <w:rPr>
          <w:rFonts w:ascii="Times New Roman" w:cs="Times New Roman" w:eastAsia="Times New Roman" w:hAnsi="Times New Roman"/>
          <w:sz w:val="18"/>
          <w:szCs w:val="18"/>
          <w:color w:val="auto"/>
        </w:rPr>
        <w:t>") (reg. 18495520), the UK (reg. UK00003656496), and the US (reg. 6,852,975) and the mark PSYCHEDELICS TO THERAPEUTICS in the UK (reg. UK00003717706).</w:t>
      </w:r>
    </w:p>
    <w:p>
      <w:pPr>
        <w:spacing w:after="0" w:line="18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mission to discover, develop and deploy psychedelic inspired medicines encompasses the research and development of potential new and improved psychedelic inspired medicines ranging from proprietary psychedelic compounds for use as API, specific formulations thereof, and specific uses for compounds and formulations. As the Company generates new data it will continue to file or acquire additional patent applications throughout the Company’s development program.</w:t>
      </w:r>
    </w:p>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8, 2021, the Company announced its scaling up of its European operations though its recently formed wholly owned Ireland subsidiary, Cybin Ireland. In connection with the formation of Cybin Ireland, the Company transferred its intellectual property assets to this entity.</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Framework and Licensing Regimen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2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6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 xml:space="preserve">Certain psychoactive compounds, such as psilocybin, are considered controlled substances under Schedule III of the </w:t>
      </w:r>
      <w:r>
        <w:rPr>
          <w:rFonts w:ascii="Times New Roman" w:cs="Times New Roman" w:eastAsia="Times New Roman" w:hAnsi="Times New Roman"/>
          <w:sz w:val="18"/>
          <w:szCs w:val="18"/>
          <w:i w:val="1"/>
          <w:iCs w:val="1"/>
          <w:color w:val="auto"/>
        </w:rPr>
        <w:t>Controlled Drugs and Substances Act</w:t>
      </w:r>
      <w:r>
        <w:rPr>
          <w:rFonts w:ascii="Times New Roman" w:cs="Times New Roman" w:eastAsia="Times New Roman" w:hAnsi="Times New Roman"/>
          <w:sz w:val="18"/>
          <w:szCs w:val="18"/>
          <w:color w:val="auto"/>
        </w:rPr>
        <w:t xml:space="preserve"> (Canada) (the “</w:t>
      </w:r>
      <w:r>
        <w:rPr>
          <w:rFonts w:ascii="Times New Roman" w:cs="Times New Roman" w:eastAsia="Times New Roman" w:hAnsi="Times New Roman"/>
          <w:sz w:val="18"/>
          <w:szCs w:val="18"/>
          <w:b w:val="1"/>
          <w:bCs w:val="1"/>
          <w:color w:val="auto"/>
        </w:rPr>
        <w:t>CDSA</w:t>
      </w:r>
      <w:r>
        <w:rPr>
          <w:rFonts w:ascii="Times New Roman" w:cs="Times New Roman" w:eastAsia="Times New Roman" w:hAnsi="Times New Roman"/>
          <w:sz w:val="18"/>
          <w:szCs w:val="18"/>
          <w:color w:val="auto"/>
        </w:rPr>
        <w:t>”). In order to conduct any scientific research, including preclinical and clinical trials, using psychoactive compounds listed as controlled substances under the CDSA, an exemption under Section 56 of the CDSA (“</w:t>
      </w:r>
      <w:r>
        <w:rPr>
          <w:rFonts w:ascii="Times New Roman" w:cs="Times New Roman" w:eastAsia="Times New Roman" w:hAnsi="Times New Roman"/>
          <w:sz w:val="18"/>
          <w:szCs w:val="18"/>
          <w:b w:val="1"/>
          <w:bCs w:val="1"/>
          <w:color w:val="auto"/>
        </w:rPr>
        <w:t>Section 56 Exemption</w:t>
      </w:r>
      <w:r>
        <w:rPr>
          <w:rFonts w:ascii="Times New Roman" w:cs="Times New Roman" w:eastAsia="Times New Roman" w:hAnsi="Times New Roman"/>
          <w:sz w:val="18"/>
          <w:szCs w:val="18"/>
          <w:color w:val="auto"/>
        </w:rPr>
        <w:t>”) is required.</w:t>
      </w:r>
    </w:p>
    <w:p>
      <w:pPr>
        <w:spacing w:after="0" w:line="15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Health Canada has not approved psilocybin as a drug for any indication. However, there are legal routes through which psilocybin may be accessed for medical or scientific purposes. The Canadian Minister of Health can grant exemptions under section 56 of the CDSA to use controlled substances if it is deemed to be necessary for a medical or scientific purpose or is otherwise in the public interest. The Company has not applied for a Section 56 Exemption</w:t>
      </w:r>
    </w:p>
    <w:p>
      <w:pPr>
        <w:spacing w:after="0" w:line="1" w:lineRule="exact"/>
        <w:rPr>
          <w:sz w:val="20"/>
          <w:szCs w:val="20"/>
          <w:color w:val="auto"/>
        </w:rPr>
      </w:pPr>
    </w:p>
    <w:p>
      <w:pPr>
        <w:jc w:val="both"/>
        <w:ind w:right="20"/>
        <w:spacing w:after="0" w:line="235" w:lineRule="auto"/>
        <w:rPr>
          <w:sz w:val="20"/>
          <w:szCs w:val="20"/>
          <w:color w:val="auto"/>
        </w:rPr>
      </w:pPr>
      <w:r>
        <w:rPr>
          <w:rFonts w:ascii="Times New Roman" w:cs="Times New Roman" w:eastAsia="Times New Roman" w:hAnsi="Times New Roman"/>
          <w:sz w:val="18"/>
          <w:szCs w:val="18"/>
          <w:color w:val="auto"/>
        </w:rPr>
        <w:t>from Health Canada. Health Canada’s Special Access Program (“</w:t>
      </w:r>
      <w:r>
        <w:rPr>
          <w:rFonts w:ascii="Times New Roman" w:cs="Times New Roman" w:eastAsia="Times New Roman" w:hAnsi="Times New Roman"/>
          <w:sz w:val="19"/>
          <w:szCs w:val="19"/>
          <w:b w:val="1"/>
          <w:bCs w:val="1"/>
          <w:color w:val="auto"/>
        </w:rPr>
        <w:t>SAP</w:t>
      </w:r>
      <w:r>
        <w:rPr>
          <w:rFonts w:ascii="Times New Roman" w:cs="Times New Roman" w:eastAsia="Times New Roman" w:hAnsi="Times New Roman"/>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Company has not applied for access under the SAP.</w:t>
      </w:r>
    </w:p>
    <w:p>
      <w:pPr>
        <w:spacing w:after="0" w:line="18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possession, sale or distribution of controlled substances is prohibited unless specifically permitted by the government. A party may seek government approval for a Section 56 Exemption to allow for the possession, transport</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260"/>
          </w:cols>
          <w:pgMar w:left="320" w:top="701" w:right="319" w:bottom="1440" w:gutter="0" w:footer="0" w:header="0"/>
        </w:sectPr>
      </w:pPr>
    </w:p>
    <w:bookmarkStart w:id="44" w:name="page45"/>
    <w:bookmarkEnd w:id="44"/>
    <w:p>
      <w:pPr>
        <w:jc w:val="both"/>
        <w:ind w:left="3"/>
        <w:spacing w:after="0" w:line="237" w:lineRule="auto"/>
        <w:rPr>
          <w:sz w:val="20"/>
          <w:szCs w:val="20"/>
          <w:color w:val="auto"/>
        </w:rPr>
      </w:pPr>
      <w:r>
        <w:rPr>
          <w:rFonts w:ascii="Times New Roman" w:cs="Times New Roman" w:eastAsia="Times New Roman" w:hAnsi="Times New Roman"/>
          <w:sz w:val="18"/>
          <w:szCs w:val="18"/>
          <w:color w:val="auto"/>
        </w:rPr>
        <w:t>or production of a controlled substance for medical or scientific purposes. Products that contain a controlled substance such as psilocybin cannot be made, transported or sold without proper authorization from the government. A party can apply for a Dealer’s Licence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(Controlled Drugs and Substances Act, Food and Drugs Regulations) and subject to any restrictions placed on the licence by Health Canada, an entity with a Dealer’s Licence may produce, assemble, sell, provide, transport, send, deliver, import or export a restricted drug (as listed in Part J in the Food and Drugs Regulations – which includes psilocybin and psilocin) (see s. J.01.009 (1) of the Food and Drug Regulations).</w:t>
      </w:r>
    </w:p>
    <w:p>
      <w:pPr>
        <w:spacing w:after="0" w:line="182" w:lineRule="exact"/>
        <w:rPr>
          <w:sz w:val="20"/>
          <w:szCs w:val="20"/>
          <w:color w:val="auto"/>
        </w:rPr>
      </w:pPr>
    </w:p>
    <w:p>
      <w:pPr>
        <w:jc w:val="both"/>
        <w:ind w:left="3" w:right="20"/>
        <w:spacing w:after="0" w:line="282" w:lineRule="auto"/>
        <w:rPr>
          <w:sz w:val="20"/>
          <w:szCs w:val="20"/>
          <w:color w:val="auto"/>
        </w:rPr>
      </w:pPr>
      <w:r>
        <w:rPr>
          <w:rFonts w:ascii="Times New Roman" w:cs="Times New Roman" w:eastAsia="Times New Roman" w:hAnsi="Times New Roman"/>
          <w:sz w:val="18"/>
          <w:szCs w:val="18"/>
          <w:color w:val="auto"/>
        </w:rPr>
        <w:t>The Company intends to sponsor and work with licensed third parties to conduct any clinical trials and research and does not handle controlled substances. If the Company were to conduct this work without the reliance on third parties, it would need to obtain additional licences and approvals described above.</w:t>
      </w:r>
    </w:p>
    <w:p>
      <w:pPr>
        <w:spacing w:after="0" w:line="1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United States</w:t>
      </w:r>
    </w:p>
    <w:p>
      <w:pPr>
        <w:spacing w:after="0" w:line="207" w:lineRule="exact"/>
        <w:rPr>
          <w:sz w:val="20"/>
          <w:szCs w:val="20"/>
          <w:color w:val="auto"/>
        </w:rPr>
      </w:pPr>
    </w:p>
    <w:p>
      <w:pPr>
        <w:jc w:val="both"/>
        <w:ind w:left="3" w:right="20"/>
        <w:spacing w:after="0" w:line="241" w:lineRule="auto"/>
        <w:rPr>
          <w:sz w:val="20"/>
          <w:szCs w:val="20"/>
          <w:color w:val="auto"/>
        </w:rPr>
      </w:pPr>
      <w:r>
        <w:rPr>
          <w:rFonts w:ascii="Times New Roman" w:cs="Times New Roman" w:eastAsia="Times New Roman" w:hAnsi="Times New Roman"/>
          <w:sz w:val="18"/>
          <w:szCs w:val="18"/>
          <w:color w:val="auto"/>
        </w:rPr>
        <w:t>The FDA and other federal, state, local and foreign regulatory agencies impose substantial requirements upon the clinical development, clinical testing,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Company intends to file an IND application related to its Deuterated Psilocybin Analog Program upon completion of its preclinical studies and CMC development</w:t>
      </w:r>
      <w:r>
        <w:rPr>
          <w:rFonts w:ascii="Times New Roman" w:cs="Times New Roman" w:eastAsia="Times New Roman" w:hAnsi="Times New Roman"/>
          <w:sz w:val="23"/>
          <w:szCs w:val="23"/>
          <w:color w:val="auto"/>
          <w:vertAlign w:val="superscript"/>
        </w:rPr>
        <w:t>25</w:t>
      </w:r>
      <w:r>
        <w:rPr>
          <w:rFonts w:ascii="Times New Roman" w:cs="Times New Roman" w:eastAsia="Times New Roman" w:hAnsi="Times New Roman"/>
          <w:sz w:val="18"/>
          <w:szCs w:val="18"/>
          <w:color w:val="auto"/>
        </w:rPr>
        <w:t>. Anticipated timelines related to regulatory filings are based on reasonable assumptions informed by current knowledge and information available to the Company.</w:t>
      </w:r>
    </w:p>
    <w:p>
      <w:pPr>
        <w:spacing w:after="0" w:line="204" w:lineRule="exact"/>
        <w:rPr>
          <w:sz w:val="20"/>
          <w:szCs w:val="20"/>
          <w:color w:val="auto"/>
        </w:rPr>
      </w:pPr>
    </w:p>
    <w:p>
      <w:pPr>
        <w:jc w:val="both"/>
        <w:ind w:left="3"/>
        <w:spacing w:after="0" w:line="251" w:lineRule="auto"/>
        <w:rPr>
          <w:sz w:val="20"/>
          <w:szCs w:val="20"/>
          <w:color w:val="auto"/>
        </w:rPr>
      </w:pPr>
      <w:r>
        <w:rPr>
          <w:rFonts w:ascii="Times New Roman" w:cs="Times New Roman" w:eastAsia="Times New Roman" w:hAnsi="Times New Roman"/>
          <w:sz w:val="18"/>
          <w:szCs w:val="18"/>
          <w:color w:val="auto"/>
        </w:rPr>
        <w:t>Psilocybin, psilocin, DMT, and 5-Methoxy-DMT are strictly controlled under the federal Controlled Substances Act, 21 U.S.C. §801, et. seq. (“</w:t>
      </w:r>
      <w:r>
        <w:rPr>
          <w:rFonts w:ascii="Times New Roman" w:cs="Times New Roman" w:eastAsia="Times New Roman" w:hAnsi="Times New Roman"/>
          <w:sz w:val="18"/>
          <w:szCs w:val="18"/>
          <w:b w:val="1"/>
          <w:bCs w:val="1"/>
          <w:color w:val="auto"/>
        </w:rPr>
        <w:t>CSA</w:t>
      </w:r>
      <w:r>
        <w:rPr>
          <w:rFonts w:ascii="Times New Roman" w:cs="Times New Roman" w:eastAsia="Times New Roman" w:hAnsi="Times New Roman"/>
          <w:sz w:val="18"/>
          <w:szCs w:val="18"/>
          <w:color w:val="auto"/>
        </w:rPr>
        <w:t>”)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DEA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8"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i w:val="1"/>
          <w:iCs w:val="1"/>
          <w:color w:val="auto"/>
        </w:rPr>
        <w:t>Europe (Netherlands)</w:t>
      </w:r>
    </w:p>
    <w:p>
      <w:pPr>
        <w:spacing w:after="0" w:line="228" w:lineRule="exact"/>
        <w:rPr>
          <w:sz w:val="20"/>
          <w:szCs w:val="20"/>
          <w:color w:val="auto"/>
        </w:rPr>
      </w:pPr>
    </w:p>
    <w:p>
      <w:pPr>
        <w:jc w:val="both"/>
        <w:ind w:left="3" w:right="20"/>
        <w:spacing w:after="0" w:line="251" w:lineRule="auto"/>
        <w:rPr>
          <w:sz w:val="20"/>
          <w:szCs w:val="20"/>
          <w:color w:val="auto"/>
        </w:rPr>
      </w:pPr>
      <w:r>
        <w:rPr>
          <w:rFonts w:ascii="Times New Roman" w:cs="Times New Roman" w:eastAsia="Times New Roman" w:hAnsi="Times New Roman"/>
          <w:sz w:val="18"/>
          <w:szCs w:val="18"/>
          <w:color w:val="auto"/>
        </w:rPr>
        <w:t>The International Narcotics Control Board (“</w:t>
      </w:r>
      <w:r>
        <w:rPr>
          <w:rFonts w:ascii="Times New Roman" w:cs="Times New Roman" w:eastAsia="Times New Roman" w:hAnsi="Times New Roman"/>
          <w:sz w:val="18"/>
          <w:szCs w:val="18"/>
          <w:b w:val="1"/>
          <w:bCs w:val="1"/>
          <w:color w:val="auto"/>
        </w:rPr>
        <w:t>INCB</w:t>
      </w:r>
      <w:r>
        <w:rPr>
          <w:rFonts w:ascii="Times New Roman" w:cs="Times New Roman" w:eastAsia="Times New Roman" w:hAnsi="Times New Roman"/>
          <w:sz w:val="18"/>
          <w:szCs w:val="18"/>
          <w:color w:val="auto"/>
        </w:rPr>
        <w:t>”), a United Nations (“</w:t>
      </w:r>
      <w:r>
        <w:rPr>
          <w:rFonts w:ascii="Times New Roman" w:cs="Times New Roman" w:eastAsia="Times New Roman" w:hAnsi="Times New Roman"/>
          <w:sz w:val="18"/>
          <w:szCs w:val="18"/>
          <w:b w:val="1"/>
          <w:bCs w:val="1"/>
          <w:color w:val="auto"/>
        </w:rPr>
        <w:t>UN</w:t>
      </w:r>
      <w:r>
        <w:rPr>
          <w:rFonts w:ascii="Times New Roman" w:cs="Times New Roman" w:eastAsia="Times New Roman" w:hAnsi="Times New Roman"/>
          <w:sz w:val="18"/>
          <w:szCs w:val="18"/>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3" w:lineRule="exact"/>
        <w:rPr>
          <w:sz w:val="20"/>
          <w:szCs w:val="20"/>
          <w:color w:val="auto"/>
        </w:rPr>
      </w:pPr>
    </w:p>
    <w:p>
      <w:pPr>
        <w:jc w:val="both"/>
        <w:ind w:left="3" w:right="20"/>
        <w:spacing w:after="0" w:line="252" w:lineRule="auto"/>
        <w:rPr>
          <w:sz w:val="20"/>
          <w:szCs w:val="20"/>
          <w:color w:val="auto"/>
        </w:rPr>
      </w:pPr>
      <w:r>
        <w:rPr>
          <w:rFonts w:ascii="Times New Roman" w:cs="Times New Roman" w:eastAsia="Times New Roman" w:hAnsi="Times New Roman"/>
          <w:sz w:val="18"/>
          <w:szCs w:val="18"/>
          <w:color w:val="auto"/>
        </w:rPr>
        <w:t>Specific EU legislation establishing different classes of controlled substances is limited to EU regulations that define classes of precursors, or substances used in the illicit manufacture of controlled substances, including Regulation (EC)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153987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19" w:lineRule="exact"/>
        <w:rPr>
          <w:sz w:val="20"/>
          <w:szCs w:val="20"/>
          <w:color w:val="auto"/>
        </w:rPr>
      </w:pPr>
    </w:p>
    <w:p>
      <w:pPr>
        <w:jc w:val="both"/>
        <w:ind w:left="3" w:right="20" w:hanging="3"/>
        <w:spacing w:after="0" w:line="235" w:lineRule="auto"/>
        <w:tabs>
          <w:tab w:leader="none" w:pos="135" w:val="left"/>
        </w:tabs>
        <w:numPr>
          <w:ilvl w:val="0"/>
          <w:numId w:val="32"/>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Company.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Company’s development efforts to date. See “</w:t>
      </w:r>
      <w:r>
        <w:rPr>
          <w:rFonts w:ascii="Times New Roman" w:cs="Times New Roman" w:eastAsia="Times New Roman" w:hAnsi="Times New Roman"/>
          <w:sz w:val="15"/>
          <w:szCs w:val="15"/>
          <w:i w:val="1"/>
          <w:iCs w:val="1"/>
          <w:color w:val="auto"/>
        </w:rPr>
        <w:t>Risk Factors”.</w:t>
      </w:r>
    </w:p>
    <w:p>
      <w:pPr>
        <w:spacing w:after="0" w:line="200" w:lineRule="exact"/>
        <w:rPr>
          <w:sz w:val="20"/>
          <w:szCs w:val="20"/>
          <w:color w:val="auto"/>
        </w:rPr>
      </w:pPr>
    </w:p>
    <w:p>
      <w:pPr>
        <w:spacing w:after="0" w:line="345" w:lineRule="exact"/>
        <w:rPr>
          <w:sz w:val="20"/>
          <w:szCs w:val="20"/>
          <w:color w:val="auto"/>
        </w:rPr>
      </w:pPr>
    </w:p>
    <w:p>
      <w:pPr>
        <w:jc w:val="center"/>
        <w:ind w:right="-2"/>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263"/>
          </w:cols>
          <w:pgMar w:left="317" w:top="701" w:right="31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82" w:lineRule="exact"/>
        <w:rPr>
          <w:sz w:val="20"/>
          <w:szCs w:val="20"/>
          <w:color w:val="auto"/>
        </w:rPr>
      </w:pPr>
    </w:p>
    <w:p>
      <w:pPr>
        <w:ind w:left="580" w:right="20" w:hanging="292"/>
        <w:spacing w:after="0" w:line="257" w:lineRule="auto"/>
        <w:tabs>
          <w:tab w:leader="none" w:pos="569"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ind w:left="560" w:hanging="272"/>
        <w:spacing w:after="0"/>
        <w:tabs>
          <w:tab w:leader="none" w:pos="56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manufacture, trade, distribution and possession be under a special licence or prior authorization;</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provide for close supervision of the activities and acts mentioned in paragraphs (a) and (b);</w:t>
      </w:r>
    </w:p>
    <w:p>
      <w:pPr>
        <w:spacing w:after="0" w:line="10" w:lineRule="exact"/>
        <w:rPr>
          <w:rFonts w:ascii="Arial" w:cs="Arial" w:eastAsia="Arial" w:hAnsi="Arial"/>
          <w:sz w:val="18"/>
          <w:szCs w:val="18"/>
          <w:color w:val="auto"/>
        </w:rPr>
      </w:pPr>
    </w:p>
    <w:p>
      <w:pPr>
        <w:ind w:left="560" w:hanging="272"/>
        <w:spacing w:after="0"/>
        <w:tabs>
          <w:tab w:leader="none" w:pos="560"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restrict the amount supplied to a duly authorized person to the quantity required for his authorized purpose;</w:t>
      </w:r>
    </w:p>
    <w:p>
      <w:pPr>
        <w:spacing w:after="0" w:line="2" w:lineRule="exact"/>
        <w:rPr>
          <w:rFonts w:ascii="Arial" w:cs="Arial" w:eastAsia="Arial" w:hAnsi="Arial"/>
          <w:sz w:val="18"/>
          <w:szCs w:val="18"/>
          <w:color w:val="auto"/>
        </w:rPr>
      </w:pPr>
    </w:p>
    <w:p>
      <w:pPr>
        <w:ind w:left="580" w:right="20" w:hanging="292"/>
        <w:spacing w:after="0" w:line="245" w:lineRule="auto"/>
        <w:tabs>
          <w:tab w:leader="none" w:pos="569"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1" w:lineRule="exact"/>
        <w:rPr>
          <w:rFonts w:ascii="Arial" w:cs="Arial" w:eastAsia="Arial" w:hAnsi="Arial"/>
          <w:sz w:val="18"/>
          <w:szCs w:val="18"/>
          <w:color w:val="auto"/>
        </w:rPr>
      </w:pPr>
    </w:p>
    <w:p>
      <w:pPr>
        <w:jc w:val="both"/>
        <w:ind w:left="580" w:right="20" w:hanging="292"/>
        <w:spacing w:after="0" w:line="255" w:lineRule="auto"/>
        <w:tabs>
          <w:tab w:leader="none" w:pos="569" w:val="left"/>
        </w:tabs>
        <w:numPr>
          <w:ilvl w:val="0"/>
          <w:numId w:val="33"/>
        </w:numPr>
        <w:rPr>
          <w:rFonts w:ascii="Arial" w:cs="Arial" w:eastAsia="Arial" w:hAnsi="Arial"/>
          <w:sz w:val="18"/>
          <w:szCs w:val="18"/>
          <w:color w:val="auto"/>
        </w:rPr>
      </w:pPr>
      <w:r>
        <w:rPr>
          <w:rFonts w:ascii="Times New Roman" w:cs="Times New Roman" w:eastAsia="Times New Roman" w:hAnsi="Times New Roman"/>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18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Times New Roman" w:cs="Times New Roman" w:eastAsia="Times New Roman" w:hAnsi="Times New Roman"/>
          <w:sz w:val="18"/>
          <w:szCs w:val="18"/>
          <w:b w:val="1"/>
          <w:bCs w:val="1"/>
          <w:color w:val="auto"/>
        </w:rPr>
        <w:t>Dutch Opium Act</w:t>
      </w:r>
      <w:r>
        <w:rPr>
          <w:rFonts w:ascii="Times New Roman" w:cs="Times New Roman" w:eastAsia="Times New Roman" w:hAnsi="Times New Roman"/>
          <w:sz w:val="18"/>
          <w:szCs w:val="18"/>
          <w:color w:val="auto"/>
        </w:rPr>
        <w:t>”) and as such, subject to express authorization being obtained, the production, trade and possession of DMT are prohibited.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Dutch Opium Act, two other Dutch Acts may be relevant when it comes to drugs: the Medicines Act and the Commodities Act.</w:t>
      </w:r>
    </w:p>
    <w:p>
      <w:pPr>
        <w:spacing w:after="0" w:line="21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Times New Roman" w:cs="Times New Roman" w:eastAsia="Times New Roman" w:hAnsi="Times New Roman"/>
          <w:sz w:val="18"/>
          <w:szCs w:val="18"/>
          <w:b w:val="1"/>
          <w:bCs w:val="1"/>
          <w:color w:val="auto"/>
        </w:rPr>
        <w:t>CCMO</w:t>
      </w:r>
      <w:r>
        <w:rPr>
          <w:rFonts w:ascii="Times New Roman" w:cs="Times New Roman" w:eastAsia="Times New Roman" w:hAnsi="Times New Roman"/>
          <w:sz w:val="18"/>
          <w:szCs w:val="18"/>
          <w:color w:val="auto"/>
        </w:rPr>
        <w:t>"), which is also known as the Competent Authority in The Netherlands. In Dutch, the CCMO is called the ‘</w:t>
      </w:r>
      <w:r>
        <w:rPr>
          <w:rFonts w:ascii="Times New Roman" w:cs="Times New Roman" w:eastAsia="Times New Roman" w:hAnsi="Times New Roman"/>
          <w:sz w:val="18"/>
          <w:szCs w:val="18"/>
          <w:i w:val="1"/>
          <w:iCs w:val="1"/>
          <w:color w:val="auto"/>
        </w:rPr>
        <w:t>Centrale Commissie Mensgebonden Onderzoek</w:t>
      </w:r>
      <w:r>
        <w:rPr>
          <w:rFonts w:ascii="Times New Roman" w:cs="Times New Roman" w:eastAsia="Times New Roman" w:hAnsi="Times New Roman"/>
          <w:sz w:val="18"/>
          <w:szCs w:val="18"/>
          <w:color w:val="auto"/>
        </w:rPr>
        <w:t>’. In cases where the study involves a substance subject to the Dutch Opium Act (such as DMT), an official exemption by Farmatec is needed, which needs to be included in the CTA.</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Kingdom</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In the UK, there are two main “layers” of regulation with which products containing controlled substances must comply. These are: (i) controlled drugs legislation, which applies to all products irrespective of the type of product, and (ii) the regulatory frameworks applicable to a specific category of products, in this case, pharmaceuticals and food/food supplements.</w:t>
      </w:r>
    </w:p>
    <w:p>
      <w:pPr>
        <w:spacing w:after="0" w:line="14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The main UK controlled drugs legislation is the Misuse of Drugs Act 1971 (the “</w:t>
      </w:r>
      <w:r>
        <w:rPr>
          <w:rFonts w:ascii="Times New Roman" w:cs="Times New Roman" w:eastAsia="Times New Roman" w:hAnsi="Times New Roman"/>
          <w:sz w:val="18"/>
          <w:szCs w:val="18"/>
          <w:b w:val="1"/>
          <w:bCs w:val="1"/>
          <w:color w:val="auto"/>
        </w:rPr>
        <w:t>MDA</w:t>
      </w:r>
      <w:r>
        <w:rPr>
          <w:rFonts w:ascii="Times New Roman" w:cs="Times New Roman" w:eastAsia="Times New Roman" w:hAnsi="Times New Roman"/>
          <w:sz w:val="18"/>
          <w:szCs w:val="18"/>
          <w:color w:val="auto"/>
        </w:rPr>
        <w:t>”) and the Misuse of Drugs Regulations 2001 (the “</w:t>
      </w:r>
      <w:r>
        <w:rPr>
          <w:rFonts w:ascii="Times New Roman" w:cs="Times New Roman" w:eastAsia="Times New Roman" w:hAnsi="Times New Roman"/>
          <w:sz w:val="18"/>
          <w:szCs w:val="18"/>
          <w:b w:val="1"/>
          <w:bCs w:val="1"/>
          <w:color w:val="auto"/>
        </w:rPr>
        <w:t>MDR</w:t>
      </w:r>
      <w:r>
        <w:rPr>
          <w:rFonts w:ascii="Times New Roman" w:cs="Times New Roman" w:eastAsia="Times New Roman" w:hAnsi="Times New Roman"/>
          <w:sz w:val="18"/>
          <w:szCs w:val="18"/>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260"/>
          </w:cols>
          <w:pgMar w:left="320" w:top="701" w:right="319" w:bottom="1440" w:gutter="0" w:footer="0" w:header="0"/>
        </w:sectPr>
      </w:pPr>
    </w:p>
    <w:bookmarkStart w:id="46" w:name="page47"/>
    <w:bookmarkEnd w:id="46"/>
    <w:p>
      <w:pPr>
        <w:jc w:val="both"/>
        <w:ind w:left="3" w:right="100"/>
        <w:spacing w:after="0" w:line="260" w:lineRule="auto"/>
        <w:rPr>
          <w:sz w:val="20"/>
          <w:szCs w:val="20"/>
          <w:color w:val="auto"/>
        </w:rPr>
      </w:pPr>
      <w:r>
        <w:rPr>
          <w:rFonts w:ascii="Times New Roman" w:cs="Times New Roman" w:eastAsia="Times New Roman" w:hAnsi="Times New Roman"/>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64" w:lineRule="exact"/>
        <w:rPr>
          <w:sz w:val="20"/>
          <w:szCs w:val="20"/>
          <w:color w:val="auto"/>
        </w:rPr>
      </w:pPr>
    </w:p>
    <w:p>
      <w:pPr>
        <w:jc w:val="both"/>
        <w:ind w:left="3" w:right="80"/>
        <w:spacing w:after="0" w:line="260" w:lineRule="auto"/>
        <w:rPr>
          <w:sz w:val="20"/>
          <w:szCs w:val="20"/>
          <w:color w:val="auto"/>
        </w:rPr>
      </w:pPr>
      <w:r>
        <w:rPr>
          <w:rFonts w:ascii="Times New Roman" w:cs="Times New Roman" w:eastAsia="Times New Roman" w:hAnsi="Times New Roman"/>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64" w:lineRule="exact"/>
        <w:rPr>
          <w:sz w:val="20"/>
          <w:szCs w:val="20"/>
          <w:color w:val="auto"/>
        </w:rPr>
      </w:pPr>
    </w:p>
    <w:p>
      <w:pPr>
        <w:jc w:val="both"/>
        <w:ind w:left="3" w:right="100"/>
        <w:spacing w:after="0" w:line="258" w:lineRule="auto"/>
        <w:rPr>
          <w:sz w:val="20"/>
          <w:szCs w:val="20"/>
          <w:color w:val="auto"/>
        </w:rPr>
      </w:pPr>
      <w:r>
        <w:rPr>
          <w:rFonts w:ascii="Times New Roman" w:cs="Times New Roman" w:eastAsia="Times New Roman" w:hAnsi="Times New Roman"/>
          <w:sz w:val="18"/>
          <w:szCs w:val="18"/>
          <w:color w:val="auto"/>
        </w:rPr>
        <w:t>The Company previously mentioned that it intended to file a clinical trial application with the U.K. Medicines and Healthcare products Regulatory Agency (the “</w:t>
      </w:r>
      <w:r>
        <w:rPr>
          <w:rFonts w:ascii="Times New Roman" w:cs="Times New Roman" w:eastAsia="Times New Roman" w:hAnsi="Times New Roman"/>
          <w:sz w:val="18"/>
          <w:szCs w:val="18"/>
          <w:b w:val="1"/>
          <w:bCs w:val="1"/>
          <w:color w:val="auto"/>
        </w:rPr>
        <w:t>MHRA</w:t>
      </w:r>
      <w:r>
        <w:rPr>
          <w:rFonts w:ascii="Times New Roman" w:cs="Times New Roman" w:eastAsia="Times New Roman" w:hAnsi="Times New Roman"/>
          <w:sz w:val="18"/>
          <w:szCs w:val="18"/>
          <w:color w:val="auto"/>
        </w:rPr>
        <w:t>”) related to the Deuterated Psilocybin Analog Program upon completion of its pre-clinical studies and CMC development. The Company has since decided that it will first proceed in the U.S. and will reevaluate other applications at a later date. Anticipated timelines related to regulatory filings are based on reasonable assumptions informed by current knowledge and information available to the Company.</w:t>
      </w:r>
    </w:p>
    <w:p>
      <w:pPr>
        <w:spacing w:after="0" w:line="17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Licensing Requirements</w:t>
      </w:r>
    </w:p>
    <w:p>
      <w:pPr>
        <w:spacing w:after="0" w:line="205" w:lineRule="exact"/>
        <w:rPr>
          <w:sz w:val="20"/>
          <w:szCs w:val="20"/>
          <w:color w:val="auto"/>
        </w:rPr>
      </w:pPr>
    </w:p>
    <w:p>
      <w:pPr>
        <w:jc w:val="both"/>
        <w:ind w:left="3" w:right="80"/>
        <w:spacing w:after="0" w:line="261" w:lineRule="auto"/>
        <w:rPr>
          <w:sz w:val="20"/>
          <w:szCs w:val="20"/>
          <w:color w:val="auto"/>
        </w:rPr>
      </w:pPr>
      <w:r>
        <w:rPr>
          <w:rFonts w:ascii="Times New Roman" w:cs="Times New Roman" w:eastAsia="Times New Roman" w:hAnsi="Times New Roman"/>
          <w:sz w:val="17"/>
          <w:szCs w:val="17"/>
          <w:color w:val="auto"/>
        </w:rPr>
        <w:t>The Company obtains CYB003 API from a pharmaceutical ingredient provider who is FDA-registered and based in the United States. The API itself has been manufactured and packaged in FDA-registered facilities in the United States. The API is expected to be sent directly to the Company’s partners for research</w:t>
      </w:r>
    </w:p>
    <w:p>
      <w:pPr>
        <w:spacing w:after="0" w:line="1" w:lineRule="exact"/>
        <w:rPr>
          <w:sz w:val="20"/>
          <w:szCs w:val="20"/>
          <w:color w:val="auto"/>
        </w:rPr>
      </w:pPr>
    </w:p>
    <w:p>
      <w:pPr>
        <w:jc w:val="both"/>
        <w:ind w:left="3" w:right="80"/>
        <w:spacing w:after="0" w:line="264" w:lineRule="auto"/>
        <w:rPr>
          <w:sz w:val="20"/>
          <w:szCs w:val="20"/>
          <w:color w:val="auto"/>
        </w:rPr>
      </w:pPr>
      <w:r>
        <w:rPr>
          <w:rFonts w:ascii="Times New Roman" w:cs="Times New Roman" w:eastAsia="Times New Roman" w:hAnsi="Times New Roman"/>
          <w:sz w:val="18"/>
          <w:szCs w:val="18"/>
          <w:color w:val="auto"/>
        </w:rPr>
        <w:t>and development purposes in the United States, Canada and the UK and to its clinical trial site in the U.S. As a part of the Asset Acquisition, the Company also acquired API. The CYB004-E API was manufactured in the Netherlands by a pharmaceutical ingredient provider that is US FDA-inspected</w:t>
      </w:r>
      <w:r>
        <w:rPr>
          <w:rFonts w:ascii="Times New Roman" w:cs="Times New Roman" w:eastAsia="Times New Roman" w:hAnsi="Times New Roman"/>
          <w:sz w:val="23"/>
          <w:szCs w:val="23"/>
          <w:color w:val="auto"/>
          <w:vertAlign w:val="superscript"/>
        </w:rPr>
        <w:t>26</w:t>
      </w:r>
      <w:r>
        <w:rPr>
          <w:rFonts w:ascii="Times New Roman" w:cs="Times New Roman" w:eastAsia="Times New Roman" w:hAnsi="Times New Roman"/>
          <w:sz w:val="18"/>
          <w:szCs w:val="18"/>
          <w:color w:val="auto"/>
        </w:rPr>
        <w:t>.</w:t>
      </w:r>
    </w:p>
    <w:p>
      <w:pPr>
        <w:spacing w:after="0" w:line="110" w:lineRule="exact"/>
        <w:rPr>
          <w:sz w:val="20"/>
          <w:szCs w:val="20"/>
          <w:color w:val="auto"/>
        </w:rPr>
      </w:pPr>
    </w:p>
    <w:p>
      <w:pPr>
        <w:jc w:val="both"/>
        <w:ind w:left="3" w:right="80"/>
        <w:spacing w:after="0" w:line="250" w:lineRule="auto"/>
        <w:rPr>
          <w:sz w:val="20"/>
          <w:szCs w:val="20"/>
          <w:color w:val="auto"/>
        </w:rPr>
      </w:pPr>
      <w:r>
        <w:rPr>
          <w:rFonts w:ascii="Times New Roman" w:cs="Times New Roman" w:eastAsia="Times New Roman" w:hAnsi="Times New Roman"/>
          <w:sz w:val="18"/>
          <w:szCs w:val="18"/>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“Pharmaceutical Products”, depending on how the API is developed, certain authorizations and licences from the MHRA may be required to authorize some of the activities carried on at the UK-based facilities in relation to the API.</w:t>
      </w:r>
    </w:p>
    <w:p>
      <w:pPr>
        <w:spacing w:after="0" w:line="174" w:lineRule="exact"/>
        <w:rPr>
          <w:sz w:val="20"/>
          <w:szCs w:val="20"/>
          <w:color w:val="auto"/>
        </w:rPr>
      </w:pPr>
    </w:p>
    <w:p>
      <w:pPr>
        <w:jc w:val="both"/>
        <w:ind w:left="3" w:right="100"/>
        <w:spacing w:after="0" w:line="266" w:lineRule="auto"/>
        <w:rPr>
          <w:sz w:val="20"/>
          <w:szCs w:val="20"/>
          <w:color w:val="auto"/>
        </w:rPr>
      </w:pPr>
      <w:r>
        <w:rPr>
          <w:rFonts w:ascii="Times New Roman" w:cs="Times New Roman" w:eastAsia="Times New Roman" w:hAnsi="Times New Roman"/>
          <w:sz w:val="18"/>
          <w:szCs w:val="18"/>
          <w:color w:val="auto"/>
        </w:rPr>
        <w:t>All premises that are licensed, or are intending to be licensed, in connection with the possession, and/or supply and/or production of controlled drugs should consider certain security measures.</w:t>
      </w:r>
      <w:r>
        <w:rPr>
          <w:rFonts w:ascii="Times New Roman" w:cs="Times New Roman" w:eastAsia="Times New Roman" w:hAnsi="Times New Roman"/>
          <w:sz w:val="23"/>
          <w:szCs w:val="23"/>
          <w:color w:val="auto"/>
          <w:vertAlign w:val="superscript"/>
        </w:rPr>
        <w:t>27</w:t>
      </w:r>
    </w:p>
    <w:p>
      <w:pPr>
        <w:spacing w:after="0" w:line="96" w:lineRule="exact"/>
        <w:rPr>
          <w:sz w:val="20"/>
          <w:szCs w:val="20"/>
          <w:color w:val="auto"/>
        </w:rPr>
      </w:pPr>
    </w:p>
    <w:p>
      <w:pPr>
        <w:jc w:val="both"/>
        <w:ind w:left="3" w:right="100"/>
        <w:spacing w:after="0" w:line="256" w:lineRule="auto"/>
        <w:rPr>
          <w:sz w:val="20"/>
          <w:szCs w:val="20"/>
          <w:color w:val="auto"/>
        </w:rPr>
      </w:pPr>
      <w:r>
        <w:rPr>
          <w:rFonts w:ascii="Times New Roman" w:cs="Times New Roman" w:eastAsia="Times New Roman" w:hAnsi="Times New Roman"/>
          <w:sz w:val="18"/>
          <w:szCs w:val="18"/>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organization involved in the movement of controlled drugs should have a standard operating procedure covering their responsibilities, record keeping, reconciliation and reporting of thefts/losses.</w:t>
      </w:r>
      <w:r>
        <w:rPr>
          <w:rFonts w:ascii="Times New Roman" w:cs="Times New Roman" w:eastAsia="Times New Roman" w:hAnsi="Times New Roman"/>
          <w:sz w:val="23"/>
          <w:szCs w:val="23"/>
          <w:color w:val="auto"/>
          <w:vertAlign w:val="superscript"/>
        </w:rPr>
        <w:t>28</w:t>
      </w:r>
    </w:p>
    <w:p>
      <w:pPr>
        <w:spacing w:after="0" w:line="9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Pharmaceutical Products</w:t>
      </w:r>
    </w:p>
    <w:p>
      <w:pPr>
        <w:spacing w:after="0" w:line="193" w:lineRule="exact"/>
        <w:rPr>
          <w:sz w:val="20"/>
          <w:szCs w:val="20"/>
          <w:color w:val="auto"/>
        </w:rPr>
      </w:pPr>
    </w:p>
    <w:p>
      <w:pPr>
        <w:jc w:val="both"/>
        <w:ind w:left="3" w:right="80"/>
        <w:spacing w:after="0" w:line="267" w:lineRule="auto"/>
        <w:rPr>
          <w:sz w:val="20"/>
          <w:szCs w:val="20"/>
          <w:color w:val="auto"/>
        </w:rPr>
      </w:pPr>
      <w:r>
        <w:rPr>
          <w:rFonts w:ascii="Times New Roman" w:cs="Times New Roman" w:eastAsia="Times New Roman" w:hAnsi="Times New Roman"/>
          <w:sz w:val="18"/>
          <w:szCs w:val="18"/>
          <w:color w:val="auto"/>
        </w:rPr>
        <w:t>Products are regulated as “medicinal products” under UK legislation (the Human Medicines Regulations 2012) if (i) they are presented as a substance or combination of substances having properties for treating or preventing disease in human beings having a medicinal effect (e.g., in marketing claims) or (ii) have a medicinal effect (i.e., even if no claims are made about the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113665</wp:posOffset>
            </wp:positionV>
            <wp:extent cx="1539875"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39875" cy="7620"/>
                    </a:xfrm>
                    <a:prstGeom prst="rect">
                      <a:avLst/>
                    </a:prstGeom>
                    <a:noFill/>
                  </pic:spPr>
                </pic:pic>
              </a:graphicData>
            </a:graphic>
          </wp:anchor>
        </w:drawing>
      </w:r>
    </w:p>
    <w:p>
      <w:pPr>
        <w:spacing w:after="0" w:line="280" w:lineRule="exact"/>
        <w:rPr>
          <w:sz w:val="20"/>
          <w:szCs w:val="20"/>
          <w:color w:val="auto"/>
        </w:rPr>
      </w:pPr>
    </w:p>
    <w:p>
      <w:pPr>
        <w:jc w:val="both"/>
        <w:ind w:left="3" w:right="80" w:hanging="3"/>
        <w:spacing w:after="0" w:line="228" w:lineRule="auto"/>
        <w:tabs>
          <w:tab w:leader="none" w:pos="146" w:val="left"/>
        </w:tabs>
        <w:numPr>
          <w:ilvl w:val="0"/>
          <w:numId w:val="34"/>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As a result of the Asset Acquisition, including the existing API, the Company did not direct the manufacturing of the API for CYB004-E and proceeded in reliance upon the representations of Entheon and the Company's acquisition diligence. While the Company believes the CYB004-E API meets all required specifications, the Company did not oversee or direct the manufacture of the DMT API being used in CYB004-E.</w:t>
      </w:r>
    </w:p>
    <w:p>
      <w:pPr>
        <w:spacing w:after="0" w:line="2" w:lineRule="exact"/>
        <w:rPr>
          <w:rFonts w:ascii="Times New Roman" w:cs="Times New Roman" w:eastAsia="Times New Roman" w:hAnsi="Times New Roman"/>
          <w:sz w:val="19"/>
          <w:szCs w:val="19"/>
          <w:color w:val="auto"/>
          <w:vertAlign w:val="superscript"/>
        </w:rPr>
      </w:pPr>
    </w:p>
    <w:p>
      <w:pPr>
        <w:ind w:left="3" w:hanging="3"/>
        <w:spacing w:after="0" w:line="256" w:lineRule="auto"/>
        <w:tabs>
          <w:tab w:leader="none" w:pos="172" w:val="left"/>
        </w:tabs>
        <w:numPr>
          <w:ilvl w:val="0"/>
          <w:numId w:val="34"/>
        </w:numPr>
        <w:rPr>
          <w:rFonts w:ascii="Times New Roman" w:cs="Times New Roman" w:eastAsia="Times New Roman" w:hAnsi="Times New Roman"/>
          <w:sz w:val="8"/>
          <w:szCs w:val="8"/>
          <w:color w:val="auto"/>
        </w:rPr>
      </w:pPr>
      <w:r>
        <w:rPr>
          <w:rFonts w:ascii="Times New Roman" w:cs="Times New Roman" w:eastAsia="Times New Roman" w:hAnsi="Times New Roman"/>
          <w:sz w:val="14"/>
          <w:szCs w:val="14"/>
          <w:color w:val="auto"/>
        </w:rPr>
        <w:t>Home Office guidance; Security guidance for all existing or prospective Home Office Controlled Drug Licensees and/or Precursor Chemical Licensees or Registrants; 2022</w:t>
      </w:r>
      <w:r>
        <w:rPr>
          <w:rFonts w:ascii="Times New Roman" w:cs="Times New Roman" w:eastAsia="Times New Roman" w:hAnsi="Times New Roman"/>
          <w:sz w:val="14"/>
          <w:szCs w:val="14"/>
          <w:u w:val="single" w:color="auto"/>
          <w:color w:val="3051F2"/>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3051F2"/>
        </w:rPr>
        <w:t>https://assets.publishing.service.gov.uk/government/uploads/system/uploads/attachment_data/file/1125889/Security_Guidance_for_all_Businesses_and_Other_Organisations_v1.5_Nov_2022.pdf</w:t>
      </w:r>
    </w:p>
    <w:p>
      <w:pPr>
        <w:ind w:left="123" w:hanging="123"/>
        <w:spacing w:after="0"/>
        <w:tabs>
          <w:tab w:leader="none" w:pos="123" w:val="left"/>
        </w:tabs>
        <w:numPr>
          <w:ilvl w:val="0"/>
          <w:numId w:val="34"/>
        </w:numPr>
        <w:rPr>
          <w:rFonts w:ascii="Times New Roman" w:cs="Times New Roman" w:eastAsia="Times New Roman" w:hAnsi="Times New Roman"/>
          <w:sz w:val="8"/>
          <w:szCs w:val="8"/>
          <w:color w:val="auto"/>
        </w:rPr>
      </w:pPr>
      <w:r>
        <w:rPr>
          <w:rFonts w:ascii="Times New Roman" w:cs="Times New Roman" w:eastAsia="Times New Roman" w:hAnsi="Times New Roman"/>
          <w:sz w:val="15"/>
          <w:szCs w:val="15"/>
          <w:color w:val="auto"/>
        </w:rPr>
        <w:t>Home Office guidance; Guidelines for Standard Operating Procedures (SOPs);</w:t>
      </w:r>
    </w:p>
    <w:p>
      <w:pPr>
        <w:spacing w:after="0" w:line="6" w:lineRule="exact"/>
        <w:rPr>
          <w:sz w:val="20"/>
          <w:szCs w:val="20"/>
          <w:color w:val="auto"/>
        </w:rPr>
      </w:pPr>
    </w:p>
    <w:p>
      <w:pPr>
        <w:ind w:left="3"/>
        <w:spacing w:after="0"/>
        <w:rPr>
          <w:sz w:val="20"/>
          <w:szCs w:val="20"/>
          <w:color w:val="auto"/>
        </w:rPr>
      </w:pPr>
      <w:r>
        <w:rPr>
          <w:rFonts w:ascii="Times New Roman" w:cs="Times New Roman" w:eastAsia="Times New Roman" w:hAnsi="Times New Roman"/>
          <w:sz w:val="15"/>
          <w:szCs w:val="15"/>
          <w:u w:val="single" w:color="auto"/>
          <w:color w:val="3051F2"/>
        </w:rPr>
        <w:t>https://assets.publishing.service.gov.uk/government/uploads/system/uploads/attachment_data/file/480572/StandardOpProcedure.pdf.</w:t>
      </w:r>
    </w:p>
    <w:p>
      <w:pPr>
        <w:spacing w:after="0" w:line="200" w:lineRule="exact"/>
        <w:rPr>
          <w:sz w:val="20"/>
          <w:szCs w:val="20"/>
          <w:color w:val="auto"/>
        </w:rPr>
      </w:pPr>
    </w:p>
    <w:p>
      <w:pPr>
        <w:spacing w:after="0" w:line="343" w:lineRule="exact"/>
        <w:rPr>
          <w:sz w:val="20"/>
          <w:szCs w:val="20"/>
          <w:color w:val="auto"/>
        </w:rPr>
      </w:pPr>
    </w:p>
    <w:p>
      <w:pPr>
        <w:jc w:val="center"/>
        <w:ind w:right="77"/>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343"/>
          </w:cols>
          <w:pgMar w:left="317" w:top="701" w:right="239" w:bottom="1440" w:gutter="0" w:footer="0" w:header="0"/>
        </w:sectPr>
      </w:pPr>
    </w:p>
    <w:bookmarkStart w:id="47" w:name="page48"/>
    <w:bookmarkEnd w:id="47"/>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 product has a “medicinal effect” if it has a pharmacological, immunological or metabolic effect on the body that restores, corrects or modifies a physiological function. Whether this is the case for a specific product will depend on factors such as the concentration of the psilocybin/psilocin and the mode of action of any psilocybin/psilocin absorbed in the body.</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Times New Roman" w:cs="Times New Roman" w:eastAsia="Times New Roman" w:hAnsi="Times New Roman"/>
          <w:sz w:val="18"/>
          <w:szCs w:val="18"/>
          <w:b w:val="1"/>
          <w:bCs w:val="1"/>
          <w:color w:val="auto"/>
        </w:rPr>
        <w:t>GMP</w:t>
      </w:r>
      <w:r>
        <w:rPr>
          <w:rFonts w:ascii="Times New Roman" w:cs="Times New Roman" w:eastAsia="Times New Roman" w:hAnsi="Times New Roman"/>
          <w:sz w:val="18"/>
          <w:szCs w:val="18"/>
          <w:color w:val="auto"/>
        </w:rPr>
        <w:t>”)) and/or Good Distribution Practice (“</w:t>
      </w:r>
      <w:r>
        <w:rPr>
          <w:rFonts w:ascii="Times New Roman" w:cs="Times New Roman" w:eastAsia="Times New Roman" w:hAnsi="Times New Roman"/>
          <w:sz w:val="18"/>
          <w:szCs w:val="18"/>
          <w:b w:val="1"/>
          <w:bCs w:val="1"/>
          <w:color w:val="auto"/>
        </w:rPr>
        <w:t>GDP</w:t>
      </w:r>
      <w:r>
        <w:rPr>
          <w:rFonts w:ascii="Times New Roman" w:cs="Times New Roman" w:eastAsia="Times New Roman" w:hAnsi="Times New Roman"/>
          <w:sz w:val="18"/>
          <w:szCs w:val="18"/>
          <w:color w:val="auto"/>
        </w:rPr>
        <w:t>”) and to hold a related licence from the MHRA.</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 the API is subsequently processed will determine the licences that the UK-based facility must hold. In particular:</w:t>
      </w:r>
    </w:p>
    <w:p>
      <w:pPr>
        <w:spacing w:after="0" w:line="201" w:lineRule="exact"/>
        <w:rPr>
          <w:sz w:val="20"/>
          <w:szCs w:val="20"/>
          <w:color w:val="auto"/>
        </w:rPr>
      </w:pPr>
    </w:p>
    <w:p>
      <w:pPr>
        <w:jc w:val="both"/>
        <w:ind w:left="580" w:right="20" w:hanging="292"/>
        <w:spacing w:after="0" w:line="253" w:lineRule="auto"/>
        <w:tabs>
          <w:tab w:leader="none" w:pos="5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API is just one ‘ingredient’ of the investigational medicinal product (the “</w:t>
      </w:r>
      <w:r>
        <w:rPr>
          <w:rFonts w:ascii="Times New Roman" w:cs="Times New Roman" w:eastAsia="Times New Roman" w:hAnsi="Times New Roman"/>
          <w:sz w:val="18"/>
          <w:szCs w:val="18"/>
          <w:b w:val="1"/>
          <w:bCs w:val="1"/>
          <w:color w:val="auto"/>
        </w:rPr>
        <w:t>IMP</w:t>
      </w:r>
      <w:r>
        <w:rPr>
          <w:rFonts w:ascii="Times New Roman" w:cs="Times New Roman" w:eastAsia="Times New Roman" w:hAnsi="Times New Roman"/>
          <w:sz w:val="18"/>
          <w:szCs w:val="18"/>
          <w:color w:val="auto"/>
        </w:rPr>
        <w:t>”) which is used in the clinical trial then the UK-based facility must register with the MHRA and provide the MHRA with 60 days’ notice of the intended start of manufacture/distribution of the API, and comply with GMP and GDP for active substances; and</w:t>
      </w:r>
    </w:p>
    <w:p>
      <w:pPr>
        <w:jc w:val="both"/>
        <w:ind w:left="580" w:right="20" w:hanging="292"/>
        <w:spacing w:after="0" w:line="249" w:lineRule="auto"/>
        <w:tabs>
          <w:tab w:leader="none" w:pos="56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conversely, if the API will itself constitute the IMP, the manufacturer must hold a Manufacturer’s Authorizations for IMPs licence (“</w:t>
      </w:r>
      <w:r>
        <w:rPr>
          <w:rFonts w:ascii="Times New Roman" w:cs="Times New Roman" w:eastAsia="Times New Roman" w:hAnsi="Times New Roman"/>
          <w:sz w:val="18"/>
          <w:szCs w:val="18"/>
          <w:b w:val="1"/>
          <w:bCs w:val="1"/>
          <w:color w:val="auto"/>
        </w:rPr>
        <w:t>MIA(IMP</w:t>
      </w:r>
      <w:r>
        <w:rPr>
          <w:rFonts w:ascii="Times New Roman" w:cs="Times New Roman" w:eastAsia="Times New Roman" w:hAnsi="Times New Roman"/>
          <w:sz w:val="18"/>
          <w:szCs w:val="18"/>
          <w:color w:val="auto"/>
        </w:rPr>
        <w:t>)”). In this scenario, an MIA(IMP) would be required regardless of whether the IMP is for use in the UK, an EEA Member State or a third country (such as the United States or Canada).</w:t>
      </w:r>
    </w:p>
    <w:p>
      <w:pPr>
        <w:spacing w:after="0" w:line="197"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19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is focused on development of psychedelic medicines and other products, through research and development of novel chemical compounds and delivery mechanisms and study of such compounds in clinical environments around the world. The Company anticipates growing its pipeline of psychedelic pharmaceutical products inspired medicines through its internal research, development, proprietary discovery programs, mergers and acquisitions, joint ventures and collaborative development agreements. For the time being, the Company maintains intellectual property generated by its R&amp;D programs through patent filings and as trade secrets. The Company anticipates that as these programs mature more patent applications will be filed and more details about these programs will be disclosed at such time.</w:t>
      </w:r>
    </w:p>
    <w:p>
      <w:pPr>
        <w:spacing w:after="0" w:line="17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Company cannot guarantee that the continued effects of COVID-19 will not impact patient recruiting for clinical trials and institutional processes at institutions involved in pharmaceutical product development.</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Times New Roman" w:cs="Times New Roman" w:eastAsia="Times New Roman" w:hAnsi="Times New Roman"/>
          <w:sz w:val="18"/>
          <w:szCs w:val="18"/>
          <w:i w:val="1"/>
          <w:iCs w:val="1"/>
          <w:color w:val="auto"/>
        </w:rPr>
        <w:t>Psilocybe</w:t>
      </w:r>
      <w:r>
        <w:rPr>
          <w:rFonts w:ascii="Times New Roman" w:cs="Times New Roman" w:eastAsia="Times New Roman" w:hAnsi="Times New Roman"/>
          <w:sz w:val="18"/>
          <w:szCs w:val="18"/>
          <w:color w:val="auto"/>
        </w:rPr>
        <w:t xml:space="preserve">, such as </w:t>
      </w:r>
      <w:r>
        <w:rPr>
          <w:rFonts w:ascii="Times New Roman" w:cs="Times New Roman" w:eastAsia="Times New Roman" w:hAnsi="Times New Roman"/>
          <w:sz w:val="18"/>
          <w:szCs w:val="18"/>
          <w:i w:val="1"/>
          <w:iCs w:val="1"/>
          <w:color w:val="auto"/>
        </w:rPr>
        <w:t>P. azurescens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 semilanceata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 cyanescens</w:t>
      </w:r>
      <w:r>
        <w:rPr>
          <w:rFonts w:ascii="Times New Roman" w:cs="Times New Roman" w:eastAsia="Times New Roman" w:hAnsi="Times New Roman"/>
          <w:sz w:val="18"/>
          <w:szCs w:val="18"/>
          <w:color w:val="auto"/>
        </w:rPr>
        <w:t>, but psilocybin has also been isolated from about a dozen other genera. As a prodrug, psilocybin is quickly converted by the body to psilocin, which has mind-altering effects.</w:t>
      </w:r>
    </w:p>
    <w:p>
      <w:pPr>
        <w:spacing w:after="0" w:line="17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260"/>
          </w:cols>
          <w:pgMar w:left="320" w:top="701" w:right="319" w:bottom="1440" w:gutter="0" w:footer="0" w:header="0"/>
        </w:sectPr>
      </w:pPr>
    </w:p>
    <w:bookmarkStart w:id="48" w:name="page49"/>
    <w:bookmarkEnd w:id="4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20"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Cybin has commenced research and development on the delivery of synthetic psilocybin and other psychedelics through mechanisms such as sublingual film delivery, ODT, IV, and by way of inhalation.</w:t>
      </w:r>
    </w:p>
    <w:p>
      <w:pPr>
        <w:spacing w:after="0" w:line="18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Research and development is led by the Company’s North American Chief Research and Development Officer, Dr. Michael G. Palfreyman. Dr. Palfreyman, who holds a PhD in Neuroscience and Neuropharmacology from the University of Nottingham, United Kingdom, is an accomplished pharmaceutical industry veteran responsible for more than 30 successful clinical programs.</w:t>
      </w:r>
    </w:p>
    <w:p>
      <w:pPr>
        <w:spacing w:after="0" w:line="16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Company’s research and development must be conducted in strict compliance with the regulations of federal, state, local and regulatory agencies in Canada, the United States, and the UK, and the equivalent regulatory agencies in the other jurisdictions in which the Company operates. These regulatory authorities regulate, among other things, the research, manufacture, promotion and distribution of drugs in specific jurisdictions under applicable laws and regulations.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Canada</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Canada generally involves:</w:t>
      </w:r>
    </w:p>
    <w:p>
      <w:pPr>
        <w:spacing w:after="0" w:line="191" w:lineRule="exact"/>
        <w:rPr>
          <w:sz w:val="20"/>
          <w:szCs w:val="20"/>
          <w:color w:val="auto"/>
        </w:rPr>
      </w:pPr>
    </w:p>
    <w:p>
      <w:pPr>
        <w:ind w:left="580" w:right="20" w:hanging="292"/>
        <w:spacing w:after="0" w:line="284" w:lineRule="auto"/>
        <w:tabs>
          <w:tab w:leader="none" w:pos="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Chemical and Biological Research – </w:t>
      </w:r>
      <w:r>
        <w:rPr>
          <w:rFonts w:ascii="Times New Roman" w:cs="Times New Roman" w:eastAsia="Times New Roman" w:hAnsi="Times New Roman"/>
          <w:sz w:val="18"/>
          <w:szCs w:val="18"/>
          <w:color w:val="auto"/>
        </w:rPr>
        <w:t>Laboratory tests are carried out on tissue cultures and with a variety of small animals to determine the effects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drug. If the results are promising, the manufacturer will proceed to the next step of development.</w:t>
      </w:r>
    </w:p>
    <w:p>
      <w:pPr>
        <w:spacing w:after="0" w:line="152" w:lineRule="exact"/>
        <w:rPr>
          <w:rFonts w:ascii="Times New Roman" w:cs="Times New Roman" w:eastAsia="Times New Roman" w:hAnsi="Times New Roman"/>
          <w:sz w:val="18"/>
          <w:szCs w:val="18"/>
          <w:color w:val="auto"/>
        </w:rPr>
      </w:pPr>
    </w:p>
    <w:p>
      <w:pPr>
        <w:ind w:left="580" w:right="20" w:hanging="292"/>
        <w:spacing w:after="0" w:line="284" w:lineRule="auto"/>
        <w:tabs>
          <w:tab w:leader="none" w:pos="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Preclinical Development – </w:t>
      </w:r>
      <w:r>
        <w:rPr>
          <w:rFonts w:ascii="Times New Roman" w:cs="Times New Roman" w:eastAsia="Times New Roman" w:hAnsi="Times New Roman"/>
          <w:sz w:val="18"/>
          <w:szCs w:val="18"/>
          <w:color w:val="auto"/>
        </w:rPr>
        <w:t>Animals are given the drug in varying amounts over differing periods of time. If it can be shown that the drug causes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serious or unexpected harm at the doses required to have an effect, the manufacturer will proceed to clinical trials.</w:t>
      </w:r>
    </w:p>
    <w:p>
      <w:pPr>
        <w:spacing w:after="0" w:line="165" w:lineRule="exact"/>
        <w:rPr>
          <w:rFonts w:ascii="Times New Roman" w:cs="Times New Roman" w:eastAsia="Times New Roman" w:hAnsi="Times New Roman"/>
          <w:sz w:val="18"/>
          <w:szCs w:val="18"/>
          <w:color w:val="auto"/>
        </w:rPr>
      </w:pPr>
    </w:p>
    <w:p>
      <w:pPr>
        <w:jc w:val="both"/>
        <w:ind w:left="580" w:hanging="292"/>
        <w:spacing w:after="0" w:line="254" w:lineRule="auto"/>
        <w:tabs>
          <w:tab w:leader="none" w:pos="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1 - </w:t>
      </w:r>
      <w:r>
        <w:rPr>
          <w:rFonts w:ascii="Times New Roman" w:cs="Times New Roman" w:eastAsia="Times New Roman" w:hAnsi="Times New Roman"/>
          <w:sz w:val="18"/>
          <w:szCs w:val="18"/>
          <w:color w:val="auto"/>
        </w:rPr>
        <w:t>The first administration in humans is to test if people can tolerate the drug. If this testing is to take place in Canada,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manufacturer must prepare a clinical trial application for the Therapeutic Products Directorate of Health Canada (the “</w:t>
      </w:r>
      <w:r>
        <w:rPr>
          <w:rFonts w:ascii="Times New Roman" w:cs="Times New Roman" w:eastAsia="Times New Roman" w:hAnsi="Times New Roman"/>
          <w:sz w:val="18"/>
          <w:szCs w:val="18"/>
          <w:b w:val="1"/>
          <w:bCs w:val="1"/>
          <w:color w:val="auto"/>
        </w:rPr>
        <w:t>TPD</w:t>
      </w:r>
      <w:r>
        <w:rPr>
          <w:rFonts w:ascii="Times New Roman" w:cs="Times New Roman" w:eastAsia="Times New Roman" w:hAnsi="Times New Roman"/>
          <w:sz w:val="18"/>
          <w:szCs w:val="18"/>
          <w:color w:val="auto"/>
        </w:rPr>
        <w:t>”). This includes the results of the first two steps and a proposal for testing in humans. If the information is sufficient, the Health Products and Food Branch of Health Canada (the “</w:t>
      </w:r>
      <w:r>
        <w:rPr>
          <w:rFonts w:ascii="Times New Roman" w:cs="Times New Roman" w:eastAsia="Times New Roman" w:hAnsi="Times New Roman"/>
          <w:sz w:val="18"/>
          <w:szCs w:val="18"/>
          <w:b w:val="1"/>
          <w:bCs w:val="1"/>
          <w:color w:val="auto"/>
        </w:rPr>
        <w:t>HPFB</w:t>
      </w:r>
      <w:r>
        <w:rPr>
          <w:rFonts w:ascii="Times New Roman" w:cs="Times New Roman" w:eastAsia="Times New Roman" w:hAnsi="Times New Roman"/>
          <w:sz w:val="18"/>
          <w:szCs w:val="18"/>
          <w:color w:val="auto"/>
        </w:rPr>
        <w:t>”) grants permission to start testing the drug, generally first on healthy volunteers.</w:t>
      </w:r>
    </w:p>
    <w:p>
      <w:pPr>
        <w:spacing w:after="0" w:line="190" w:lineRule="exact"/>
        <w:rPr>
          <w:rFonts w:ascii="Times New Roman" w:cs="Times New Roman" w:eastAsia="Times New Roman" w:hAnsi="Times New Roman"/>
          <w:sz w:val="18"/>
          <w:szCs w:val="18"/>
          <w:color w:val="auto"/>
        </w:rPr>
      </w:pPr>
    </w:p>
    <w:p>
      <w:pPr>
        <w:jc w:val="both"/>
        <w:ind w:left="580" w:right="20" w:hanging="292"/>
        <w:spacing w:after="0" w:line="261" w:lineRule="auto"/>
        <w:tabs>
          <w:tab w:leader="none" w:pos="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2 - Phase 2 </w:t>
      </w:r>
      <w:r>
        <w:rPr>
          <w:rFonts w:ascii="Times New Roman" w:cs="Times New Roman" w:eastAsia="Times New Roman" w:hAnsi="Times New Roman"/>
          <w:sz w:val="18"/>
          <w:szCs w:val="18"/>
          <w:color w:val="auto"/>
        </w:rPr>
        <w:t>trials are carried out on people with the target condition, who are usually otherwise healthy, with no other medical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185" w:lineRule="exact"/>
        <w:rPr>
          <w:rFonts w:ascii="Times New Roman" w:cs="Times New Roman" w:eastAsia="Times New Roman" w:hAnsi="Times New Roman"/>
          <w:sz w:val="18"/>
          <w:szCs w:val="18"/>
          <w:color w:val="auto"/>
        </w:rPr>
      </w:pPr>
    </w:p>
    <w:p>
      <w:pPr>
        <w:jc w:val="both"/>
        <w:ind w:left="580" w:right="20" w:hanging="292"/>
        <w:spacing w:after="0" w:line="259" w:lineRule="auto"/>
        <w:tabs>
          <w:tab w:leader="none" w:pos="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Clinical Trials – Phase 3 - </w:t>
      </w:r>
      <w:r>
        <w:rPr>
          <w:rFonts w:ascii="Times New Roman" w:cs="Times New Roman" w:eastAsia="Times New Roman" w:hAnsi="Times New Roman"/>
          <w:sz w:val="18"/>
          <w:szCs w:val="18"/>
          <w:color w:val="auto"/>
        </w:rPr>
        <w:t>If the results from phase II show promise, the manufacturer provides an updated clinical trial application to the TPD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171" w:lineRule="exact"/>
        <w:rPr>
          <w:rFonts w:ascii="Times New Roman" w:cs="Times New Roman" w:eastAsia="Times New Roman" w:hAnsi="Times New Roman"/>
          <w:sz w:val="18"/>
          <w:szCs w:val="18"/>
          <w:color w:val="auto"/>
        </w:rPr>
      </w:pPr>
    </w:p>
    <w:p>
      <w:pPr>
        <w:jc w:val="both"/>
        <w:ind w:left="580" w:hanging="292"/>
        <w:spacing w:after="0" w:line="258" w:lineRule="auto"/>
        <w:tabs>
          <w:tab w:leader="none" w:pos="56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New Drug Submission – </w:t>
      </w:r>
      <w:r>
        <w:rPr>
          <w:rFonts w:ascii="Times New Roman" w:cs="Times New Roman" w:eastAsia="Times New Roman" w:hAnsi="Times New Roman"/>
          <w:sz w:val="18"/>
          <w:szCs w:val="18"/>
          <w:color w:val="auto"/>
        </w:rPr>
        <w:t>If the results from phase III continue to be favourable, the drug manufacturer can submit a new drug submission (“</w:t>
      </w:r>
      <w:r>
        <w:rPr>
          <w:rFonts w:ascii="Times New Roman" w:cs="Times New Roman" w:eastAsia="Times New Roman" w:hAnsi="Times New Roman"/>
          <w:sz w:val="18"/>
          <w:szCs w:val="18"/>
          <w:b w:val="1"/>
          <w:bCs w:val="1"/>
          <w:color w:val="auto"/>
        </w:rPr>
        <w:t>NDS</w:t>
      </w:r>
      <w:r>
        <w:rPr>
          <w:rFonts w:ascii="Times New Roman" w:cs="Times New Roman" w:eastAsia="Times New Roman" w:hAnsi="Times New Roman"/>
          <w:sz w:val="18"/>
          <w:szCs w:val="18"/>
          <w:color w:val="auto"/>
        </w:rPr>
        <w: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United States</w:t>
      </w:r>
    </w:p>
    <w:p>
      <w:pPr>
        <w:spacing w:after="0" w:line="133"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Because psilocybin, psilocin, DMT, and 5-Methoxy-DMT are listed as Schedule I substances under the CSA, for any product containing psilocybin or any Schedule I substance to be available for commercial marketing in the United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260"/>
          </w:cols>
          <w:pgMar w:left="320" w:top="701"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States, such substance must be rescheduled, or the product itself must be scheduled, by the DEA to Schedule II, III, IV or V.</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before a prescription drug product candidate may be marketed in the United States generally involves:</w:t>
      </w:r>
    </w:p>
    <w:p>
      <w:pPr>
        <w:spacing w:after="0" w:line="19" w:lineRule="exact"/>
        <w:rPr>
          <w:sz w:val="20"/>
          <w:szCs w:val="20"/>
          <w:color w:val="auto"/>
        </w:rPr>
      </w:pPr>
    </w:p>
    <w:p>
      <w:pPr>
        <w:ind w:left="580" w:right="20" w:hanging="292"/>
        <w:spacing w:after="0" w:line="249" w:lineRule="auto"/>
        <w:tabs>
          <w:tab w:leader="none" w:pos="5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extensive non-clinical laboratory tests, animal studies and formulation studies, all performed in accordance with the FDA’s Good Laboratory, Good Clinical and/or Good Manufacturing Practice regulations;</w:t>
      </w:r>
    </w:p>
    <w:p>
      <w:pPr>
        <w:spacing w:after="0" w:line="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the FDA must approve before human clinical trials may begin;</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IRB or independent ethics committee at each clinical trial site before each trial may be initiated;</w:t>
      </w:r>
    </w:p>
    <w:p>
      <w:pPr>
        <w:spacing w:after="0" w:line="5" w:lineRule="exact"/>
        <w:rPr>
          <w:rFonts w:ascii="Times New Roman" w:cs="Times New Roman" w:eastAsia="Times New Roman" w:hAnsi="Times New Roman"/>
          <w:sz w:val="18"/>
          <w:szCs w:val="18"/>
          <w:color w:val="auto"/>
        </w:rPr>
      </w:pPr>
    </w:p>
    <w:p>
      <w:pPr>
        <w:ind w:left="580" w:right="20" w:hanging="292"/>
        <w:spacing w:after="0" w:line="246" w:lineRule="auto"/>
        <w:tabs>
          <w:tab w:leader="none" w:pos="5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ind w:left="560" w:hanging="272"/>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 New Drug Application (“</w:t>
      </w:r>
      <w:r>
        <w:rPr>
          <w:rFonts w:ascii="Times New Roman" w:cs="Times New Roman" w:eastAsia="Times New Roman" w:hAnsi="Times New Roman"/>
          <w:sz w:val="18"/>
          <w:szCs w:val="18"/>
          <w:b w:val="1"/>
          <w:bCs w:val="1"/>
          <w:color w:val="auto"/>
        </w:rPr>
        <w:t>NDA</w:t>
      </w:r>
      <w:r>
        <w:rPr>
          <w:rFonts w:ascii="Times New Roman" w:cs="Times New Roman" w:eastAsia="Times New Roman" w:hAnsi="Times New Roman"/>
          <w:sz w:val="18"/>
          <w:szCs w:val="18"/>
          <w:color w:val="auto"/>
        </w:rPr>
        <w:t>”);</w:t>
      </w:r>
    </w:p>
    <w:p>
      <w:pPr>
        <w:spacing w:after="0" w:line="11" w:lineRule="exact"/>
        <w:rPr>
          <w:rFonts w:ascii="Times New Roman" w:cs="Times New Roman" w:eastAsia="Times New Roman" w:hAnsi="Times New Roman"/>
          <w:sz w:val="18"/>
          <w:szCs w:val="18"/>
          <w:color w:val="auto"/>
        </w:rPr>
      </w:pPr>
    </w:p>
    <w:p>
      <w:pPr>
        <w:jc w:val="both"/>
        <w:ind w:left="580" w:right="20" w:hanging="292"/>
        <w:spacing w:after="0" w:line="248" w:lineRule="auto"/>
        <w:tabs>
          <w:tab w:leader="none" w:pos="569"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one or more FDA pre-approval inspections of the manufacturing facility or facilities where the drug will be produced to assess compliance with cGMP requirements to assure that the facilities, methods and controls are adequate to preserve the drug’s identity, strength, quality, and purity; and</w:t>
      </w:r>
    </w:p>
    <w:p>
      <w:pPr>
        <w:spacing w:after="0" w:line="1"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prior to any commercial marketing, sale or shipment of the drug.</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testing and approval process requires substantial time, effort and financial resources, and the Company cannot be certain that any approvals for its prescription drug product candidates will be granted on a timely basis, if at all.</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 IRB board, at each of the clinical centers proposing to conduct the clinical trial, must review and approve the plan for any clinical trial before it commences at that center. An IRB board considers, among other things, whether the risks to individuals participating in the trials are minimized and are reasonable in relation to anticipated benefits. The IRB board also approves the consent form signed by the trial participants and must monitor the study until completed. The FDA, the independent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Company may need to rely upon in order to receive timely approval or to be competitive.</w:t>
      </w:r>
    </w:p>
    <w:p>
      <w:pPr>
        <w:spacing w:after="0" w:line="153"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Company may plan to seek orphan drug designation for certain indications qualified for such designation. The U.S., E.U.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60"/>
          </w:cols>
          <w:pgMar w:left="320" w:top="701" w:right="319" w:bottom="1440" w:gutter="0" w:footer="0" w:header="0"/>
        </w:sectPr>
      </w:pPr>
    </w:p>
    <w:bookmarkStart w:id="50" w:name="page51"/>
    <w:bookmarkEnd w:id="50"/>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approve any other applications to market the same drug for the same indication, except in very limited circumstances, for a period of seven years in the U.S.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fees.</w:t>
      </w:r>
    </w:p>
    <w:p>
      <w:pPr>
        <w:spacing w:after="0" w:line="15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7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7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the United States, pharmaceutical manufacturers are subject to complex laws and regulations pertaining to healthcare “fraud and abuse,” including, but not limited to, the Anti-Kickback Statute, the federal </w:t>
      </w:r>
      <w:r>
        <w:rPr>
          <w:rFonts w:ascii="Times New Roman" w:cs="Times New Roman" w:eastAsia="Times New Roman" w:hAnsi="Times New Roman"/>
          <w:sz w:val="19"/>
          <w:szCs w:val="19"/>
          <w:i w:val="1"/>
          <w:iCs w:val="1"/>
          <w:color w:val="auto"/>
        </w:rPr>
        <w:t>False Claims Act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9"/>
          <w:szCs w:val="19"/>
          <w:b w:val="1"/>
          <w:bCs w:val="1"/>
          <w:color w:val="auto"/>
        </w:rPr>
        <w:t>FCA</w:t>
      </w:r>
      <w:r>
        <w:rPr>
          <w:rFonts w:ascii="Times New Roman" w:cs="Times New Roman" w:eastAsia="Times New Roman" w:hAnsi="Times New Roman"/>
          <w:sz w:val="18"/>
          <w:szCs w:val="18"/>
          <w:color w:val="auto"/>
        </w:rPr>
        <w: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9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w:t>
      </w:r>
    </w:p>
    <w:p>
      <w:pPr>
        <w:spacing w:after="0" w:line="4" w:lineRule="exact"/>
        <w:rPr>
          <w:sz w:val="20"/>
          <w:szCs w:val="20"/>
          <w:color w:val="auto"/>
        </w:rPr>
      </w:pPr>
    </w:p>
    <w:p>
      <w:pPr>
        <w:jc w:val="both"/>
        <w:ind w:right="20"/>
        <w:spacing w:after="0" w:line="272" w:lineRule="auto"/>
        <w:rPr>
          <w:sz w:val="20"/>
          <w:szCs w:val="20"/>
          <w:color w:val="auto"/>
        </w:rPr>
      </w:pPr>
      <w:r>
        <w:rPr>
          <w:rFonts w:ascii="Times New Roman" w:cs="Times New Roman" w:eastAsia="Times New Roman" w:hAnsi="Times New Roman"/>
          <w:sz w:val="17"/>
          <w:szCs w:val="17"/>
          <w:color w:val="auto"/>
        </w:rPr>
        <w:t>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w:t>
      </w:r>
    </w:p>
    <w:p>
      <w:pPr>
        <w:spacing w:after="0" w:line="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60"/>
          </w:cols>
          <w:pgMar w:left="320" w:top="701" w:right="319" w:bottom="1440" w:gutter="0" w:footer="0" w:header="0"/>
        </w:sectPr>
      </w:pPr>
    </w:p>
    <w:bookmarkStart w:id="51" w:name="page52"/>
    <w:bookmarkEnd w:id="5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Controlled Substances</w:t>
      </w:r>
    </w:p>
    <w:p>
      <w:pPr>
        <w:spacing w:after="0" w:line="2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9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8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9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9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Company’s business, operations and financial condition.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60"/>
          </w:cols>
          <w:pgMar w:left="320" w:top="701" w:right="319" w:bottom="1440" w:gutter="0" w:footer="0" w:header="0"/>
        </w:sectPr>
      </w:pPr>
    </w:p>
    <w:bookmarkStart w:id="52" w:name="page53"/>
    <w:bookmarkEnd w:id="5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DEA may seek civil penalties, refuse to renew necessary registrations, or initiate proceedings to revoke those registrations. In certain circumstances, violations could lead to criminal prosecution.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Netherlands</w:t>
      </w:r>
    </w:p>
    <w:p>
      <w:pPr>
        <w:spacing w:after="0" w:line="21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Times New Roman" w:cs="Times New Roman" w:eastAsia="Times New Roman" w:hAnsi="Times New Roman"/>
          <w:sz w:val="17"/>
          <w:szCs w:val="17"/>
          <w:b w:val="1"/>
          <w:bCs w:val="1"/>
          <w:color w:val="auto"/>
        </w:rPr>
        <w:t>IMP</w:t>
      </w:r>
      <w:r>
        <w:rPr>
          <w:rFonts w:ascii="Times New Roman" w:cs="Times New Roman" w:eastAsia="Times New Roman" w:hAnsi="Times New Roman"/>
          <w:sz w:val="17"/>
          <w:szCs w:val="17"/>
          <w:color w:val="auto"/>
        </w:rPr>
        <w:t>”), and data from non-clinical and clinical studies. Guidance concerning IMPDs is based on Regulation (EU) No 536/2014 on Clinical Trials on Medicinal Products for Human Use (the “</w:t>
      </w:r>
      <w:r>
        <w:rPr>
          <w:rFonts w:ascii="Times New Roman" w:cs="Times New Roman" w:eastAsia="Times New Roman" w:hAnsi="Times New Roman"/>
          <w:sz w:val="17"/>
          <w:szCs w:val="17"/>
          <w:b w:val="1"/>
          <w:bCs w:val="1"/>
          <w:color w:val="auto"/>
        </w:rPr>
        <w:t>CTR</w:t>
      </w:r>
      <w:r>
        <w:rPr>
          <w:rFonts w:ascii="Times New Roman" w:cs="Times New Roman" w:eastAsia="Times New Roman" w:hAnsi="Times New Roman"/>
          <w:sz w:val="17"/>
          <w:szCs w:val="17"/>
          <w:color w:val="auto"/>
        </w:rPr>
        <w:t>”)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 The CTR is applicable as of January 31, 2022, harmonizing the laws, regulations and administrative provisions of the Member States relating to the implementation of Good Clinical Practice in the conduct of clinical trials on medicinal products for human use. European Member States have transformed the requirements outlined in the Clinical Trials Directive into the respective national laws.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8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8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With the completion of the Asset Acquisition, the Company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Failure of the Company to receive the necessary regulatory approvals required to conduct the Phase 1 Study would have an adverse impact on its business plans and financial condition for a number of reasons including, without limitation: (i) it would cause delays in the Company’s research and development plans; (ii) it may require the Company to expend additional financial and human resources on revising its application package or creating a new one; or (iii) it may require the Company to approach an entirely different regulatory authority in a new jurisdiction, in which case the Company would have to expend a substantial amount of capital and other resources on engaging the appropriate research and development partners and creating an application package that complies with the regulations of that new jurisdiction. Additionally, the Company would be required to spend capital on transferring the DMT materials to the new jurisdiction. All of the foregoing would likely have a negative impact on the Company’s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60"/>
          </w:cols>
          <w:pgMar w:left="320" w:top="701"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color w:val="auto"/>
        </w:rPr>
        <w:t>Pharmaceutical products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Dutch Medicines Act (</w:t>
      </w:r>
      <w:r>
        <w:rPr>
          <w:rFonts w:ascii="Times New Roman" w:cs="Times New Roman" w:eastAsia="Times New Roman" w:hAnsi="Times New Roman"/>
          <w:sz w:val="19"/>
          <w:szCs w:val="19"/>
          <w:i w:val="1"/>
          <w:iCs w:val="1"/>
          <w:color w:val="auto"/>
        </w:rPr>
        <w:t>Geneesmiddelenwet</w:t>
      </w:r>
      <w:r>
        <w:rPr>
          <w:rFonts w:ascii="Times New Roman" w:cs="Times New Roman" w:eastAsia="Times New Roman" w:hAnsi="Times New Roman"/>
          <w:sz w:val="18"/>
          <w:szCs w:val="18"/>
          <w:color w:val="auto"/>
        </w:rPr>
        <w:t>), “medicinal products” are defined as: a substance or a combination of substances that is</w:t>
      </w:r>
    </w:p>
    <w:p>
      <w:pPr>
        <w:spacing w:after="0" w:line="26"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7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w:t>
      </w:r>
      <w:r>
        <w:rPr>
          <w:rFonts w:ascii="Times New Roman" w:cs="Times New Roman" w:eastAsia="Times New Roman" w:hAnsi="Times New Roman"/>
          <w:sz w:val="18"/>
          <w:szCs w:val="18"/>
          <w:b w:val="1"/>
          <w:bCs w:val="1"/>
          <w:color w:val="auto"/>
        </w:rPr>
        <w:t>EMA</w:t>
      </w:r>
      <w:r>
        <w:rPr>
          <w:rFonts w:ascii="Times New Roman" w:cs="Times New Roman" w:eastAsia="Times New Roman" w:hAnsi="Times New Roman"/>
          <w:sz w:val="18"/>
          <w:szCs w:val="18"/>
          <w:color w:val="auto"/>
        </w:rPr>
        <w:t>”).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8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9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 Authorization Regulatory Process</w:t>
      </w:r>
    </w:p>
    <w:p>
      <w:pPr>
        <w:spacing w:after="0" w:line="23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60"/>
          </w:cols>
          <w:pgMar w:left="320" w:top="699" w:right="319" w:bottom="1440" w:gutter="0" w:footer="0" w:header="0"/>
        </w:sectPr>
      </w:pPr>
    </w:p>
    <w:bookmarkStart w:id="54" w:name="page55"/>
    <w:bookmarkEnd w:id="54"/>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Company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70"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EU/EEA, in all other circumstances the Decentralized procedure should be used instead if a marketing authorization is to be obtained for several EU/EEA Member States. When following the Decentralized procedure, the applicant requests one country to be the Reference Member State ("</w:t>
      </w:r>
      <w:r>
        <w:rPr>
          <w:rFonts w:ascii="Times New Roman" w:cs="Times New Roman" w:eastAsia="Times New Roman" w:hAnsi="Times New Roman"/>
          <w:sz w:val="18"/>
          <w:szCs w:val="18"/>
          <w:b w:val="1"/>
          <w:bCs w:val="1"/>
          <w:color w:val="auto"/>
        </w:rPr>
        <w:t>RMS</w:t>
      </w:r>
      <w:r>
        <w:rPr>
          <w:rFonts w:ascii="Times New Roman" w:cs="Times New Roman" w:eastAsia="Times New Roman" w:hAnsi="Times New Roman"/>
          <w:sz w:val="18"/>
          <w:szCs w:val="18"/>
          <w:color w:val="auto"/>
        </w:rPr>
        <w:t>")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Times New Roman" w:cs="Times New Roman" w:eastAsia="Times New Roman" w:hAnsi="Times New Roman"/>
          <w:sz w:val="18"/>
          <w:szCs w:val="18"/>
          <w:b w:val="1"/>
          <w:bCs w:val="1"/>
          <w:color w:val="auto"/>
        </w:rPr>
        <w:t>CMDh</w:t>
      </w:r>
      <w:r>
        <w:rPr>
          <w:rFonts w:ascii="Times New Roman" w:cs="Times New Roman" w:eastAsia="Times New Roman" w:hAnsi="Times New Roman"/>
          <w:sz w:val="18"/>
          <w:szCs w:val="18"/>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Ireland</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Ireland, psilocin is a controlled substance under the </w:t>
      </w:r>
      <w:r>
        <w:rPr>
          <w:rFonts w:ascii="Times New Roman" w:cs="Times New Roman" w:eastAsia="Times New Roman" w:hAnsi="Times New Roman"/>
          <w:sz w:val="18"/>
          <w:szCs w:val="18"/>
          <w:i w:val="1"/>
          <w:iCs w:val="1"/>
          <w:color w:val="auto"/>
        </w:rPr>
        <w:t>Misuse of Drugs Act, 1977, 1984 and 2015</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Ireland MDA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Misuse of Drugs Regulations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2017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Ireland MDR</w:t>
      </w:r>
      <w:r>
        <w:rPr>
          <w:rFonts w:ascii="Times New Roman" w:cs="Times New Roman" w:eastAsia="Times New Roman" w:hAnsi="Times New Roman"/>
          <w:sz w:val="18"/>
          <w:szCs w:val="18"/>
          <w:color w:val="auto"/>
        </w:rPr>
        <w:t>”) and the</w:t>
      </w:r>
      <w:r>
        <w:rPr>
          <w:rFonts w:ascii="Times New Roman" w:cs="Times New Roman" w:eastAsia="Times New Roman" w:hAnsi="Times New Roman"/>
          <w:sz w:val="18"/>
          <w:szCs w:val="18"/>
          <w:i w:val="1"/>
          <w:iCs w:val="1"/>
          <w:color w:val="auto"/>
        </w:rPr>
        <w:t xml:space="preserve"> Criminal Justice (Psychoactive Substances) Act 2010</w:t>
      </w:r>
      <w:r>
        <w:rPr>
          <w:rFonts w:ascii="Times New Roman" w:cs="Times New Roman" w:eastAsia="Times New Roman" w:hAnsi="Times New Roman"/>
          <w:sz w:val="18"/>
          <w:szCs w:val="18"/>
          <w:color w:val="auto"/>
        </w:rPr>
        <w:t>. These are the primary legislative instruments which govern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controlled substances in Ireland. This legislation regulates the use, possession, supply, licensing, and administration of listed scheduled substances and establishes the offences and penalties for anything done contrary to the legislation.</w:t>
      </w:r>
    </w:p>
    <w:p>
      <w:pPr>
        <w:spacing w:after="0" w:line="19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60"/>
          </w:cols>
          <w:pgMar w:left="320" w:top="701" w:right="319" w:bottom="1440" w:gutter="0" w:footer="0" w:header="0"/>
        </w:sectPr>
      </w:pPr>
    </w:p>
    <w:bookmarkStart w:id="55" w:name="page56"/>
    <w:bookmarkEnd w:id="55"/>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does not currently engage in any activities in Ireland that are regulated by such laws. If the Company were to engage in such activities, it would need to obtain the appropriate licences and authorization to do so. The Company intends to constantly review its Irish operations to ensure compliance with all applicable laws as the operations evolve.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Compliance with Applicable Laws</w:t>
      </w:r>
    </w:p>
    <w:p>
      <w:pPr>
        <w:spacing w:after="0" w:line="209" w:lineRule="exact"/>
        <w:rPr>
          <w:sz w:val="20"/>
          <w:szCs w:val="20"/>
          <w:color w:val="auto"/>
        </w:rPr>
      </w:pPr>
    </w:p>
    <w:p>
      <w:pPr>
        <w:jc w:val="both"/>
        <w:ind w:right="20"/>
        <w:spacing w:after="0" w:line="239" w:lineRule="auto"/>
        <w:rPr>
          <w:sz w:val="20"/>
          <w:szCs w:val="20"/>
          <w:color w:val="auto"/>
        </w:rPr>
      </w:pPr>
      <w:r>
        <w:rPr>
          <w:rFonts w:ascii="Times New Roman" w:cs="Times New Roman" w:eastAsia="Times New Roman" w:hAnsi="Times New Roman"/>
          <w:sz w:val="18"/>
          <w:szCs w:val="18"/>
          <w:color w:val="auto"/>
        </w:rPr>
        <w:t>The Company oversees and monitors compliance with applicable laws in each jurisdiction in which it operates. In addition to the Company’s senior executives and the employees responsible for overseeing compliance, the Company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Company has operations or intends to operate.</w:t>
      </w:r>
    </w:p>
    <w:p>
      <w:pPr>
        <w:spacing w:after="0" w:line="18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works with third parties who require regulatory licensing to handle scheduled drugs. The Company continuously updates its compliance and channel programs to maintain regulatory standards set for drug development. The Company also works with clinical research organizations who maintain batch records and data storage for the Company’s clinical programs.</w:t>
      </w:r>
    </w:p>
    <w:p>
      <w:pPr>
        <w:spacing w:after="0" w:line="146"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7"/>
          <w:szCs w:val="17"/>
          <w:color w:val="auto"/>
        </w:rPr>
        <w:t>Additionally, the Company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109" w:lineRule="exact"/>
        <w:rPr>
          <w:sz w:val="20"/>
          <w:szCs w:val="20"/>
          <w:color w:val="auto"/>
        </w:rPr>
      </w:pPr>
    </w:p>
    <w:p>
      <w:pPr>
        <w:jc w:val="both"/>
        <w:ind w:right="20"/>
        <w:spacing w:after="0" w:line="244" w:lineRule="auto"/>
        <w:rPr>
          <w:sz w:val="20"/>
          <w:szCs w:val="20"/>
          <w:color w:val="auto"/>
        </w:rPr>
      </w:pPr>
      <w:r>
        <w:rPr>
          <w:rFonts w:ascii="Times New Roman" w:cs="Times New Roman" w:eastAsia="Times New Roman" w:hAnsi="Times New Roman"/>
          <w:sz w:val="18"/>
          <w:szCs w:val="18"/>
          <w:color w:val="auto"/>
        </w:rPr>
        <w:t>In conjunction with the Company’s human resources and operations departments, the Company oversees and implements training on the Company’s protocols. The Company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Company operates.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programs currently in place include monitoring by executives of the Company to ensure that operations conform to and comply with required laws, regulations and operating procedures. The Company is currently in compliance with the laws and regulations in all jurisdictions and the related licensing framework applicable to its business activities.</w:t>
      </w:r>
    </w:p>
    <w:p>
      <w:pPr>
        <w:spacing w:after="0" w:line="1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and, to its knowledge, each of its third-party researchers, suppliers and manufacturers have not received any non-compliance, citations or notices of violation which may have an impact on the Company’s licences, business activities or operations.</w:t>
      </w:r>
    </w:p>
    <w:p>
      <w:pPr>
        <w:spacing w:after="0" w:line="13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Company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Patent Cooperation Treaty</w:t>
      </w:r>
    </w:p>
    <w:p>
      <w:pPr>
        <w:spacing w:after="0" w:line="2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PCT facilitates filing for patent recognition in multiple jurisdictions simultaneously using a single uniform patent application. 156 countries, including Canada and the United States have ratified the PCT.</w:t>
      </w:r>
    </w:p>
    <w:p>
      <w:pPr>
        <w:spacing w:after="0" w:line="14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Within 12 months of filing a provisional patent application at the United States Patent and Trademark Office, the Company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60"/>
          </w:cols>
          <w:pgMar w:left="320" w:top="701" w:right="319" w:bottom="1440" w:gutter="0" w:footer="0" w:header="0"/>
        </w:sectPr>
      </w:pPr>
    </w:p>
    <w:bookmarkStart w:id="56" w:name="page57"/>
    <w:bookmarkEnd w:id="5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national phase in desired jurisdictions globally, such as Canada (30 months) and Europe (31 months), in each case claiming priority to the provisional patent application.</w:t>
      </w:r>
    </w:p>
    <w:p>
      <w:pPr>
        <w:spacing w:after="0" w:line="1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While the Company is focused on programs using psychedelic-inspired compounds, the Company does not have any direct or indirect involvement with the illegal selling, production or distribution of any substances in the jurisdictions in which it operates. The Company is exploring drug development within approved laboratory clinical trial settings conducted within approved regulatory frameworks. Though highly speculative, should any prescription drug product be developed by the Company (which, if it does occur, would not be for several years), such drug product will not be commercialized prior to receipt of applicable regulatory approval, which will only be granted if clinical evidence of safety and efficacy for the intended use(s) is successfully developed. The Company may also employ non-prescription drugs, where appropriate.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Selected Quarterly Information</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following table sets forth selected consolidated financial information for the periods indicated that are derived from, and should be read in conjunction with, the Interim Financial Statements and related notes thereto.</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(Canadian dollars in thousands,</w:t>
            </w:r>
          </w:p>
        </w:tc>
        <w:tc>
          <w:tcPr>
            <w:tcW w:w="1140" w:type="dxa"/>
            <w:vAlign w:val="bottom"/>
            <w:shd w:val="clear" w:color="auto" w:fill="DBDBDB"/>
          </w:tcPr>
          <w:p>
            <w:pPr>
              <w:spacing w:after="0"/>
              <w:rPr>
                <w:sz w:val="16"/>
                <w:szCs w:val="16"/>
                <w:color w:val="auto"/>
              </w:rPr>
            </w:pPr>
          </w:p>
        </w:tc>
        <w:tc>
          <w:tcPr>
            <w:tcW w:w="1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70"/>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i w:val="1"/>
                <w:iCs w:val="1"/>
                <w:color w:val="auto"/>
              </w:rPr>
              <w:t>except per share and share</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16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93"/>
        </w:trPr>
        <w:tc>
          <w:tcPr>
            <w:tcW w:w="1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i w:val="1"/>
                <w:iCs w:val="1"/>
                <w:color w:val="auto"/>
              </w:rPr>
              <w:t>figures)</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00"/>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Revenues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Operating Expenses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12,093</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12,327</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13,395</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16,338</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16,455</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17,106</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13,939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12,363</w:t>
            </w:r>
          </w:p>
        </w:tc>
      </w:tr>
      <w:tr>
        <w:trPr>
          <w:trHeight w:val="21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Net loss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(10,742)</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(9,973)</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(13,055)</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(18,097)</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(17,210)</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(17,607)</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(14,717)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w:t>
            </w:r>
          </w:p>
        </w:tc>
      </w:tr>
      <w:tr>
        <w:trPr>
          <w:trHeight w:val="44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40" w:type="dxa"/>
            <w:vAlign w:val="bottom"/>
            <w:shd w:val="clear" w:color="auto" w:fill="DBDBDB"/>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188,887,344</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180,837,176</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175,874,475</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173,873,017</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171,833,544</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165,783,294</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157,711,518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150,494,164</w:t>
            </w:r>
          </w:p>
        </w:tc>
      </w:tr>
      <w:tr>
        <w:trPr>
          <w:trHeight w:val="21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($'s)</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(0.06)</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(0.07)</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(0.10)</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(0.10)</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(0.11)</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(0.09)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44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 Shares -</w:t>
            </w:r>
          </w:p>
        </w:tc>
        <w:tc>
          <w:tcPr>
            <w:tcW w:w="1140" w:type="dxa"/>
            <w:vAlign w:val="bottom"/>
            <w:shd w:val="clear" w:color="auto" w:fill="DBDBDB"/>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2"/>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188,887,344</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180,837,176</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175,874,475</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173,873,017</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171,833,544</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165,783,294</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157,711,518</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150,494,164</w:t>
            </w:r>
          </w:p>
        </w:tc>
      </w:tr>
      <w:tr>
        <w:trPr>
          <w:trHeight w:val="21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Loss per share ($'s)</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(0.06)</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(0.07)</w:t>
            </w:r>
          </w:p>
        </w:tc>
        <w:tc>
          <w:tcPr>
            <w:tcW w:w="120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(0.10)</w:t>
            </w:r>
          </w:p>
        </w:tc>
        <w:tc>
          <w:tcPr>
            <w:tcW w:w="114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(0.10)</w:t>
            </w:r>
          </w:p>
        </w:tc>
        <w:tc>
          <w:tcPr>
            <w:tcW w:w="11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(0.11)</w:t>
            </w:r>
          </w:p>
        </w:tc>
        <w:tc>
          <w:tcPr>
            <w:tcW w:w="110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(0.09)</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(0.09)</w:t>
            </w:r>
          </w:p>
        </w:tc>
      </w:tr>
      <w:tr>
        <w:trPr>
          <w:trHeight w:val="461"/>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22,511</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29,937</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42,460</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53,641</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63,580</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75,179</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55,075</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64,026</w:t>
            </w:r>
          </w:p>
        </w:tc>
      </w:tr>
      <w:tr>
        <w:trPr>
          <w:trHeight w:val="218"/>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 ($)</w:t>
            </w:r>
          </w:p>
        </w:tc>
        <w:tc>
          <w:tcPr>
            <w:tcW w:w="11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60,694</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69,113</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74,590</w:t>
            </w: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4"/>
                <w:szCs w:val="14"/>
                <w:color w:val="auto"/>
              </w:rPr>
              <w:t>84,063</w:t>
            </w:r>
          </w:p>
        </w:tc>
        <w:tc>
          <w:tcPr>
            <w:tcW w:w="114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95,161</w:t>
            </w:r>
          </w:p>
        </w:tc>
        <w:tc>
          <w:tcPr>
            <w:tcW w:w="116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105,465</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4"/>
                <w:szCs w:val="14"/>
                <w:color w:val="auto"/>
              </w:rPr>
              <w:t>82,837</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92,112</w:t>
            </w:r>
          </w:p>
        </w:tc>
      </w:tr>
      <w:tr>
        <w:trPr>
          <w:trHeight w:val="206"/>
        </w:trPr>
        <w:tc>
          <w:tcPr>
            <w:tcW w:w="19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Non-Current Liabilities</w:t>
            </w:r>
          </w:p>
        </w:tc>
        <w:tc>
          <w:tcPr>
            <w:tcW w:w="1140" w:type="dxa"/>
            <w:vAlign w:val="bottom"/>
            <w:shd w:val="clear" w:color="auto" w:fill="DBDBDB"/>
          </w:tcPr>
          <w:p>
            <w:pPr>
              <w:spacing w:after="0"/>
              <w:rPr>
                <w:sz w:val="17"/>
                <w:szCs w:val="17"/>
                <w:color w:val="auto"/>
              </w:rPr>
            </w:pP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193"/>
        </w:trPr>
        <w:tc>
          <w:tcPr>
            <w:tcW w:w="19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363</w:t>
            </w:r>
          </w:p>
        </w:tc>
        <w:tc>
          <w:tcPr>
            <w:tcW w:w="11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770</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1,094</w:t>
            </w:r>
          </w:p>
        </w:tc>
      </w:tr>
    </w:tbl>
    <w:p>
      <w:pPr>
        <w:spacing w:after="0" w:line="161" w:lineRule="exact"/>
        <w:rPr>
          <w:sz w:val="20"/>
          <w:szCs w:val="20"/>
          <w:color w:val="auto"/>
        </w:rPr>
      </w:pPr>
    </w:p>
    <w:p>
      <w:pPr>
        <w:ind w:right="2180"/>
        <w:spacing w:after="0" w:line="381" w:lineRule="auto"/>
        <w:rPr>
          <w:sz w:val="20"/>
          <w:szCs w:val="20"/>
          <w:color w:val="auto"/>
        </w:rPr>
      </w:pPr>
      <w:r>
        <w:rPr>
          <w:rFonts w:ascii="Times New Roman" w:cs="Times New Roman" w:eastAsia="Times New Roman" w:hAnsi="Times New Roman"/>
          <w:sz w:val="18"/>
          <w:szCs w:val="18"/>
          <w:color w:val="auto"/>
        </w:rPr>
        <w:t xml:space="preserve">The Company has not paid dividends on the Common Shares and does not anticipate declaring any dividends in the near future. </w:t>
      </w:r>
      <w:r>
        <w:rPr>
          <w:rFonts w:ascii="Times New Roman" w:cs="Times New Roman" w:eastAsia="Times New Roman" w:hAnsi="Times New Roman"/>
          <w:sz w:val="18"/>
          <w:szCs w:val="18"/>
          <w:b w:val="1"/>
          <w:bCs w:val="1"/>
          <w:color w:val="auto"/>
        </w:rPr>
        <w:t>Assets</w:t>
      </w:r>
    </w:p>
    <w:p>
      <w:pPr>
        <w:spacing w:after="0" w:line="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Total assets decreased by $23,369 from March 31, 2022 to December 31, 2022 mainly as a result in a decrease in cash as the Company continues to progress its operations. The decrease is partially offset by an increase in other current assets, prepaid expenses, accounts receivable and the impact of foreign exchange on translation. As at December 31, 2022, the Company had prepaid expenses related to future clinical work of $1,701 (US$ 1,256).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have any non-current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60"/>
          </w:cols>
          <w:pgMar w:left="320" w:top="701"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3360" w:type="dxa"/>
            <w:vAlign w:val="bottom"/>
            <w:gridSpan w:val="2"/>
          </w:tcPr>
          <w:p>
            <w:pPr>
              <w:jc w:val="right"/>
              <w:ind w:right="707"/>
              <w:spacing w:after="0"/>
              <w:rPr>
                <w:sz w:val="20"/>
                <w:szCs w:val="20"/>
                <w:color w:val="auto"/>
              </w:rPr>
            </w:pPr>
            <w:r>
              <w:rPr>
                <w:rFonts w:ascii="Calibri" w:cs="Calibri" w:eastAsia="Calibri" w:hAnsi="Calibri"/>
                <w:sz w:val="16"/>
                <w:szCs w:val="16"/>
                <w:b w:val="1"/>
                <w:bCs w:val="1"/>
                <w:color w:val="auto"/>
              </w:rPr>
              <w:t>Three months ended December 31,</w:t>
            </w:r>
          </w:p>
        </w:tc>
        <w:tc>
          <w:tcPr>
            <w:tcW w:w="3120" w:type="dxa"/>
            <w:vAlign w:val="bottom"/>
            <w:gridSpan w:val="2"/>
          </w:tcPr>
          <w:p>
            <w:pPr>
              <w:jc w:val="right"/>
              <w:ind w:right="487"/>
              <w:spacing w:after="0"/>
              <w:rPr>
                <w:sz w:val="20"/>
                <w:szCs w:val="20"/>
                <w:color w:val="auto"/>
              </w:rPr>
            </w:pPr>
            <w:r>
              <w:rPr>
                <w:rFonts w:ascii="Calibri" w:cs="Calibri" w:eastAsia="Calibri" w:hAnsi="Calibri"/>
                <w:sz w:val="16"/>
                <w:szCs w:val="16"/>
                <w:b w:val="1"/>
                <w:bCs w:val="1"/>
                <w:color w:val="auto"/>
              </w:rPr>
              <w:t>Nine months ended December 31,</w:t>
            </w:r>
          </w:p>
        </w:tc>
        <w:tc>
          <w:tcPr>
            <w:tcW w:w="0" w:type="dxa"/>
            <w:vAlign w:val="bottom"/>
          </w:tcPr>
          <w:p>
            <w:pPr>
              <w:spacing w:after="0"/>
              <w:rPr>
                <w:sz w:val="1"/>
                <w:szCs w:val="1"/>
                <w:color w:val="auto"/>
              </w:rPr>
            </w:pPr>
          </w:p>
        </w:tc>
      </w:tr>
      <w:tr>
        <w:trPr>
          <w:trHeight w:val="57"/>
        </w:trPr>
        <w:tc>
          <w:tcPr>
            <w:tcW w:w="4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4760" w:type="dxa"/>
            <w:vAlign w:val="bottom"/>
          </w:tcPr>
          <w:p>
            <w:pPr>
              <w:spacing w:after="0"/>
              <w:rPr>
                <w:sz w:val="15"/>
                <w:szCs w:val="15"/>
                <w:color w:val="auto"/>
              </w:rPr>
            </w:pPr>
          </w:p>
        </w:tc>
        <w:tc>
          <w:tcPr>
            <w:tcW w:w="1840" w:type="dxa"/>
            <w:vAlign w:val="bottom"/>
          </w:tcPr>
          <w:p>
            <w:pPr>
              <w:jc w:val="right"/>
              <w:ind w:right="407"/>
              <w:spacing w:after="0" w:line="174" w:lineRule="exact"/>
              <w:rPr>
                <w:sz w:val="20"/>
                <w:szCs w:val="20"/>
                <w:color w:val="auto"/>
              </w:rPr>
            </w:pPr>
            <w:r>
              <w:rPr>
                <w:rFonts w:ascii="Calibri" w:cs="Calibri" w:eastAsia="Calibri" w:hAnsi="Calibri"/>
                <w:sz w:val="15"/>
                <w:szCs w:val="15"/>
                <w:b w:val="1"/>
                <w:bCs w:val="1"/>
                <w:color w:val="auto"/>
              </w:rPr>
              <w:t>2022</w:t>
            </w:r>
          </w:p>
        </w:tc>
        <w:tc>
          <w:tcPr>
            <w:tcW w:w="1520" w:type="dxa"/>
            <w:vAlign w:val="bottom"/>
          </w:tcPr>
          <w:p>
            <w:pPr>
              <w:jc w:val="right"/>
              <w:ind w:right="247"/>
              <w:spacing w:after="0" w:line="174" w:lineRule="exact"/>
              <w:rPr>
                <w:sz w:val="20"/>
                <w:szCs w:val="20"/>
                <w:color w:val="auto"/>
              </w:rPr>
            </w:pPr>
            <w:r>
              <w:rPr>
                <w:rFonts w:ascii="Calibri" w:cs="Calibri" w:eastAsia="Calibri" w:hAnsi="Calibri"/>
                <w:sz w:val="15"/>
                <w:szCs w:val="15"/>
                <w:b w:val="1"/>
                <w:bCs w:val="1"/>
                <w:color w:val="auto"/>
              </w:rPr>
              <w:t>2021</w:t>
            </w:r>
          </w:p>
        </w:tc>
        <w:tc>
          <w:tcPr>
            <w:tcW w:w="1840" w:type="dxa"/>
            <w:vAlign w:val="bottom"/>
          </w:tcPr>
          <w:p>
            <w:pPr>
              <w:jc w:val="right"/>
              <w:ind w:right="387"/>
              <w:spacing w:after="0" w:line="174" w:lineRule="exact"/>
              <w:rPr>
                <w:sz w:val="20"/>
                <w:szCs w:val="20"/>
                <w:color w:val="auto"/>
              </w:rPr>
            </w:pPr>
            <w:r>
              <w:rPr>
                <w:rFonts w:ascii="Calibri" w:cs="Calibri" w:eastAsia="Calibri" w:hAnsi="Calibri"/>
                <w:sz w:val="15"/>
                <w:szCs w:val="15"/>
                <w:b w:val="1"/>
                <w:bCs w:val="1"/>
                <w:color w:val="auto"/>
              </w:rPr>
              <w:t>2022</w:t>
            </w:r>
          </w:p>
        </w:tc>
        <w:tc>
          <w:tcPr>
            <w:tcW w:w="1280" w:type="dxa"/>
            <w:vAlign w:val="bottom"/>
          </w:tcPr>
          <w:p>
            <w:pPr>
              <w:jc w:val="right"/>
              <w:spacing w:after="0" w:line="174" w:lineRule="exact"/>
              <w:rPr>
                <w:sz w:val="20"/>
                <w:szCs w:val="20"/>
                <w:color w:val="auto"/>
              </w:rPr>
            </w:pPr>
            <w:r>
              <w:rPr>
                <w:rFonts w:ascii="Calibri" w:cs="Calibri" w:eastAsia="Calibri" w:hAnsi="Calibri"/>
                <w:sz w:val="15"/>
                <w:szCs w:val="15"/>
                <w:b w:val="1"/>
                <w:bCs w:val="1"/>
                <w:color w:val="auto"/>
              </w:rPr>
              <w:t>2021</w:t>
            </w:r>
          </w:p>
        </w:tc>
        <w:tc>
          <w:tcPr>
            <w:tcW w:w="0" w:type="dxa"/>
            <w:vAlign w:val="bottom"/>
          </w:tcPr>
          <w:p>
            <w:pPr>
              <w:spacing w:after="0"/>
              <w:rPr>
                <w:sz w:val="1"/>
                <w:szCs w:val="1"/>
                <w:color w:val="auto"/>
              </w:rPr>
            </w:pPr>
          </w:p>
        </w:tc>
      </w:tr>
      <w:tr>
        <w:trPr>
          <w:trHeight w:val="49"/>
        </w:trPr>
        <w:tc>
          <w:tcPr>
            <w:tcW w:w="4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4760" w:type="dxa"/>
            <w:vAlign w:val="bottom"/>
          </w:tcPr>
          <w:p>
            <w:pPr>
              <w:ind w:left="60"/>
              <w:spacing w:after="0"/>
              <w:rPr>
                <w:sz w:val="20"/>
                <w:szCs w:val="20"/>
                <w:color w:val="auto"/>
              </w:rPr>
            </w:pPr>
            <w:r>
              <w:rPr>
                <w:rFonts w:ascii="Calibri" w:cs="Calibri" w:eastAsia="Calibri" w:hAnsi="Calibri"/>
                <w:sz w:val="15"/>
                <w:szCs w:val="15"/>
                <w:b w:val="1"/>
                <w:bCs w:val="1"/>
                <w:color w:val="auto"/>
              </w:rPr>
              <w:t>EXPENSES</w:t>
            </w:r>
          </w:p>
        </w:tc>
        <w:tc>
          <w:tcPr>
            <w:tcW w:w="1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Calibri" w:cs="Calibri" w:eastAsia="Calibri" w:hAnsi="Calibri"/>
                <w:sz w:val="15"/>
                <w:szCs w:val="15"/>
                <w:color w:val="auto"/>
              </w:rPr>
              <w:t>Research</w:t>
            </w:r>
          </w:p>
        </w:tc>
        <w:tc>
          <w:tcPr>
            <w:tcW w:w="184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6,256</w:t>
            </w:r>
          </w:p>
        </w:tc>
        <w:tc>
          <w:tcPr>
            <w:tcW w:w="1520" w:type="dxa"/>
            <w:vAlign w:val="bottom"/>
          </w:tcPr>
          <w:p>
            <w:pPr>
              <w:jc w:val="right"/>
              <w:ind w:right="247"/>
              <w:spacing w:after="0"/>
              <w:rPr>
                <w:sz w:val="20"/>
                <w:szCs w:val="20"/>
                <w:color w:val="auto"/>
              </w:rPr>
            </w:pPr>
            <w:r>
              <w:rPr>
                <w:rFonts w:ascii="Calibri" w:cs="Calibri" w:eastAsia="Calibri" w:hAnsi="Calibri"/>
                <w:sz w:val="15"/>
                <w:szCs w:val="15"/>
                <w:color w:val="auto"/>
              </w:rPr>
              <w:t>4,963</w:t>
            </w:r>
          </w:p>
        </w:tc>
        <w:tc>
          <w:tcPr>
            <w:tcW w:w="1840" w:type="dxa"/>
            <w:vAlign w:val="bottom"/>
          </w:tcPr>
          <w:p>
            <w:pPr>
              <w:jc w:val="right"/>
              <w:ind w:right="387"/>
              <w:spacing w:after="0"/>
              <w:rPr>
                <w:sz w:val="20"/>
                <w:szCs w:val="20"/>
                <w:color w:val="auto"/>
              </w:rPr>
            </w:pPr>
            <w:r>
              <w:rPr>
                <w:rFonts w:ascii="Calibri" w:cs="Calibri" w:eastAsia="Calibri" w:hAnsi="Calibri"/>
                <w:sz w:val="15"/>
                <w:szCs w:val="15"/>
                <w:b w:val="1"/>
                <w:bCs w:val="1"/>
                <w:color w:val="auto"/>
              </w:rPr>
              <w:t>17,445</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11,757</w:t>
            </w: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Calibri" w:cs="Calibri" w:eastAsia="Calibri" w:hAnsi="Calibri"/>
                <w:sz w:val="15"/>
                <w:szCs w:val="15"/>
                <w:color w:val="auto"/>
              </w:rPr>
              <w:t>General and administratve costs</w:t>
            </w:r>
          </w:p>
        </w:tc>
        <w:tc>
          <w:tcPr>
            <w:tcW w:w="184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4,859</w:t>
            </w:r>
          </w:p>
        </w:tc>
        <w:tc>
          <w:tcPr>
            <w:tcW w:w="1520" w:type="dxa"/>
            <w:vAlign w:val="bottom"/>
          </w:tcPr>
          <w:p>
            <w:pPr>
              <w:jc w:val="right"/>
              <w:ind w:right="247"/>
              <w:spacing w:after="0"/>
              <w:rPr>
                <w:sz w:val="20"/>
                <w:szCs w:val="20"/>
                <w:color w:val="auto"/>
              </w:rPr>
            </w:pPr>
            <w:r>
              <w:rPr>
                <w:rFonts w:ascii="Calibri" w:cs="Calibri" w:eastAsia="Calibri" w:hAnsi="Calibri"/>
                <w:sz w:val="15"/>
                <w:szCs w:val="15"/>
                <w:color w:val="auto"/>
              </w:rPr>
              <w:t>7,035</w:t>
            </w:r>
          </w:p>
        </w:tc>
        <w:tc>
          <w:tcPr>
            <w:tcW w:w="1840" w:type="dxa"/>
            <w:vAlign w:val="bottom"/>
          </w:tcPr>
          <w:p>
            <w:pPr>
              <w:jc w:val="right"/>
              <w:ind w:right="387"/>
              <w:spacing w:after="0"/>
              <w:rPr>
                <w:sz w:val="20"/>
                <w:szCs w:val="20"/>
                <w:color w:val="auto"/>
              </w:rPr>
            </w:pPr>
            <w:r>
              <w:rPr>
                <w:rFonts w:ascii="Calibri" w:cs="Calibri" w:eastAsia="Calibri" w:hAnsi="Calibri"/>
                <w:sz w:val="15"/>
                <w:szCs w:val="15"/>
                <w:b w:val="1"/>
                <w:bCs w:val="1"/>
                <w:color w:val="auto"/>
              </w:rPr>
              <w:t>16,165</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21,056</w:t>
            </w: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Calibri" w:cs="Calibri" w:eastAsia="Calibri" w:hAnsi="Calibri"/>
                <w:sz w:val="15"/>
                <w:szCs w:val="15"/>
                <w:color w:val="auto"/>
              </w:rPr>
              <w:t>Share-based compensaton</w:t>
            </w:r>
          </w:p>
        </w:tc>
        <w:tc>
          <w:tcPr>
            <w:tcW w:w="184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978</w:t>
            </w:r>
          </w:p>
        </w:tc>
        <w:tc>
          <w:tcPr>
            <w:tcW w:w="1520" w:type="dxa"/>
            <w:vAlign w:val="bottom"/>
          </w:tcPr>
          <w:p>
            <w:pPr>
              <w:jc w:val="right"/>
              <w:ind w:right="247"/>
              <w:spacing w:after="0"/>
              <w:rPr>
                <w:sz w:val="20"/>
                <w:szCs w:val="20"/>
                <w:color w:val="auto"/>
              </w:rPr>
            </w:pPr>
            <w:r>
              <w:rPr>
                <w:rFonts w:ascii="Calibri" w:cs="Calibri" w:eastAsia="Calibri" w:hAnsi="Calibri"/>
                <w:sz w:val="15"/>
                <w:szCs w:val="15"/>
                <w:color w:val="auto"/>
              </w:rPr>
              <w:t>4,457</w:t>
            </w:r>
          </w:p>
        </w:tc>
        <w:tc>
          <w:tcPr>
            <w:tcW w:w="1840" w:type="dxa"/>
            <w:vAlign w:val="bottom"/>
          </w:tcPr>
          <w:p>
            <w:pPr>
              <w:jc w:val="right"/>
              <w:ind w:right="387"/>
              <w:spacing w:after="0"/>
              <w:rPr>
                <w:sz w:val="20"/>
                <w:szCs w:val="20"/>
                <w:color w:val="auto"/>
              </w:rPr>
            </w:pPr>
            <w:r>
              <w:rPr>
                <w:rFonts w:ascii="Calibri" w:cs="Calibri" w:eastAsia="Calibri" w:hAnsi="Calibri"/>
                <w:sz w:val="15"/>
                <w:szCs w:val="15"/>
                <w:b w:val="1"/>
                <w:bCs w:val="1"/>
                <w:color w:val="auto"/>
              </w:rPr>
              <w:t>4,205</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14,687</w:t>
            </w:r>
          </w:p>
        </w:tc>
        <w:tc>
          <w:tcPr>
            <w:tcW w:w="0" w:type="dxa"/>
            <w:vAlign w:val="bottom"/>
          </w:tcPr>
          <w:p>
            <w:pPr>
              <w:spacing w:after="0"/>
              <w:rPr>
                <w:sz w:val="1"/>
                <w:szCs w:val="1"/>
                <w:color w:val="auto"/>
              </w:rPr>
            </w:pPr>
          </w:p>
        </w:tc>
      </w:tr>
      <w:tr>
        <w:trPr>
          <w:trHeight w:val="134"/>
        </w:trPr>
        <w:tc>
          <w:tcPr>
            <w:tcW w:w="47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760" w:type="dxa"/>
            <w:vAlign w:val="bottom"/>
          </w:tcPr>
          <w:p>
            <w:pPr>
              <w:ind w:left="60"/>
              <w:spacing w:after="0" w:line="174" w:lineRule="exact"/>
              <w:rPr>
                <w:sz w:val="20"/>
                <w:szCs w:val="20"/>
                <w:color w:val="auto"/>
              </w:rPr>
            </w:pPr>
            <w:r>
              <w:rPr>
                <w:rFonts w:ascii="Calibri" w:cs="Calibri" w:eastAsia="Calibri" w:hAnsi="Calibri"/>
                <w:sz w:val="15"/>
                <w:szCs w:val="15"/>
                <w:b w:val="1"/>
                <w:bCs w:val="1"/>
                <w:color w:val="auto"/>
              </w:rPr>
              <w:t>TOTAL EXPENSES</w:t>
            </w:r>
          </w:p>
        </w:tc>
        <w:tc>
          <w:tcPr>
            <w:tcW w:w="1840" w:type="dxa"/>
            <w:vAlign w:val="bottom"/>
          </w:tcPr>
          <w:p>
            <w:pPr>
              <w:jc w:val="right"/>
              <w:ind w:right="407"/>
              <w:spacing w:after="0" w:line="174" w:lineRule="exact"/>
              <w:rPr>
                <w:sz w:val="20"/>
                <w:szCs w:val="20"/>
                <w:color w:val="auto"/>
              </w:rPr>
            </w:pPr>
            <w:r>
              <w:rPr>
                <w:rFonts w:ascii="Calibri" w:cs="Calibri" w:eastAsia="Calibri" w:hAnsi="Calibri"/>
                <w:sz w:val="15"/>
                <w:szCs w:val="15"/>
                <w:b w:val="1"/>
                <w:bCs w:val="1"/>
                <w:color w:val="auto"/>
              </w:rPr>
              <w:t>12,093</w:t>
            </w:r>
          </w:p>
        </w:tc>
        <w:tc>
          <w:tcPr>
            <w:tcW w:w="1520" w:type="dxa"/>
            <w:vAlign w:val="bottom"/>
          </w:tcPr>
          <w:p>
            <w:pPr>
              <w:jc w:val="right"/>
              <w:ind w:right="247"/>
              <w:spacing w:after="0" w:line="174" w:lineRule="exact"/>
              <w:rPr>
                <w:sz w:val="20"/>
                <w:szCs w:val="20"/>
                <w:color w:val="auto"/>
              </w:rPr>
            </w:pPr>
            <w:r>
              <w:rPr>
                <w:rFonts w:ascii="Calibri" w:cs="Calibri" w:eastAsia="Calibri" w:hAnsi="Calibri"/>
                <w:sz w:val="15"/>
                <w:szCs w:val="15"/>
                <w:color w:val="auto"/>
              </w:rPr>
              <w:t>16,455</w:t>
            </w:r>
          </w:p>
        </w:tc>
        <w:tc>
          <w:tcPr>
            <w:tcW w:w="1840" w:type="dxa"/>
            <w:vAlign w:val="bottom"/>
          </w:tcPr>
          <w:p>
            <w:pPr>
              <w:jc w:val="right"/>
              <w:ind w:right="387"/>
              <w:spacing w:after="0" w:line="174" w:lineRule="exact"/>
              <w:rPr>
                <w:sz w:val="20"/>
                <w:szCs w:val="20"/>
                <w:color w:val="auto"/>
              </w:rPr>
            </w:pPr>
            <w:r>
              <w:rPr>
                <w:rFonts w:ascii="Calibri" w:cs="Calibri" w:eastAsia="Calibri" w:hAnsi="Calibri"/>
                <w:sz w:val="15"/>
                <w:szCs w:val="15"/>
                <w:b w:val="1"/>
                <w:bCs w:val="1"/>
                <w:color w:val="auto"/>
              </w:rPr>
              <w:t>37,815</w:t>
            </w:r>
          </w:p>
        </w:tc>
        <w:tc>
          <w:tcPr>
            <w:tcW w:w="1280" w:type="dxa"/>
            <w:vAlign w:val="bottom"/>
          </w:tcPr>
          <w:p>
            <w:pPr>
              <w:jc w:val="right"/>
              <w:spacing w:after="0" w:line="174" w:lineRule="exact"/>
              <w:rPr>
                <w:sz w:val="20"/>
                <w:szCs w:val="20"/>
                <w:color w:val="auto"/>
              </w:rPr>
            </w:pPr>
            <w:r>
              <w:rPr>
                <w:rFonts w:ascii="Calibri" w:cs="Calibri" w:eastAsia="Calibri" w:hAnsi="Calibri"/>
                <w:sz w:val="15"/>
                <w:szCs w:val="15"/>
                <w:color w:val="auto"/>
              </w:rPr>
              <w:t>47,500</w:t>
            </w:r>
          </w:p>
        </w:tc>
        <w:tc>
          <w:tcPr>
            <w:tcW w:w="0" w:type="dxa"/>
            <w:vAlign w:val="bottom"/>
          </w:tcPr>
          <w:p>
            <w:pPr>
              <w:spacing w:after="0"/>
              <w:rPr>
                <w:sz w:val="1"/>
                <w:szCs w:val="1"/>
                <w:color w:val="auto"/>
              </w:rPr>
            </w:pPr>
          </w:p>
        </w:tc>
      </w:tr>
      <w:tr>
        <w:trPr>
          <w:trHeight w:val="49"/>
        </w:trPr>
        <w:tc>
          <w:tcPr>
            <w:tcW w:w="4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6"/>
        </w:trPr>
        <w:tc>
          <w:tcPr>
            <w:tcW w:w="4760" w:type="dxa"/>
            <w:vAlign w:val="bottom"/>
          </w:tcPr>
          <w:p>
            <w:pPr>
              <w:ind w:left="60"/>
              <w:spacing w:after="0"/>
              <w:rPr>
                <w:sz w:val="20"/>
                <w:szCs w:val="20"/>
                <w:color w:val="auto"/>
              </w:rPr>
            </w:pPr>
            <w:r>
              <w:rPr>
                <w:rFonts w:ascii="Calibri" w:cs="Calibri" w:eastAsia="Calibri" w:hAnsi="Calibri"/>
                <w:sz w:val="15"/>
                <w:szCs w:val="15"/>
                <w:b w:val="1"/>
                <w:bCs w:val="1"/>
                <w:color w:val="auto"/>
              </w:rPr>
              <w:t>OTHER INCOME (EXPENSES)</w:t>
            </w:r>
          </w:p>
        </w:tc>
        <w:tc>
          <w:tcPr>
            <w:tcW w:w="18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0"/>
              <w:spacing w:after="0"/>
              <w:rPr>
                <w:sz w:val="20"/>
                <w:szCs w:val="20"/>
                <w:color w:val="auto"/>
              </w:rPr>
            </w:pPr>
            <w:r>
              <w:rPr>
                <w:rFonts w:ascii="Calibri" w:cs="Calibri" w:eastAsia="Calibri" w:hAnsi="Calibri"/>
                <w:sz w:val="15"/>
                <w:szCs w:val="15"/>
                <w:color w:val="auto"/>
              </w:rPr>
              <w:t>Foreign currency translaton gain (loss)</w:t>
            </w:r>
          </w:p>
        </w:tc>
        <w:tc>
          <w:tcPr>
            <w:tcW w:w="184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1,353</w:t>
            </w:r>
          </w:p>
        </w:tc>
        <w:tc>
          <w:tcPr>
            <w:tcW w:w="1520" w:type="dxa"/>
            <w:vAlign w:val="bottom"/>
          </w:tcPr>
          <w:p>
            <w:pPr>
              <w:jc w:val="right"/>
              <w:ind w:right="247"/>
              <w:spacing w:after="0"/>
              <w:rPr>
                <w:sz w:val="20"/>
                <w:szCs w:val="20"/>
                <w:color w:val="auto"/>
              </w:rPr>
            </w:pPr>
            <w:r>
              <w:rPr>
                <w:rFonts w:ascii="Calibri" w:cs="Calibri" w:eastAsia="Calibri" w:hAnsi="Calibri"/>
                <w:sz w:val="15"/>
                <w:szCs w:val="15"/>
                <w:color w:val="auto"/>
              </w:rPr>
              <w:t>(64)</w:t>
            </w:r>
          </w:p>
        </w:tc>
        <w:tc>
          <w:tcPr>
            <w:tcW w:w="1840" w:type="dxa"/>
            <w:vAlign w:val="bottom"/>
          </w:tcPr>
          <w:p>
            <w:pPr>
              <w:jc w:val="right"/>
              <w:ind w:right="387"/>
              <w:spacing w:after="0"/>
              <w:rPr>
                <w:sz w:val="20"/>
                <w:szCs w:val="20"/>
                <w:color w:val="auto"/>
              </w:rPr>
            </w:pPr>
            <w:r>
              <w:rPr>
                <w:rFonts w:ascii="Calibri" w:cs="Calibri" w:eastAsia="Calibri" w:hAnsi="Calibri"/>
                <w:sz w:val="15"/>
                <w:szCs w:val="15"/>
                <w:b w:val="1"/>
                <w:bCs w:val="1"/>
                <w:color w:val="auto"/>
              </w:rPr>
              <w:t>4,067</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42</w:t>
            </w:r>
          </w:p>
        </w:tc>
        <w:tc>
          <w:tcPr>
            <w:tcW w:w="0" w:type="dxa"/>
            <w:vAlign w:val="bottom"/>
          </w:tcPr>
          <w:p>
            <w:pPr>
              <w:spacing w:after="0"/>
              <w:rPr>
                <w:sz w:val="1"/>
                <w:szCs w:val="1"/>
                <w:color w:val="auto"/>
              </w:rPr>
            </w:pPr>
          </w:p>
        </w:tc>
      </w:tr>
      <w:tr>
        <w:trPr>
          <w:trHeight w:val="218"/>
        </w:trPr>
        <w:tc>
          <w:tcPr>
            <w:tcW w:w="4760" w:type="dxa"/>
            <w:vAlign w:val="bottom"/>
          </w:tcPr>
          <w:p>
            <w:pPr>
              <w:ind w:left="200"/>
              <w:spacing w:after="0"/>
              <w:rPr>
                <w:sz w:val="20"/>
                <w:szCs w:val="20"/>
                <w:color w:val="auto"/>
              </w:rPr>
            </w:pPr>
            <w:r>
              <w:rPr>
                <w:rFonts w:ascii="Calibri" w:cs="Calibri" w:eastAsia="Calibri" w:hAnsi="Calibri"/>
                <w:sz w:val="15"/>
                <w:szCs w:val="15"/>
                <w:color w:val="auto"/>
              </w:rPr>
              <w:t>Interest income</w:t>
            </w:r>
          </w:p>
        </w:tc>
        <w:tc>
          <w:tcPr>
            <w:tcW w:w="184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157</w:t>
            </w:r>
          </w:p>
        </w:tc>
        <w:tc>
          <w:tcPr>
            <w:tcW w:w="1520" w:type="dxa"/>
            <w:vAlign w:val="bottom"/>
          </w:tcPr>
          <w:p>
            <w:pPr>
              <w:jc w:val="right"/>
              <w:ind w:right="247"/>
              <w:spacing w:after="0"/>
              <w:rPr>
                <w:sz w:val="20"/>
                <w:szCs w:val="20"/>
                <w:color w:val="auto"/>
              </w:rPr>
            </w:pPr>
            <w:r>
              <w:rPr>
                <w:rFonts w:ascii="Calibri" w:cs="Calibri" w:eastAsia="Calibri" w:hAnsi="Calibri"/>
                <w:sz w:val="15"/>
                <w:szCs w:val="15"/>
                <w:color w:val="auto"/>
              </w:rPr>
              <w:t>63</w:t>
            </w:r>
          </w:p>
        </w:tc>
        <w:tc>
          <w:tcPr>
            <w:tcW w:w="1840" w:type="dxa"/>
            <w:vAlign w:val="bottom"/>
          </w:tcPr>
          <w:p>
            <w:pPr>
              <w:jc w:val="right"/>
              <w:ind w:right="387"/>
              <w:spacing w:after="0"/>
              <w:rPr>
                <w:sz w:val="20"/>
                <w:szCs w:val="20"/>
                <w:color w:val="auto"/>
              </w:rPr>
            </w:pPr>
            <w:r>
              <w:rPr>
                <w:rFonts w:ascii="Calibri" w:cs="Calibri" w:eastAsia="Calibri" w:hAnsi="Calibri"/>
                <w:sz w:val="15"/>
                <w:szCs w:val="15"/>
                <w:b w:val="1"/>
                <w:bCs w:val="1"/>
                <w:color w:val="auto"/>
              </w:rPr>
              <w:t>455</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158</w:t>
            </w: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Calibri" w:cs="Calibri" w:eastAsia="Calibri" w:hAnsi="Calibri"/>
                <w:sz w:val="15"/>
                <w:szCs w:val="15"/>
                <w:color w:val="auto"/>
              </w:rPr>
              <w:t>Change in fair value of investments measured at fair value through proft</w:t>
            </w:r>
          </w:p>
        </w:tc>
        <w:tc>
          <w:tcPr>
            <w:tcW w:w="1840" w:type="dxa"/>
            <w:vAlign w:val="bottom"/>
            <w:vMerge w:val="restart"/>
          </w:tcPr>
          <w:p>
            <w:pPr>
              <w:jc w:val="right"/>
              <w:ind w:right="407"/>
              <w:spacing w:after="0"/>
              <w:rPr>
                <w:sz w:val="20"/>
                <w:szCs w:val="20"/>
                <w:color w:val="auto"/>
              </w:rPr>
            </w:pPr>
            <w:r>
              <w:rPr>
                <w:rFonts w:ascii="Calibri" w:cs="Calibri" w:eastAsia="Calibri" w:hAnsi="Calibri"/>
                <w:sz w:val="15"/>
                <w:szCs w:val="15"/>
                <w:b w:val="1"/>
                <w:bCs w:val="1"/>
                <w:color w:val="auto"/>
              </w:rPr>
              <w:t>(159)</w:t>
            </w:r>
          </w:p>
        </w:tc>
        <w:tc>
          <w:tcPr>
            <w:tcW w:w="1520" w:type="dxa"/>
            <w:vAlign w:val="bottom"/>
            <w:vMerge w:val="restart"/>
          </w:tcPr>
          <w:p>
            <w:pPr>
              <w:jc w:val="right"/>
              <w:ind w:right="247"/>
              <w:spacing w:after="0"/>
              <w:rPr>
                <w:sz w:val="20"/>
                <w:szCs w:val="20"/>
                <w:color w:val="auto"/>
              </w:rPr>
            </w:pPr>
            <w:r>
              <w:rPr>
                <w:rFonts w:ascii="Calibri" w:cs="Calibri" w:eastAsia="Calibri" w:hAnsi="Calibri"/>
                <w:sz w:val="15"/>
                <w:szCs w:val="15"/>
                <w:color w:val="auto"/>
              </w:rPr>
              <w:t>—</w:t>
            </w:r>
          </w:p>
        </w:tc>
        <w:tc>
          <w:tcPr>
            <w:tcW w:w="1840" w:type="dxa"/>
            <w:vAlign w:val="bottom"/>
            <w:vMerge w:val="restart"/>
          </w:tcPr>
          <w:p>
            <w:pPr>
              <w:jc w:val="right"/>
              <w:ind w:right="387"/>
              <w:spacing w:after="0"/>
              <w:rPr>
                <w:sz w:val="20"/>
                <w:szCs w:val="20"/>
                <w:color w:val="auto"/>
              </w:rPr>
            </w:pPr>
            <w:r>
              <w:rPr>
                <w:rFonts w:ascii="Calibri" w:cs="Calibri" w:eastAsia="Calibri" w:hAnsi="Calibri"/>
                <w:sz w:val="15"/>
                <w:szCs w:val="15"/>
                <w:b w:val="1"/>
                <w:bCs w:val="1"/>
                <w:color w:val="auto"/>
              </w:rPr>
              <w:t>(135)</w:t>
            </w:r>
          </w:p>
        </w:tc>
        <w:tc>
          <w:tcPr>
            <w:tcW w:w="1280" w:type="dxa"/>
            <w:vAlign w:val="bottom"/>
            <w:vMerge w:val="restart"/>
          </w:tcPr>
          <w:p>
            <w:pPr>
              <w:jc w:val="right"/>
              <w:spacing w:after="0"/>
              <w:rPr>
                <w:sz w:val="20"/>
                <w:szCs w:val="20"/>
                <w:color w:val="auto"/>
              </w:rPr>
            </w:pPr>
            <w:r>
              <w:rPr>
                <w:rFonts w:ascii="Calibri" w:cs="Calibri" w:eastAsia="Calibri" w:hAnsi="Calibri"/>
                <w:sz w:val="15"/>
                <w:szCs w:val="15"/>
                <w:color w:val="auto"/>
              </w:rPr>
              <w:t>—</w:t>
            </w:r>
          </w:p>
        </w:tc>
        <w:tc>
          <w:tcPr>
            <w:tcW w:w="0" w:type="dxa"/>
            <w:vAlign w:val="bottom"/>
          </w:tcPr>
          <w:p>
            <w:pPr>
              <w:spacing w:after="0"/>
              <w:rPr>
                <w:sz w:val="1"/>
                <w:szCs w:val="1"/>
                <w:color w:val="auto"/>
              </w:rPr>
            </w:pPr>
          </w:p>
        </w:tc>
      </w:tr>
      <w:tr>
        <w:trPr>
          <w:trHeight w:val="85"/>
        </w:trPr>
        <w:tc>
          <w:tcPr>
            <w:tcW w:w="4760" w:type="dxa"/>
            <w:vAlign w:val="bottom"/>
            <w:vMerge w:val="restart"/>
          </w:tcPr>
          <w:p>
            <w:pPr>
              <w:ind w:left="160"/>
              <w:spacing w:after="0" w:line="182" w:lineRule="exact"/>
              <w:rPr>
                <w:sz w:val="20"/>
                <w:szCs w:val="20"/>
                <w:color w:val="auto"/>
              </w:rPr>
            </w:pPr>
            <w:r>
              <w:rPr>
                <w:rFonts w:ascii="Calibri" w:cs="Calibri" w:eastAsia="Calibri" w:hAnsi="Calibri"/>
                <w:sz w:val="15"/>
                <w:szCs w:val="15"/>
                <w:color w:val="auto"/>
              </w:rPr>
              <w:t>or loss</w:t>
            </w:r>
          </w:p>
        </w:tc>
        <w:tc>
          <w:tcPr>
            <w:tcW w:w="18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184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4760" w:type="dxa"/>
            <w:vAlign w:val="bottom"/>
            <w:vMerge w:val="continue"/>
          </w:tcPr>
          <w:p>
            <w:pPr>
              <w:spacing w:after="0"/>
              <w:rPr>
                <w:sz w:val="8"/>
                <w:szCs w:val="8"/>
                <w:color w:val="auto"/>
              </w:rPr>
            </w:pPr>
          </w:p>
        </w:tc>
        <w:tc>
          <w:tcPr>
            <w:tcW w:w="18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20"/>
              <w:spacing w:after="0"/>
              <w:rPr>
                <w:sz w:val="20"/>
                <w:szCs w:val="20"/>
                <w:color w:val="auto"/>
              </w:rPr>
            </w:pPr>
            <w:r>
              <w:rPr>
                <w:rFonts w:ascii="Calibri" w:cs="Calibri" w:eastAsia="Calibri" w:hAnsi="Calibri"/>
                <w:sz w:val="15"/>
                <w:szCs w:val="15"/>
                <w:color w:val="auto"/>
              </w:rPr>
              <w:t>Contngent consideraton accreton</w:t>
            </w:r>
          </w:p>
        </w:tc>
        <w:tc>
          <w:tcPr>
            <w:tcW w:w="184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w:t>
            </w:r>
          </w:p>
        </w:tc>
        <w:tc>
          <w:tcPr>
            <w:tcW w:w="1520" w:type="dxa"/>
            <w:vAlign w:val="bottom"/>
          </w:tcPr>
          <w:p>
            <w:pPr>
              <w:jc w:val="right"/>
              <w:ind w:right="247"/>
              <w:spacing w:after="0"/>
              <w:rPr>
                <w:sz w:val="20"/>
                <w:szCs w:val="20"/>
                <w:color w:val="auto"/>
              </w:rPr>
            </w:pPr>
            <w:r>
              <w:rPr>
                <w:rFonts w:ascii="Calibri" w:cs="Calibri" w:eastAsia="Calibri" w:hAnsi="Calibri"/>
                <w:sz w:val="15"/>
                <w:szCs w:val="15"/>
                <w:color w:val="auto"/>
              </w:rPr>
              <w:t>(59)</w:t>
            </w:r>
          </w:p>
        </w:tc>
        <w:tc>
          <w:tcPr>
            <w:tcW w:w="1840" w:type="dxa"/>
            <w:vAlign w:val="bottom"/>
          </w:tcPr>
          <w:p>
            <w:pPr>
              <w:jc w:val="right"/>
              <w:ind w:right="387"/>
              <w:spacing w:after="0"/>
              <w:rPr>
                <w:sz w:val="20"/>
                <w:szCs w:val="20"/>
                <w:color w:val="auto"/>
              </w:rPr>
            </w:pPr>
            <w:r>
              <w:rPr>
                <w:rFonts w:ascii="Calibri" w:cs="Calibri" w:eastAsia="Calibri" w:hAnsi="Calibri"/>
                <w:sz w:val="15"/>
                <w:szCs w:val="15"/>
                <w:b w:val="1"/>
                <w:bCs w:val="1"/>
                <w:color w:val="auto"/>
              </w:rPr>
              <w:t>(13)</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(290)</w:t>
            </w:r>
          </w:p>
        </w:tc>
        <w:tc>
          <w:tcPr>
            <w:tcW w:w="0" w:type="dxa"/>
            <w:vAlign w:val="bottom"/>
          </w:tcPr>
          <w:p>
            <w:pPr>
              <w:spacing w:after="0"/>
              <w:rPr>
                <w:sz w:val="1"/>
                <w:szCs w:val="1"/>
                <w:color w:val="auto"/>
              </w:rPr>
            </w:pPr>
          </w:p>
        </w:tc>
      </w:tr>
      <w:tr>
        <w:trPr>
          <w:trHeight w:val="230"/>
        </w:trPr>
        <w:tc>
          <w:tcPr>
            <w:tcW w:w="4760" w:type="dxa"/>
            <w:vAlign w:val="bottom"/>
          </w:tcPr>
          <w:p>
            <w:pPr>
              <w:ind w:left="200"/>
              <w:spacing w:after="0"/>
              <w:rPr>
                <w:sz w:val="20"/>
                <w:szCs w:val="20"/>
                <w:color w:val="auto"/>
              </w:rPr>
            </w:pPr>
            <w:r>
              <w:rPr>
                <w:rFonts w:ascii="Calibri" w:cs="Calibri" w:eastAsia="Calibri" w:hAnsi="Calibri"/>
                <w:sz w:val="15"/>
                <w:szCs w:val="15"/>
                <w:color w:val="auto"/>
              </w:rPr>
              <w:t>Change in fair value of contngent consideraton</w:t>
            </w:r>
          </w:p>
        </w:tc>
        <w:tc>
          <w:tcPr>
            <w:tcW w:w="1840" w:type="dxa"/>
            <w:vAlign w:val="bottom"/>
          </w:tcPr>
          <w:p>
            <w:pPr>
              <w:jc w:val="right"/>
              <w:ind w:right="407"/>
              <w:spacing w:after="0"/>
              <w:rPr>
                <w:sz w:val="20"/>
                <w:szCs w:val="20"/>
                <w:color w:val="auto"/>
              </w:rPr>
            </w:pPr>
            <w:r>
              <w:rPr>
                <w:rFonts w:ascii="Calibri" w:cs="Calibri" w:eastAsia="Calibri" w:hAnsi="Calibri"/>
                <w:sz w:val="15"/>
                <w:szCs w:val="15"/>
                <w:b w:val="1"/>
                <w:bCs w:val="1"/>
                <w:color w:val="auto"/>
              </w:rPr>
              <w:t>—</w:t>
            </w:r>
          </w:p>
        </w:tc>
        <w:tc>
          <w:tcPr>
            <w:tcW w:w="1520" w:type="dxa"/>
            <w:vAlign w:val="bottom"/>
          </w:tcPr>
          <w:p>
            <w:pPr>
              <w:jc w:val="right"/>
              <w:ind w:right="247"/>
              <w:spacing w:after="0"/>
              <w:rPr>
                <w:sz w:val="20"/>
                <w:szCs w:val="20"/>
                <w:color w:val="auto"/>
              </w:rPr>
            </w:pPr>
            <w:r>
              <w:rPr>
                <w:rFonts w:ascii="Calibri" w:cs="Calibri" w:eastAsia="Calibri" w:hAnsi="Calibri"/>
                <w:sz w:val="15"/>
                <w:szCs w:val="15"/>
                <w:color w:val="auto"/>
              </w:rPr>
              <w:t>(695)</w:t>
            </w:r>
          </w:p>
        </w:tc>
        <w:tc>
          <w:tcPr>
            <w:tcW w:w="1840" w:type="dxa"/>
            <w:vAlign w:val="bottom"/>
          </w:tcPr>
          <w:p>
            <w:pPr>
              <w:jc w:val="right"/>
              <w:ind w:right="387"/>
              <w:spacing w:after="0"/>
              <w:rPr>
                <w:sz w:val="20"/>
                <w:szCs w:val="20"/>
                <w:color w:val="auto"/>
              </w:rPr>
            </w:pPr>
            <w:r>
              <w:rPr>
                <w:rFonts w:ascii="Calibri" w:cs="Calibri" w:eastAsia="Calibri" w:hAnsi="Calibri"/>
                <w:sz w:val="15"/>
                <w:szCs w:val="15"/>
                <w:b w:val="1"/>
                <w:bCs w:val="1"/>
                <w:color w:val="auto"/>
              </w:rPr>
              <w:t>(329)</w:t>
            </w:r>
          </w:p>
        </w:tc>
        <w:tc>
          <w:tcPr>
            <w:tcW w:w="1280" w:type="dxa"/>
            <w:vAlign w:val="bottom"/>
          </w:tcPr>
          <w:p>
            <w:pPr>
              <w:jc w:val="right"/>
              <w:spacing w:after="0"/>
              <w:rPr>
                <w:sz w:val="20"/>
                <w:szCs w:val="20"/>
                <w:color w:val="auto"/>
              </w:rPr>
            </w:pPr>
            <w:r>
              <w:rPr>
                <w:rFonts w:ascii="Calibri" w:cs="Calibri" w:eastAsia="Calibri" w:hAnsi="Calibri"/>
                <w:sz w:val="15"/>
                <w:szCs w:val="15"/>
                <w:color w:val="auto"/>
              </w:rPr>
              <w:t>(1,944)</w:t>
            </w:r>
          </w:p>
        </w:tc>
        <w:tc>
          <w:tcPr>
            <w:tcW w:w="0" w:type="dxa"/>
            <w:vAlign w:val="bottom"/>
          </w:tcPr>
          <w:p>
            <w:pPr>
              <w:spacing w:after="0"/>
              <w:rPr>
                <w:sz w:val="1"/>
                <w:szCs w:val="1"/>
                <w:color w:val="auto"/>
              </w:rPr>
            </w:pPr>
          </w:p>
        </w:tc>
      </w:tr>
      <w:tr>
        <w:trPr>
          <w:trHeight w:val="134"/>
        </w:trPr>
        <w:tc>
          <w:tcPr>
            <w:tcW w:w="47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4760" w:type="dxa"/>
            <w:vAlign w:val="bottom"/>
          </w:tcPr>
          <w:p>
            <w:pPr>
              <w:ind w:left="60"/>
              <w:spacing w:after="0" w:line="174" w:lineRule="exact"/>
              <w:rPr>
                <w:sz w:val="20"/>
                <w:szCs w:val="20"/>
                <w:color w:val="auto"/>
              </w:rPr>
            </w:pPr>
            <w:r>
              <w:rPr>
                <w:rFonts w:ascii="Calibri" w:cs="Calibri" w:eastAsia="Calibri" w:hAnsi="Calibri"/>
                <w:sz w:val="15"/>
                <w:szCs w:val="15"/>
                <w:b w:val="1"/>
                <w:bCs w:val="1"/>
                <w:color w:val="auto"/>
              </w:rPr>
              <w:t>TOTAL OTHER INCOME (EXPENSES)</w:t>
            </w:r>
          </w:p>
        </w:tc>
        <w:tc>
          <w:tcPr>
            <w:tcW w:w="1840" w:type="dxa"/>
            <w:vAlign w:val="bottom"/>
          </w:tcPr>
          <w:p>
            <w:pPr>
              <w:jc w:val="right"/>
              <w:ind w:right="407"/>
              <w:spacing w:after="0" w:line="174" w:lineRule="exact"/>
              <w:rPr>
                <w:sz w:val="20"/>
                <w:szCs w:val="20"/>
                <w:color w:val="auto"/>
              </w:rPr>
            </w:pPr>
            <w:r>
              <w:rPr>
                <w:rFonts w:ascii="Calibri" w:cs="Calibri" w:eastAsia="Calibri" w:hAnsi="Calibri"/>
                <w:sz w:val="15"/>
                <w:szCs w:val="15"/>
                <w:b w:val="1"/>
                <w:bCs w:val="1"/>
                <w:color w:val="auto"/>
              </w:rPr>
              <w:t>1,351</w:t>
            </w:r>
          </w:p>
        </w:tc>
        <w:tc>
          <w:tcPr>
            <w:tcW w:w="1520" w:type="dxa"/>
            <w:vAlign w:val="bottom"/>
          </w:tcPr>
          <w:p>
            <w:pPr>
              <w:jc w:val="right"/>
              <w:ind w:right="247"/>
              <w:spacing w:after="0" w:line="174" w:lineRule="exact"/>
              <w:rPr>
                <w:sz w:val="20"/>
                <w:szCs w:val="20"/>
                <w:color w:val="auto"/>
              </w:rPr>
            </w:pPr>
            <w:r>
              <w:rPr>
                <w:rFonts w:ascii="Calibri" w:cs="Calibri" w:eastAsia="Calibri" w:hAnsi="Calibri"/>
                <w:sz w:val="15"/>
                <w:szCs w:val="15"/>
                <w:color w:val="auto"/>
              </w:rPr>
              <w:t>(755)</w:t>
            </w:r>
          </w:p>
        </w:tc>
        <w:tc>
          <w:tcPr>
            <w:tcW w:w="1840" w:type="dxa"/>
            <w:vAlign w:val="bottom"/>
          </w:tcPr>
          <w:p>
            <w:pPr>
              <w:jc w:val="right"/>
              <w:ind w:right="387"/>
              <w:spacing w:after="0" w:line="174" w:lineRule="exact"/>
              <w:rPr>
                <w:sz w:val="20"/>
                <w:szCs w:val="20"/>
                <w:color w:val="auto"/>
              </w:rPr>
            </w:pPr>
            <w:r>
              <w:rPr>
                <w:rFonts w:ascii="Calibri" w:cs="Calibri" w:eastAsia="Calibri" w:hAnsi="Calibri"/>
                <w:sz w:val="15"/>
                <w:szCs w:val="15"/>
                <w:b w:val="1"/>
                <w:bCs w:val="1"/>
                <w:color w:val="auto"/>
              </w:rPr>
              <w:t>4,045</w:t>
            </w:r>
          </w:p>
        </w:tc>
        <w:tc>
          <w:tcPr>
            <w:tcW w:w="1280" w:type="dxa"/>
            <w:vAlign w:val="bottom"/>
          </w:tcPr>
          <w:p>
            <w:pPr>
              <w:jc w:val="right"/>
              <w:spacing w:after="0" w:line="174" w:lineRule="exact"/>
              <w:rPr>
                <w:sz w:val="20"/>
                <w:szCs w:val="20"/>
                <w:color w:val="auto"/>
              </w:rPr>
            </w:pPr>
            <w:r>
              <w:rPr>
                <w:rFonts w:ascii="Calibri" w:cs="Calibri" w:eastAsia="Calibri" w:hAnsi="Calibri"/>
                <w:sz w:val="15"/>
                <w:szCs w:val="15"/>
                <w:color w:val="auto"/>
              </w:rPr>
              <w:t>(2,034)</w:t>
            </w:r>
          </w:p>
        </w:tc>
        <w:tc>
          <w:tcPr>
            <w:tcW w:w="0" w:type="dxa"/>
            <w:vAlign w:val="bottom"/>
          </w:tcPr>
          <w:p>
            <w:pPr>
              <w:spacing w:after="0"/>
              <w:rPr>
                <w:sz w:val="1"/>
                <w:szCs w:val="1"/>
                <w:color w:val="auto"/>
              </w:rPr>
            </w:pPr>
          </w:p>
        </w:tc>
      </w:tr>
      <w:tr>
        <w:trPr>
          <w:trHeight w:val="49"/>
        </w:trPr>
        <w:tc>
          <w:tcPr>
            <w:tcW w:w="4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76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4760" w:type="dxa"/>
            <w:vAlign w:val="bottom"/>
            <w:tcBorders>
              <w:bottom w:val="single" w:sz="8" w:color="D9D9D9"/>
            </w:tcBorders>
            <w:shd w:val="clear" w:color="auto" w:fill="D9D9D9"/>
          </w:tcPr>
          <w:p>
            <w:pPr>
              <w:ind w:left="60"/>
              <w:spacing w:after="0" w:line="174" w:lineRule="exact"/>
              <w:rPr>
                <w:sz w:val="20"/>
                <w:szCs w:val="20"/>
                <w:color w:val="auto"/>
              </w:rPr>
            </w:pPr>
            <w:r>
              <w:rPr>
                <w:rFonts w:ascii="Calibri" w:cs="Calibri" w:eastAsia="Calibri" w:hAnsi="Calibri"/>
                <w:sz w:val="15"/>
                <w:szCs w:val="15"/>
                <w:b w:val="1"/>
                <w:bCs w:val="1"/>
                <w:color w:val="auto"/>
              </w:rPr>
              <w:t>NET LOSS FOR THE PERIOD</w:t>
            </w:r>
          </w:p>
        </w:tc>
        <w:tc>
          <w:tcPr>
            <w:tcW w:w="1840" w:type="dxa"/>
            <w:vAlign w:val="bottom"/>
            <w:tcBorders>
              <w:bottom w:val="single" w:sz="8" w:color="D9D9D9"/>
            </w:tcBorders>
            <w:shd w:val="clear" w:color="auto" w:fill="D9D9D9"/>
          </w:tcPr>
          <w:p>
            <w:pPr>
              <w:jc w:val="right"/>
              <w:ind w:right="407"/>
              <w:spacing w:after="0" w:line="174" w:lineRule="exact"/>
              <w:rPr>
                <w:sz w:val="20"/>
                <w:szCs w:val="20"/>
                <w:color w:val="auto"/>
              </w:rPr>
            </w:pPr>
            <w:r>
              <w:rPr>
                <w:rFonts w:ascii="Calibri" w:cs="Calibri" w:eastAsia="Calibri" w:hAnsi="Calibri"/>
                <w:sz w:val="15"/>
                <w:szCs w:val="15"/>
                <w:b w:val="1"/>
                <w:bCs w:val="1"/>
                <w:color w:val="auto"/>
              </w:rPr>
              <w:t>(10,742)</w:t>
            </w:r>
          </w:p>
        </w:tc>
        <w:tc>
          <w:tcPr>
            <w:tcW w:w="1520" w:type="dxa"/>
            <w:vAlign w:val="bottom"/>
            <w:tcBorders>
              <w:bottom w:val="single" w:sz="8" w:color="D9D9D9"/>
            </w:tcBorders>
            <w:shd w:val="clear" w:color="auto" w:fill="D9D9D9"/>
          </w:tcPr>
          <w:p>
            <w:pPr>
              <w:jc w:val="right"/>
              <w:ind w:right="247"/>
              <w:spacing w:after="0" w:line="174" w:lineRule="exact"/>
              <w:rPr>
                <w:sz w:val="20"/>
                <w:szCs w:val="20"/>
                <w:color w:val="auto"/>
              </w:rPr>
            </w:pPr>
            <w:r>
              <w:rPr>
                <w:rFonts w:ascii="Calibri" w:cs="Calibri" w:eastAsia="Calibri" w:hAnsi="Calibri"/>
                <w:sz w:val="15"/>
                <w:szCs w:val="15"/>
                <w:color w:val="auto"/>
              </w:rPr>
              <w:t>(17,210)</w:t>
            </w:r>
          </w:p>
        </w:tc>
        <w:tc>
          <w:tcPr>
            <w:tcW w:w="1840" w:type="dxa"/>
            <w:vAlign w:val="bottom"/>
            <w:tcBorders>
              <w:bottom w:val="single" w:sz="8" w:color="D9D9D9"/>
            </w:tcBorders>
            <w:shd w:val="clear" w:color="auto" w:fill="D9D9D9"/>
          </w:tcPr>
          <w:p>
            <w:pPr>
              <w:jc w:val="right"/>
              <w:ind w:right="387"/>
              <w:spacing w:after="0" w:line="174" w:lineRule="exact"/>
              <w:rPr>
                <w:sz w:val="20"/>
                <w:szCs w:val="20"/>
                <w:color w:val="auto"/>
              </w:rPr>
            </w:pPr>
            <w:r>
              <w:rPr>
                <w:rFonts w:ascii="Calibri" w:cs="Calibri" w:eastAsia="Calibri" w:hAnsi="Calibri"/>
                <w:sz w:val="15"/>
                <w:szCs w:val="15"/>
                <w:b w:val="1"/>
                <w:bCs w:val="1"/>
                <w:color w:val="auto"/>
              </w:rPr>
              <w:t>(33,770)</w:t>
            </w:r>
          </w:p>
        </w:tc>
        <w:tc>
          <w:tcPr>
            <w:tcW w:w="1280" w:type="dxa"/>
            <w:vAlign w:val="bottom"/>
            <w:tcBorders>
              <w:bottom w:val="single" w:sz="8" w:color="D9D9D9"/>
            </w:tcBorders>
            <w:shd w:val="clear" w:color="auto" w:fill="D9D9D9"/>
          </w:tcPr>
          <w:p>
            <w:pPr>
              <w:jc w:val="right"/>
              <w:spacing w:after="0" w:line="174" w:lineRule="exact"/>
              <w:rPr>
                <w:sz w:val="20"/>
                <w:szCs w:val="20"/>
                <w:color w:val="auto"/>
              </w:rPr>
            </w:pPr>
            <w:r>
              <w:rPr>
                <w:rFonts w:ascii="Calibri" w:cs="Calibri" w:eastAsia="Calibri" w:hAnsi="Calibri"/>
                <w:sz w:val="15"/>
                <w:szCs w:val="15"/>
                <w:color w:val="auto"/>
              </w:rPr>
              <w:t>(49,534)</w:t>
            </w:r>
          </w:p>
        </w:tc>
        <w:tc>
          <w:tcPr>
            <w:tcW w:w="0" w:type="dxa"/>
            <w:vAlign w:val="bottom"/>
          </w:tcPr>
          <w:p>
            <w:pPr>
              <w:spacing w:after="0"/>
              <w:rPr>
                <w:sz w:val="1"/>
                <w:szCs w:val="1"/>
                <w:color w:val="auto"/>
              </w:rPr>
            </w:pPr>
          </w:p>
        </w:tc>
      </w:tr>
      <w:tr>
        <w:trPr>
          <w:trHeight w:val="392"/>
        </w:trPr>
        <w:tc>
          <w:tcPr>
            <w:tcW w:w="4760" w:type="dxa"/>
            <w:vAlign w:val="bottom"/>
            <w:tcBorders>
              <w:top w:val="single" w:sz="8" w:color="auto"/>
            </w:tcBorders>
          </w:tcPr>
          <w:p>
            <w:pPr>
              <w:ind w:left="60"/>
              <w:spacing w:after="0"/>
              <w:rPr>
                <w:sz w:val="20"/>
                <w:szCs w:val="20"/>
                <w:color w:val="auto"/>
              </w:rPr>
            </w:pPr>
            <w:r>
              <w:rPr>
                <w:rFonts w:ascii="Calibri" w:cs="Calibri" w:eastAsia="Calibri" w:hAnsi="Calibri"/>
                <w:sz w:val="15"/>
                <w:szCs w:val="15"/>
                <w:b w:val="1"/>
                <w:bCs w:val="1"/>
                <w:color w:val="auto"/>
              </w:rPr>
              <w:t>Basic loss per share for the period atributable to common shareholders</w:t>
            </w:r>
          </w:p>
        </w:tc>
        <w:tc>
          <w:tcPr>
            <w:tcW w:w="1840" w:type="dxa"/>
            <w:vAlign w:val="bottom"/>
            <w:tcBorders>
              <w:top w:val="single" w:sz="8" w:color="auto"/>
            </w:tcBorders>
          </w:tcPr>
          <w:p>
            <w:pPr>
              <w:jc w:val="right"/>
              <w:ind w:right="407"/>
              <w:spacing w:after="0"/>
              <w:rPr>
                <w:sz w:val="20"/>
                <w:szCs w:val="20"/>
                <w:color w:val="auto"/>
              </w:rPr>
            </w:pPr>
            <w:r>
              <w:rPr>
                <w:rFonts w:ascii="Calibri" w:cs="Calibri" w:eastAsia="Calibri" w:hAnsi="Calibri"/>
                <w:sz w:val="15"/>
                <w:szCs w:val="15"/>
                <w:b w:val="1"/>
                <w:bCs w:val="1"/>
                <w:color w:val="auto"/>
              </w:rPr>
              <w:t>(0.06)</w:t>
            </w:r>
          </w:p>
        </w:tc>
        <w:tc>
          <w:tcPr>
            <w:tcW w:w="1520" w:type="dxa"/>
            <w:vAlign w:val="bottom"/>
            <w:tcBorders>
              <w:top w:val="single" w:sz="8" w:color="auto"/>
            </w:tcBorders>
          </w:tcPr>
          <w:p>
            <w:pPr>
              <w:jc w:val="right"/>
              <w:ind w:right="247"/>
              <w:spacing w:after="0"/>
              <w:rPr>
                <w:sz w:val="20"/>
                <w:szCs w:val="20"/>
                <w:color w:val="auto"/>
              </w:rPr>
            </w:pPr>
            <w:r>
              <w:rPr>
                <w:rFonts w:ascii="Calibri" w:cs="Calibri" w:eastAsia="Calibri" w:hAnsi="Calibri"/>
                <w:sz w:val="15"/>
                <w:szCs w:val="15"/>
                <w:color w:val="auto"/>
              </w:rPr>
              <w:t>(0.10)</w:t>
            </w:r>
          </w:p>
        </w:tc>
        <w:tc>
          <w:tcPr>
            <w:tcW w:w="1840" w:type="dxa"/>
            <w:vAlign w:val="bottom"/>
            <w:tcBorders>
              <w:top w:val="single" w:sz="8" w:color="auto"/>
            </w:tcBorders>
          </w:tcPr>
          <w:p>
            <w:pPr>
              <w:jc w:val="right"/>
              <w:ind w:right="387"/>
              <w:spacing w:after="0"/>
              <w:rPr>
                <w:sz w:val="20"/>
                <w:szCs w:val="20"/>
                <w:color w:val="auto"/>
              </w:rPr>
            </w:pPr>
            <w:r>
              <w:rPr>
                <w:rFonts w:ascii="Calibri" w:cs="Calibri" w:eastAsia="Calibri" w:hAnsi="Calibri"/>
                <w:sz w:val="15"/>
                <w:szCs w:val="15"/>
                <w:b w:val="1"/>
                <w:bCs w:val="1"/>
                <w:color w:val="auto"/>
              </w:rPr>
              <w:t>(0.19)</w:t>
            </w:r>
          </w:p>
        </w:tc>
        <w:tc>
          <w:tcPr>
            <w:tcW w:w="1280" w:type="dxa"/>
            <w:vAlign w:val="bottom"/>
            <w:tcBorders>
              <w:top w:val="single" w:sz="8" w:color="auto"/>
            </w:tcBorders>
          </w:tcPr>
          <w:p>
            <w:pPr>
              <w:jc w:val="right"/>
              <w:spacing w:after="0"/>
              <w:rPr>
                <w:sz w:val="20"/>
                <w:szCs w:val="20"/>
                <w:color w:val="auto"/>
              </w:rPr>
            </w:pPr>
            <w:r>
              <w:rPr>
                <w:rFonts w:ascii="Calibri" w:cs="Calibri" w:eastAsia="Calibri" w:hAnsi="Calibri"/>
                <w:sz w:val="15"/>
                <w:szCs w:val="15"/>
                <w:color w:val="auto"/>
              </w:rPr>
              <w:t>(0.30)</w:t>
            </w:r>
          </w:p>
        </w:tc>
        <w:tc>
          <w:tcPr>
            <w:tcW w:w="0" w:type="dxa"/>
            <w:vAlign w:val="bottom"/>
          </w:tcPr>
          <w:p>
            <w:pPr>
              <w:spacing w:after="0"/>
              <w:rPr>
                <w:sz w:val="1"/>
                <w:szCs w:val="1"/>
                <w:color w:val="auto"/>
              </w:rPr>
            </w:pPr>
          </w:p>
        </w:tc>
      </w:tr>
      <w:tr>
        <w:trPr>
          <w:trHeight w:val="49"/>
        </w:trPr>
        <w:tc>
          <w:tcPr>
            <w:tcW w:w="4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4760" w:type="dxa"/>
            <w:vAlign w:val="bottom"/>
          </w:tcPr>
          <w:p>
            <w:pPr>
              <w:ind w:left="60"/>
              <w:spacing w:after="0" w:line="174" w:lineRule="exact"/>
              <w:rPr>
                <w:sz w:val="20"/>
                <w:szCs w:val="20"/>
                <w:color w:val="auto"/>
              </w:rPr>
            </w:pPr>
            <w:r>
              <w:rPr>
                <w:rFonts w:ascii="Calibri" w:cs="Calibri" w:eastAsia="Calibri" w:hAnsi="Calibri"/>
                <w:sz w:val="15"/>
                <w:szCs w:val="15"/>
                <w:b w:val="1"/>
                <w:bCs w:val="1"/>
                <w:color w:val="auto"/>
              </w:rPr>
              <w:t>Weighted average number of common shares outstanding - basic</w:t>
            </w:r>
          </w:p>
        </w:tc>
        <w:tc>
          <w:tcPr>
            <w:tcW w:w="1840" w:type="dxa"/>
            <w:vAlign w:val="bottom"/>
          </w:tcPr>
          <w:p>
            <w:pPr>
              <w:jc w:val="right"/>
              <w:ind w:right="407"/>
              <w:spacing w:after="0" w:line="174" w:lineRule="exact"/>
              <w:rPr>
                <w:sz w:val="20"/>
                <w:szCs w:val="20"/>
                <w:color w:val="auto"/>
              </w:rPr>
            </w:pPr>
            <w:r>
              <w:rPr>
                <w:rFonts w:ascii="Calibri" w:cs="Calibri" w:eastAsia="Calibri" w:hAnsi="Calibri"/>
                <w:sz w:val="15"/>
                <w:szCs w:val="15"/>
                <w:b w:val="1"/>
                <w:bCs w:val="1"/>
                <w:color w:val="auto"/>
              </w:rPr>
              <w:t>188,887,344</w:t>
            </w:r>
          </w:p>
        </w:tc>
        <w:tc>
          <w:tcPr>
            <w:tcW w:w="1520" w:type="dxa"/>
            <w:vAlign w:val="bottom"/>
          </w:tcPr>
          <w:p>
            <w:pPr>
              <w:jc w:val="right"/>
              <w:ind w:right="247"/>
              <w:spacing w:after="0" w:line="174" w:lineRule="exact"/>
              <w:rPr>
                <w:sz w:val="20"/>
                <w:szCs w:val="20"/>
                <w:color w:val="auto"/>
              </w:rPr>
            </w:pPr>
            <w:r>
              <w:rPr>
                <w:rFonts w:ascii="Calibri" w:cs="Calibri" w:eastAsia="Calibri" w:hAnsi="Calibri"/>
                <w:sz w:val="15"/>
                <w:szCs w:val="15"/>
                <w:color w:val="auto"/>
              </w:rPr>
              <w:t>171,833,544</w:t>
            </w:r>
          </w:p>
        </w:tc>
        <w:tc>
          <w:tcPr>
            <w:tcW w:w="1840" w:type="dxa"/>
            <w:vAlign w:val="bottom"/>
          </w:tcPr>
          <w:p>
            <w:pPr>
              <w:jc w:val="right"/>
              <w:ind w:right="387"/>
              <w:spacing w:after="0" w:line="174" w:lineRule="exact"/>
              <w:rPr>
                <w:sz w:val="20"/>
                <w:szCs w:val="20"/>
                <w:color w:val="auto"/>
              </w:rPr>
            </w:pPr>
            <w:r>
              <w:rPr>
                <w:rFonts w:ascii="Calibri" w:cs="Calibri" w:eastAsia="Calibri" w:hAnsi="Calibri"/>
                <w:sz w:val="15"/>
                <w:szCs w:val="15"/>
                <w:b w:val="1"/>
                <w:bCs w:val="1"/>
                <w:color w:val="auto"/>
              </w:rPr>
              <w:t>181,902,462</w:t>
            </w:r>
          </w:p>
        </w:tc>
        <w:tc>
          <w:tcPr>
            <w:tcW w:w="1280" w:type="dxa"/>
            <w:vAlign w:val="bottom"/>
          </w:tcPr>
          <w:p>
            <w:pPr>
              <w:jc w:val="right"/>
              <w:spacing w:after="0" w:line="174" w:lineRule="exact"/>
              <w:rPr>
                <w:sz w:val="20"/>
                <w:szCs w:val="20"/>
                <w:color w:val="auto"/>
              </w:rPr>
            </w:pPr>
            <w:r>
              <w:rPr>
                <w:rFonts w:ascii="Calibri" w:cs="Calibri" w:eastAsia="Calibri" w:hAnsi="Calibri"/>
                <w:sz w:val="15"/>
                <w:szCs w:val="15"/>
                <w:color w:val="auto"/>
              </w:rPr>
              <w:t>165,130,598</w:t>
            </w:r>
          </w:p>
        </w:tc>
        <w:tc>
          <w:tcPr>
            <w:tcW w:w="0" w:type="dxa"/>
            <w:vAlign w:val="bottom"/>
          </w:tcPr>
          <w:p>
            <w:pPr>
              <w:spacing w:after="0"/>
              <w:rPr>
                <w:sz w:val="1"/>
                <w:szCs w:val="1"/>
                <w:color w:val="auto"/>
              </w:rPr>
            </w:pPr>
          </w:p>
        </w:tc>
      </w:tr>
      <w:tr>
        <w:trPr>
          <w:trHeight w:val="49"/>
        </w:trPr>
        <w:tc>
          <w:tcPr>
            <w:tcW w:w="476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7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and nine months ended December 31, 2022, Cybin incurred a net loss of $10,742 and $33,770, respectively, compared to a net loss of $17,210 and $49,534 during the same periods in prior year. During the nine month period, the Company submitted an IND and received a “may proceed letter” and IND clearance from the FDA for its Phase 1/2a first-in-human clinical trial evaluating CYB003 as well as dosed its first patients in the trial. In addition, the Company announced the Asset Acquisition from Entheon to accelerate the clinical development path for CYB004 as well as further strengthened its intellectual property portfolio by entering into multiple licensing agreements that provide Cybin with additional access to IP from over 15 more patents or patent applications (see "Relationships with Third Parties").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During the three and nine month periods, the Company was focused on progressing its various research programs and raising awareness of the Company and its industry.</w:t>
      </w:r>
    </w:p>
    <w:p>
      <w:pPr>
        <w:spacing w:after="0" w:line="18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the Company established an at-the-market equity program (the “ATM Program”) that allows the Company to issue and sell up to US$35,000 of Common Shares in the capital of the Company from treasury to the public, from time to time. Distributions of Common Shares under the ATM Program, will be made pursuant to the terms and conditions of an “at-the-market equity” distribution agreement (the “Distribution Agreement”) dated August 8, 2022, entered into by and among the Company, Cantor Fitzgerald Canada Corporation and Cantor Fitzgerald &amp; Co. The ATM Program will be effective until the earlier of the issuance and sale of all of the Common Shares issuable pursuant to the ATM Program and August 5, 2023 unless earlier terminated in accordance with the terms of the Distribution Agreement. Up to December 31, 2022, the Company had sold 11,258,683 Common Shares under the ATM program at an average price of US$0.5857 per Common Share, for aggregate gross proceeds of US$6,594. During the three month period ended December 31, 2022, the Company had sold 5,927,053 Common Shares under the ATM program at an average price of US$0.4544 per Common Share, for aggregate gross proceeds of US$2,693.</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69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three-month period ended December 31, 2022, operating expenses totaled $12,093. The operating expenses include a non-cash component of $978 (2021 - $4,457) related to share-based compensation. The remaining operating expenses were incurred to support raising capital, research &amp; development and the overall development of the Company.</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nine-month period ended December 31, 2022, operating expenses totaled $37,815. The operating expenses include a non-cash component of $4,205 (2021 - $14,687) related to share-based compensation. The remaining operating expenses were incurred to support raising capital, research &amp; development and the overall development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w:t>
      </w:r>
    </w:p>
    <w:p>
      <w:pPr>
        <w:spacing w:after="0" w:line="20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three-month period ended December 31, 2022, the Company’s research expenses totaled $6,256 compared to $4,963 during the same period in prior year. Research expenses for the three-month period ended are comprised of advancement of the development programs of $3,398 (2021 - $2,847), payroll related expenses of $2,163 (2021 - $1,621), lab and administration expenses of $357 (2021 – $55), and professional and consulting fees of $338 (2021 - $440).</w:t>
      </w:r>
    </w:p>
    <w:p>
      <w:pPr>
        <w:spacing w:after="0" w:line="15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For the nine-month period ended December 31, 2022, the Company’s research expenses totaled $17,445 compared to $11,757 during the same period in prior year. Research expenses for the nine-month period ended are comprised of advancement of the development programs of $9,390 (2021 - $5,905), payroll related expenses of $6,279 (2021 - 4,164), lab and administration expenses of $927 (2021 – $250), and professional and consulting fees of $849 (2021 - $1,438).</w:t>
      </w:r>
    </w:p>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of the date of this MD&amp;A, Cybin’s research and development team has completed over 200 preclinical studies supporting research and development advancement of proprietary psychedelic-based molecules being designed for potential therapeutic applications for several mental health conditions. To date, more than 50 novel compounds have been evaluated through collaborations with experienced contract research organizations for pharmacokinetic/pharmacodynamic profile, metabolic stability, receptor binding, and safety in order to identify preferred candidates for further development. In addition, the Company currently has two clinical-stage programs ongoing.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administration costs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For the three-month period ended December 31, 2022, general and administrative expenses were $4,859 compared to $7,035 during the same period in prior year. General and administrative expense for the three-month period are comprised of capital market expenses of $1,788 (2021 - $2,170), payroll related expenses of $1,419 (2021 - $1,275), office and administration expenses of $896 (2021 - $1,299), professional and consulting fees of $257 (2021 – $680), investor relations expenses of $290 (2021 - $578), listing fees of $72 (2021 – $20), business development expenses of $71 (2021 - $614), and marketing media fees of $66 (2021 - $399).</w:t>
      </w:r>
    </w:p>
    <w:p>
      <w:pPr>
        <w:spacing w:after="0" w:line="17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nine-month period ended December 31, 2022, general and administrative expenses were $16,165 compared to $21,056 during the same period in prior year. General and administrative expense for the nine-month period are comprised of payroll related expenses of $4,664 (2021 - $4,848), capital market expenses of $4,052 (2021 - $5,362), office and administration expenses of $3,046 (2021 - $3,208), professional and consulting fees of $1,908 (2021 – $2,473), marketing media fees of $869 (2021 - $1,154), investor relations expenses of $713 (2021 - $1,608), business development expenses of $609 (2021 - $2,046), and listing fees of $304 (2021 – $357).</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both the three and nine-month period ended December 31, 2022, the overall decrease in general and administrative expenses relates to a reduction in the marketing related spend to raise awareness of the Company and its industry. The Company continues to incur expenditures related to market awareness, some of which it considers one-time events, but to a lesser extent. The Company expects these expenses to decrease during the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60"/>
          </w:cols>
          <w:pgMar w:left="320" w:top="733"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three-month period ended December 31, 2022, Cybin issued warrants and options incurring share-based payment expense of $978 compared to $4,457 during the same period in prior year. The decrease is largely related to the timing of warrant and option grants.</w:t>
      </w:r>
    </w:p>
    <w:p>
      <w:pPr>
        <w:spacing w:after="0" w:line="13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During the nine-month period ended December 31, 2022, Cybin issued warrants and options incurring share-based payment expense of $4,205 compared to $14,687 during the same period in prior year. The decrease is largely related to the timing of warrant and option grants.</w:t>
      </w:r>
    </w:p>
    <w:p>
      <w:pPr>
        <w:spacing w:after="0" w:line="1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share-based compensation expense was recorded based on the fair value using a Black Scholes Model. On exercise of these warrants and options the equity reserve balances will move to share capital.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gain (loss)</w:t>
      </w:r>
    </w:p>
    <w:p>
      <w:pPr>
        <w:spacing w:after="0" w:line="22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For the three and nine-month periods ended December 31, 2022, the Company incurred a foreign currency translation gain from operations and revaluation of balance sheet assets and liabilities held in foreign currencies of $1,353 and $4,067, respectively. The Company holds assets and liabilities in Canadian dollars, U.S. dollars, Euros, and British pounds.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three-month period ended December 31, 2022, the Company recorded interest income of $157 compared to $63 during the same period in prior year.</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largely related to an increase in interest rates being earned on cash balances.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nine-month period ended December 31, 2022, the Company recorded interest income of $455 compared to $158 during the same period in prior year.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is largely related to an increase in interest rates being earned on cash balances.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consideration accretion</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For the three and nine month periods ended December 31, 2022 and 2021, the contingent consideration accretion related to the commitments to the former shareholders of Adelia based on milestone achievements (see “Acquisitions”). As of December 31, 2022, all of the milestones related to the Adelia Transaction had been achieved.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in fair value of contingent consideration</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three and nine month periods ended December 31, 2022 and 2021, the Company recorded a change in fair value related to the achievement of certain milestones in connection with the Adelia Transaction (see “Acquisitions”). The amount recorded represents the difference between the fair value of the contingent consideration determined as at September 30, 2022 and March 31, 2022 and the fair value on December 31, 2022. As of December 31, 2022, all of the milestones related to the Adelia Transaction had been achieved.</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Pandemic</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i w:val="1"/>
          <w:iCs w:val="1"/>
          <w:color w:val="auto"/>
        </w:rPr>
        <w:t>General</w:t>
      </w:r>
    </w:p>
    <w:p>
      <w:pPr>
        <w:spacing w:after="0" w:line="200"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On March 11, 2020, the World Health Organization declared the outbreak of COVID-19 a pandemic. Since the outbreak of COVID-19, the Company has focused its efforts on safeguarding the health and well-being of its employees, consultants and community members. To help slow the spread of COVID-19, the Company’s employees have been working remotely, where possible, and abiding by local and national guidance put in place in Canada, the United States, and the UK related to social distancing and restrictions on travel outside of the home. The Company has</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0"/>
          </w:cols>
          <w:pgMar w:left="320" w:top="91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t>and will continue to abide by the protocols within Canada, the United States, and the UK regarding the performance of work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Impact on the Company</w:t>
      </w:r>
    </w:p>
    <w:p>
      <w:pPr>
        <w:spacing w:after="0" w:line="19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During the three and nine-month periods ended December 31, 2022, the Company has not experienced any material negative effect on its financial position as a result of COVID-19. Certain operating expenses of the Company, such as those relating to travel and office expenses, have been less than they would have been without the restrictions relating to COVID-19.</w:t>
      </w:r>
    </w:p>
    <w:p>
      <w:pPr>
        <w:spacing w:after="0" w:line="1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duration and the eventual impact of the spread of COVID-19 remains unknown. In particular, it is not possible to reliably estimate the length and severity of these developments and the impact on the financial results and condition of the Company. To date, a number of businesses have suspended, scaled back or otherwise adjusted their operations and development as cases of COVID-19 have been confirmed, for precautionary purposes or as governments have declared a state of emergency or taken other actions. In the event that the operations or development of the Company are suspended, scaled back or otherwise adjusted, or if the Company’s supply chains are disrupted, such events may have a material adverse effect on the Company. The Company may also experience delays in operation of its clinical trials due to slower administrative processes and response times, delayed patient recruitments, and delayed governmental approvals of import and export requests caused by the spread of COVID-19 and the related restrictions. The breadth of the impact of the spread of COVID-19 on investors, businesses, the global economy and financial and commodity markets may also have a material adverse effect on the Company.</w:t>
      </w:r>
    </w:p>
    <w:p>
      <w:pPr>
        <w:spacing w:after="0" w:line="154"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8"/>
          <w:szCs w:val="18"/>
          <w:color w:val="auto"/>
        </w:rPr>
        <w:t>The Company raised capital pursuant to the Company’s final prospectus dated February 1, 2021 (the “</w:t>
      </w:r>
      <w:r>
        <w:rPr>
          <w:rFonts w:ascii="Times New Roman" w:cs="Times New Roman" w:eastAsia="Times New Roman" w:hAnsi="Times New Roman"/>
          <w:sz w:val="18"/>
          <w:szCs w:val="18"/>
          <w:b w:val="1"/>
          <w:bCs w:val="1"/>
          <w:color w:val="auto"/>
        </w:rPr>
        <w:t>February 2021 Prospectus</w:t>
      </w:r>
      <w:r>
        <w:rPr>
          <w:rFonts w:ascii="Times New Roman" w:cs="Times New Roman" w:eastAsia="Times New Roman" w:hAnsi="Times New Roman"/>
          <w:sz w:val="18"/>
          <w:szCs w:val="18"/>
          <w:color w:val="auto"/>
        </w:rPr>
        <w:t>”) and the Company’s prospectus supplement, to the short form base shelf prospectus, July 5, 2021 (the “</w:t>
      </w:r>
      <w:r>
        <w:rPr>
          <w:rFonts w:ascii="Times New Roman" w:cs="Times New Roman" w:eastAsia="Times New Roman" w:hAnsi="Times New Roman"/>
          <w:sz w:val="18"/>
          <w:szCs w:val="18"/>
          <w:b w:val="1"/>
          <w:bCs w:val="1"/>
          <w:color w:val="auto"/>
        </w:rPr>
        <w:t>Base Prospectus</w:t>
      </w:r>
      <w:r>
        <w:rPr>
          <w:rFonts w:ascii="Times New Roman" w:cs="Times New Roman" w:eastAsia="Times New Roman" w:hAnsi="Times New Roman"/>
          <w:sz w:val="18"/>
          <w:szCs w:val="18"/>
          <w:color w:val="auto"/>
        </w:rPr>
        <w:t>”), dated July 28, 2021 (the “</w:t>
      </w:r>
      <w:r>
        <w:rPr>
          <w:rFonts w:ascii="Times New Roman" w:cs="Times New Roman" w:eastAsia="Times New Roman" w:hAnsi="Times New Roman"/>
          <w:sz w:val="18"/>
          <w:szCs w:val="18"/>
          <w:b w:val="1"/>
          <w:bCs w:val="1"/>
          <w:color w:val="auto"/>
        </w:rPr>
        <w:t>July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In addition, the Company is currently raising capital through its ATM Program which is qualified by way of a prospectus supplement dated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8, 2022, to the Base Prospectus, to continue to support its strategic plan.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increases in COVID-19 cases may impact operations, labs and research materials, and result in local lockdowns, shutdowns or slowdowns where the Company completes its research or operations, which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Capital Resources and Cash Flows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84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2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r>
      <w:tr>
        <w:trPr>
          <w:trHeight w:val="220"/>
        </w:trPr>
        <w:tc>
          <w:tcPr>
            <w:tcW w:w="38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1200" w:type="dxa"/>
            <w:vAlign w:val="bottom"/>
            <w:tcBorders>
              <w:bottom w:val="single" w:sz="8" w:color="DBDBDB"/>
            </w:tcBorders>
            <w:gridSpan w:val="2"/>
            <w:shd w:val="clear" w:color="auto" w:fill="DBDBDB"/>
          </w:tcPr>
          <w:p>
            <w:pPr>
              <w:ind w:left="68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80" w:type="dxa"/>
            <w:vAlign w:val="bottom"/>
            <w:tcBorders>
              <w:bottom w:val="single" w:sz="8" w:color="DBDBDB"/>
            </w:tcBorders>
            <w:shd w:val="clear" w:color="auto" w:fill="DBDBDB"/>
          </w:tcPr>
          <w:p>
            <w:pPr>
              <w:spacing w:after="0"/>
              <w:rPr>
                <w:sz w:val="19"/>
                <w:szCs w:val="19"/>
                <w:color w:val="auto"/>
              </w:rPr>
            </w:pPr>
          </w:p>
        </w:tc>
        <w:tc>
          <w:tcPr>
            <w:tcW w:w="140" w:type="dxa"/>
            <w:vAlign w:val="bottom"/>
            <w:tcBorders>
              <w:bottom w:val="single" w:sz="8" w:color="DBDBDB"/>
            </w:tcBorders>
            <w:shd w:val="clear" w:color="auto" w:fill="DBDBDB"/>
          </w:tcPr>
          <w:p>
            <w:pPr>
              <w:spacing w:after="0"/>
              <w:rPr>
                <w:sz w:val="19"/>
                <w:szCs w:val="19"/>
                <w:color w:val="auto"/>
              </w:rPr>
            </w:pPr>
          </w:p>
        </w:tc>
        <w:tc>
          <w:tcPr>
            <w:tcW w:w="9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w w:val="98"/>
              </w:rPr>
              <w:t>December 31,</w:t>
            </w:r>
          </w:p>
        </w:tc>
        <w:tc>
          <w:tcPr>
            <w:tcW w:w="1180" w:type="dxa"/>
            <w:vAlign w:val="bottom"/>
            <w:tcBorders>
              <w:bottom w:val="single" w:sz="8" w:color="DBDBDB"/>
            </w:tcBorders>
            <w:gridSpan w:val="2"/>
            <w:shd w:val="clear" w:color="auto" w:fill="DBDBDB"/>
          </w:tcPr>
          <w:p>
            <w:pPr>
              <w:ind w:left="660"/>
              <w:spacing w:after="0"/>
              <w:rPr>
                <w:sz w:val="20"/>
                <w:szCs w:val="20"/>
                <w:color w:val="auto"/>
              </w:rPr>
            </w:pPr>
            <w:r>
              <w:rPr>
                <w:rFonts w:ascii="Times New Roman" w:cs="Times New Roman" w:eastAsia="Times New Roman" w:hAnsi="Times New Roman"/>
                <w:sz w:val="15"/>
                <w:szCs w:val="15"/>
                <w:b w:val="1"/>
                <w:bCs w:val="1"/>
                <w:color w:val="auto"/>
              </w:rPr>
              <w:t>Change</w:t>
            </w:r>
          </w:p>
        </w:tc>
        <w:tc>
          <w:tcPr>
            <w:tcW w:w="460" w:type="dxa"/>
            <w:vAlign w:val="bottom"/>
            <w:tcBorders>
              <w:bottom w:val="single" w:sz="8" w:color="DBDBDB"/>
            </w:tcBorders>
            <w:shd w:val="clear" w:color="auto" w:fill="DBDBDB"/>
          </w:tcPr>
          <w:p>
            <w:pPr>
              <w:spacing w:after="0"/>
              <w:rPr>
                <w:sz w:val="19"/>
                <w:szCs w:val="19"/>
                <w:color w:val="auto"/>
              </w:rPr>
            </w:pPr>
          </w:p>
        </w:tc>
        <w:tc>
          <w:tcPr>
            <w:tcW w:w="160" w:type="dxa"/>
            <w:vAlign w:val="bottom"/>
            <w:tcBorders>
              <w:bottom w:val="single" w:sz="8" w:color="DBDBDB"/>
            </w:tcBorders>
            <w:shd w:val="clear" w:color="auto" w:fill="DBDBDB"/>
          </w:tcPr>
          <w:p>
            <w:pPr>
              <w:spacing w:after="0"/>
              <w:rPr>
                <w:sz w:val="19"/>
                <w:szCs w:val="19"/>
                <w:color w:val="auto"/>
              </w:rPr>
            </w:pP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i w:val="1"/>
                <w:iCs w:val="1"/>
                <w:color w:val="auto"/>
              </w:rPr>
              <w:t>(Canadian dollars in thousands)</w:t>
            </w:r>
          </w:p>
        </w:tc>
        <w:tc>
          <w:tcPr>
            <w:tcW w:w="9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9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840" w:type="dxa"/>
            <w:vAlign w:val="bottom"/>
            <w:tcBorders>
              <w:top w:val="single" w:sz="8" w:color="929292"/>
              <w:bottom w:val="single" w:sz="8" w:color="DBDBDB"/>
            </w:tcBorders>
            <w:shd w:val="clear" w:color="auto" w:fill="DBDBDB"/>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Borders>
              <w:top w:val="single" w:sz="8" w:color="929292"/>
              <w:bottom w:val="single" w:sz="8" w:color="DBDBDB"/>
            </w:tcBorders>
            <w:shd w:val="clear" w:color="auto" w:fill="DBDBDB"/>
          </w:tcPr>
          <w:p>
            <w:pPr>
              <w:spacing w:after="0"/>
              <w:rPr>
                <w:sz w:val="19"/>
                <w:szCs w:val="19"/>
                <w:color w:val="auto"/>
              </w:rPr>
            </w:pPr>
          </w:p>
        </w:tc>
        <w:tc>
          <w:tcPr>
            <w:tcW w:w="480" w:type="dxa"/>
            <w:vAlign w:val="bottom"/>
            <w:tcBorders>
              <w:top w:val="single" w:sz="8" w:color="929292"/>
              <w:bottom w:val="single" w:sz="8" w:color="DBDBDB"/>
            </w:tcBorders>
            <w:shd w:val="clear" w:color="auto" w:fill="DBDBDB"/>
          </w:tcPr>
          <w:p>
            <w:pPr>
              <w:jc w:val="right"/>
              <w:ind w:right="207"/>
              <w:spacing w:after="0"/>
              <w:rPr>
                <w:sz w:val="20"/>
                <w:szCs w:val="20"/>
                <w:color w:val="auto"/>
              </w:rPr>
            </w:pPr>
            <w:r>
              <w:rPr>
                <w:rFonts w:ascii="Times New Roman" w:cs="Times New Roman" w:eastAsia="Times New Roman" w:hAnsi="Times New Roman"/>
                <w:sz w:val="15"/>
                <w:szCs w:val="15"/>
                <w:b w:val="1"/>
                <w:bCs w:val="1"/>
                <w:color w:val="auto"/>
              </w:rPr>
              <w:t>%</w:t>
            </w:r>
          </w:p>
        </w:tc>
        <w:tc>
          <w:tcPr>
            <w:tcW w:w="140" w:type="dxa"/>
            <w:vAlign w:val="bottom"/>
            <w:tcBorders>
              <w:top w:val="single" w:sz="8" w:color="929292"/>
              <w:bottom w:val="single" w:sz="8" w:color="DBDBDB"/>
            </w:tcBorders>
            <w:shd w:val="clear" w:color="auto" w:fill="DBDBDB"/>
          </w:tcPr>
          <w:p>
            <w:pPr>
              <w:spacing w:after="0"/>
              <w:rPr>
                <w:sz w:val="19"/>
                <w:szCs w:val="19"/>
                <w:color w:val="auto"/>
              </w:rPr>
            </w:pPr>
          </w:p>
        </w:tc>
        <w:tc>
          <w:tcPr>
            <w:tcW w:w="9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2022</w:t>
            </w:r>
          </w:p>
        </w:tc>
        <w:tc>
          <w:tcPr>
            <w:tcW w:w="90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2021</w:t>
            </w:r>
          </w:p>
        </w:tc>
        <w:tc>
          <w:tcPr>
            <w:tcW w:w="820" w:type="dxa"/>
            <w:vAlign w:val="bottom"/>
            <w:tcBorders>
              <w:top w:val="single" w:sz="8" w:color="929292"/>
              <w:bottom w:val="single" w:sz="8" w:color="DBDBDB"/>
            </w:tcBorders>
            <w:shd w:val="clear" w:color="auto" w:fill="DBDBDB"/>
          </w:tcPr>
          <w:p>
            <w:pPr>
              <w:jc w:val="right"/>
              <w:ind w:right="307"/>
              <w:spacing w:after="0"/>
              <w:rPr>
                <w:sz w:val="20"/>
                <w:szCs w:val="20"/>
                <w:color w:val="auto"/>
              </w:rPr>
            </w:pPr>
            <w:r>
              <w:rPr>
                <w:rFonts w:ascii="Times New Roman" w:cs="Times New Roman" w:eastAsia="Times New Roman" w:hAnsi="Times New Roman"/>
                <w:sz w:val="15"/>
                <w:szCs w:val="15"/>
                <w:b w:val="1"/>
                <w:bCs w:val="1"/>
                <w:color w:val="auto"/>
              </w:rPr>
              <w:t>$</w:t>
            </w:r>
          </w:p>
        </w:tc>
        <w:tc>
          <w:tcPr>
            <w:tcW w:w="360" w:type="dxa"/>
            <w:vAlign w:val="bottom"/>
            <w:tcBorders>
              <w:top w:val="single" w:sz="8" w:color="929292"/>
              <w:bottom w:val="single" w:sz="8" w:color="DBDBDB"/>
            </w:tcBorders>
            <w:shd w:val="clear" w:color="auto" w:fill="DBDBDB"/>
          </w:tcPr>
          <w:p>
            <w:pPr>
              <w:spacing w:after="0"/>
              <w:rPr>
                <w:sz w:val="19"/>
                <w:szCs w:val="19"/>
                <w:color w:val="auto"/>
              </w:rPr>
            </w:pPr>
          </w:p>
        </w:tc>
        <w:tc>
          <w:tcPr>
            <w:tcW w:w="460" w:type="dxa"/>
            <w:vAlign w:val="bottom"/>
            <w:tcBorders>
              <w:top w:val="single" w:sz="8" w:color="929292"/>
              <w:bottom w:val="single" w:sz="8" w:color="DBDBDB"/>
            </w:tcBorders>
            <w:shd w:val="clear" w:color="auto" w:fill="DBDBDB"/>
          </w:tcPr>
          <w:p>
            <w:pPr>
              <w:jc w:val="right"/>
              <w:ind w:right="187"/>
              <w:spacing w:after="0"/>
              <w:rPr>
                <w:sz w:val="20"/>
                <w:szCs w:val="20"/>
                <w:color w:val="auto"/>
              </w:rPr>
            </w:pPr>
            <w:r>
              <w:rPr>
                <w:rFonts w:ascii="Times New Roman" w:cs="Times New Roman" w:eastAsia="Times New Roman" w:hAnsi="Times New Roman"/>
                <w:sz w:val="15"/>
                <w:szCs w:val="15"/>
                <w:b w:val="1"/>
                <w:bCs w:val="1"/>
                <w:color w:val="auto"/>
              </w:rPr>
              <w:t>%</w:t>
            </w:r>
          </w:p>
        </w:tc>
        <w:tc>
          <w:tcPr>
            <w:tcW w:w="160" w:type="dxa"/>
            <w:vAlign w:val="bottom"/>
            <w:tcBorders>
              <w:top w:val="single" w:sz="8" w:color="929292"/>
              <w:bottom w:val="single" w:sz="8" w:color="DBDBDB"/>
            </w:tcBorders>
            <w:shd w:val="clear" w:color="auto" w:fill="DBDBDB"/>
          </w:tcPr>
          <w:p>
            <w:pPr>
              <w:spacing w:after="0"/>
              <w:rPr>
                <w:sz w:val="19"/>
                <w:szCs w:val="19"/>
                <w:color w:val="auto"/>
              </w:rPr>
            </w:pPr>
          </w:p>
        </w:tc>
      </w:tr>
      <w:tr>
        <w:trPr>
          <w:trHeight w:val="194"/>
        </w:trPr>
        <w:tc>
          <w:tcPr>
            <w:tcW w:w="382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5"/>
                <w:szCs w:val="15"/>
                <w:color w:val="auto"/>
              </w:rPr>
              <w:t>Net cash used in operating activities</w:t>
            </w:r>
          </w:p>
        </w:tc>
        <w:tc>
          <w:tcPr>
            <w:tcW w:w="98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(10,771)</w:t>
            </w:r>
          </w:p>
        </w:tc>
        <w:tc>
          <w:tcPr>
            <w:tcW w:w="92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5"/>
                <w:szCs w:val="15"/>
                <w:color w:val="auto"/>
              </w:rPr>
              <w:t>(12,814)</w:t>
            </w:r>
          </w:p>
        </w:tc>
        <w:tc>
          <w:tcPr>
            <w:tcW w:w="840" w:type="dxa"/>
            <w:vAlign w:val="bottom"/>
            <w:tcBorders>
              <w:top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2,043</w:t>
            </w:r>
          </w:p>
        </w:tc>
        <w:tc>
          <w:tcPr>
            <w:tcW w:w="360" w:type="dxa"/>
            <w:vAlign w:val="bottom"/>
            <w:tcBorders>
              <w:top w:val="single" w:sz="8" w:color="B6B6B6"/>
            </w:tcBorders>
            <w:shd w:val="clear" w:color="auto" w:fill="DBDBDB"/>
          </w:tcPr>
          <w:p>
            <w:pPr>
              <w:spacing w:after="0"/>
              <w:rPr>
                <w:sz w:val="16"/>
                <w:szCs w:val="16"/>
                <w:color w:val="auto"/>
              </w:rPr>
            </w:pPr>
          </w:p>
        </w:tc>
        <w:tc>
          <w:tcPr>
            <w:tcW w:w="620" w:type="dxa"/>
            <w:vAlign w:val="bottom"/>
            <w:tcBorders>
              <w:top w:val="single" w:sz="8" w:color="B6B6B6"/>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(16)%</w:t>
            </w:r>
          </w:p>
        </w:tc>
        <w:tc>
          <w:tcPr>
            <w:tcW w:w="92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(36,593)</w:t>
            </w:r>
          </w:p>
        </w:tc>
        <w:tc>
          <w:tcPr>
            <w:tcW w:w="900" w:type="dxa"/>
            <w:vAlign w:val="bottom"/>
            <w:tcBorders>
              <w:top w:val="single" w:sz="8" w:color="B6B6B6"/>
            </w:tcBorders>
          </w:tcPr>
          <w:p>
            <w:pPr>
              <w:jc w:val="right"/>
              <w:spacing w:after="0"/>
              <w:rPr>
                <w:sz w:val="20"/>
                <w:szCs w:val="20"/>
                <w:color w:val="auto"/>
              </w:rPr>
            </w:pPr>
            <w:r>
              <w:rPr>
                <w:rFonts w:ascii="Times New Roman" w:cs="Times New Roman" w:eastAsia="Times New Roman" w:hAnsi="Times New Roman"/>
                <w:sz w:val="15"/>
                <w:szCs w:val="15"/>
                <w:color w:val="auto"/>
              </w:rPr>
              <w:t>(35,486)</w:t>
            </w:r>
          </w:p>
        </w:tc>
        <w:tc>
          <w:tcPr>
            <w:tcW w:w="820" w:type="dxa"/>
            <w:vAlign w:val="bottom"/>
            <w:tcBorders>
              <w:top w:val="single" w:sz="8" w:color="B6B6B6"/>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(1,107)</w:t>
            </w:r>
          </w:p>
        </w:tc>
        <w:tc>
          <w:tcPr>
            <w:tcW w:w="360" w:type="dxa"/>
            <w:vAlign w:val="bottom"/>
            <w:tcBorders>
              <w:top w:val="single" w:sz="8" w:color="B6B6B6"/>
            </w:tcBorders>
            <w:shd w:val="clear" w:color="auto" w:fill="DBDBDB"/>
          </w:tcPr>
          <w:p>
            <w:pPr>
              <w:spacing w:after="0"/>
              <w:rPr>
                <w:sz w:val="16"/>
                <w:szCs w:val="16"/>
                <w:color w:val="auto"/>
              </w:rPr>
            </w:pPr>
          </w:p>
        </w:tc>
        <w:tc>
          <w:tcPr>
            <w:tcW w:w="620" w:type="dxa"/>
            <w:vAlign w:val="bottom"/>
            <w:tcBorders>
              <w:top w:val="single" w:sz="8" w:color="B6B6B6"/>
            </w:tcBorders>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(207)</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(166)</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w:t>
            </w:r>
          </w:p>
        </w:tc>
        <w:tc>
          <w:tcPr>
            <w:tcW w:w="360" w:type="dxa"/>
            <w:vAlign w:val="bottom"/>
            <w:shd w:val="clear" w:color="auto" w:fill="DBDBDB"/>
          </w:tcPr>
          <w:p>
            <w:pPr>
              <w:spacing w:after="0"/>
              <w:rPr>
                <w:sz w:val="20"/>
                <w:szCs w:val="20"/>
                <w:color w:val="auto"/>
              </w:rPr>
            </w:pPr>
          </w:p>
        </w:tc>
        <w:tc>
          <w:tcPr>
            <w:tcW w:w="6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25 %</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b w:val="1"/>
                <w:bCs w:val="1"/>
                <w:color w:val="auto"/>
              </w:rPr>
              <w:t>(3,091)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(649)</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(2,442)</w:t>
            </w:r>
          </w:p>
        </w:tc>
        <w:tc>
          <w:tcPr>
            <w:tcW w:w="360" w:type="dxa"/>
            <w:vAlign w:val="bottom"/>
            <w:shd w:val="clear" w:color="auto" w:fill="DBDBDB"/>
          </w:tcPr>
          <w:p>
            <w:pPr>
              <w:spacing w:after="0"/>
              <w:rPr>
                <w:sz w:val="20"/>
                <w:szCs w:val="20"/>
                <w:color w:val="auto"/>
              </w:rPr>
            </w:pPr>
          </w:p>
        </w:tc>
        <w:tc>
          <w:tcPr>
            <w:tcW w:w="620" w:type="dxa"/>
            <w:vAlign w:val="bottom"/>
            <w:gridSpan w:val="2"/>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376 %</w:t>
            </w:r>
          </w:p>
        </w:tc>
      </w:tr>
      <w:tr>
        <w:trPr>
          <w:trHeight w:val="25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cash from financing activities</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3,459</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1,400</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2,059</w:t>
            </w:r>
          </w:p>
        </w:tc>
        <w:tc>
          <w:tcPr>
            <w:tcW w:w="360" w:type="dxa"/>
            <w:vAlign w:val="bottom"/>
            <w:tcBorders>
              <w:bottom w:val="single" w:sz="8" w:color="DBDBDB"/>
            </w:tcBorders>
            <w:shd w:val="clear" w:color="auto" w:fill="DBDBDB"/>
          </w:tcPr>
          <w:p>
            <w:pPr>
              <w:spacing w:after="0"/>
              <w:rPr>
                <w:sz w:val="22"/>
                <w:szCs w:val="22"/>
                <w:color w:val="auto"/>
              </w:rPr>
            </w:pPr>
          </w:p>
        </w:tc>
        <w:tc>
          <w:tcPr>
            <w:tcW w:w="48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147</w:t>
            </w:r>
          </w:p>
        </w:tc>
        <w:tc>
          <w:tcPr>
            <w:tcW w:w="1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8,419</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35,710</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(27,291)</w:t>
            </w:r>
          </w:p>
        </w:tc>
        <w:tc>
          <w:tcPr>
            <w:tcW w:w="360" w:type="dxa"/>
            <w:vAlign w:val="bottom"/>
            <w:tcBorders>
              <w:bottom w:val="single" w:sz="8" w:color="DBDBDB"/>
            </w:tcBorders>
            <w:shd w:val="clear" w:color="auto" w:fill="DBDBDB"/>
          </w:tcPr>
          <w:p>
            <w:pPr>
              <w:spacing w:after="0"/>
              <w:rPr>
                <w:sz w:val="22"/>
                <w:szCs w:val="22"/>
                <w:color w:val="auto"/>
              </w:rPr>
            </w:pPr>
          </w:p>
        </w:tc>
        <w:tc>
          <w:tcPr>
            <w:tcW w:w="4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(76)</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194"/>
        </w:trPr>
        <w:tc>
          <w:tcPr>
            <w:tcW w:w="3820" w:type="dxa"/>
            <w:vAlign w:val="bottom"/>
            <w:tcBorders>
              <w:top w:val="single" w:sz="8" w:color="929292"/>
            </w:tcBorders>
          </w:tcPr>
          <w:p>
            <w:pPr>
              <w:ind w:left="20"/>
              <w:spacing w:after="0"/>
              <w:rPr>
                <w:sz w:val="20"/>
                <w:szCs w:val="20"/>
                <w:color w:val="auto"/>
              </w:rPr>
            </w:pPr>
            <w:r>
              <w:rPr>
                <w:rFonts w:ascii="Times New Roman" w:cs="Times New Roman" w:eastAsia="Times New Roman" w:hAnsi="Times New Roman"/>
                <w:sz w:val="15"/>
                <w:szCs w:val="15"/>
                <w:color w:val="auto"/>
              </w:rPr>
              <w:t>Decrease in cash</w:t>
            </w:r>
          </w:p>
        </w:tc>
        <w:tc>
          <w:tcPr>
            <w:tcW w:w="98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(7,519)</w:t>
            </w:r>
          </w:p>
        </w:tc>
        <w:tc>
          <w:tcPr>
            <w:tcW w:w="9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(11,580)</w:t>
            </w:r>
          </w:p>
        </w:tc>
        <w:tc>
          <w:tcPr>
            <w:tcW w:w="840" w:type="dxa"/>
            <w:vAlign w:val="bottom"/>
            <w:tcBorders>
              <w:top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4,061</w:t>
            </w:r>
          </w:p>
        </w:tc>
        <w:tc>
          <w:tcPr>
            <w:tcW w:w="360" w:type="dxa"/>
            <w:vAlign w:val="bottom"/>
            <w:tcBorders>
              <w:top w:val="single" w:sz="8" w:color="929292"/>
            </w:tcBorders>
          </w:tcPr>
          <w:p>
            <w:pPr>
              <w:spacing w:after="0"/>
              <w:rPr>
                <w:sz w:val="16"/>
                <w:szCs w:val="16"/>
                <w:color w:val="auto"/>
              </w:rPr>
            </w:pPr>
          </w:p>
        </w:tc>
        <w:tc>
          <w:tcPr>
            <w:tcW w:w="620" w:type="dxa"/>
            <w:vAlign w:val="bottom"/>
            <w:tcBorders>
              <w:top w:val="single" w:sz="8" w:color="929292"/>
            </w:tcBorders>
            <w:gridSpan w:val="2"/>
          </w:tcPr>
          <w:p>
            <w:pPr>
              <w:jc w:val="right"/>
              <w:spacing w:after="0"/>
              <w:rPr>
                <w:sz w:val="20"/>
                <w:szCs w:val="20"/>
                <w:color w:val="auto"/>
              </w:rPr>
            </w:pPr>
            <w:r>
              <w:rPr>
                <w:rFonts w:ascii="Times New Roman" w:cs="Times New Roman" w:eastAsia="Times New Roman" w:hAnsi="Times New Roman"/>
                <w:sz w:val="15"/>
                <w:szCs w:val="15"/>
                <w:color w:val="auto"/>
              </w:rPr>
              <w:t>(35)%</w:t>
            </w:r>
          </w:p>
        </w:tc>
        <w:tc>
          <w:tcPr>
            <w:tcW w:w="9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(31,265)</w:t>
            </w:r>
          </w:p>
        </w:tc>
        <w:tc>
          <w:tcPr>
            <w:tcW w:w="90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(425)</w:t>
            </w:r>
          </w:p>
        </w:tc>
        <w:tc>
          <w:tcPr>
            <w:tcW w:w="820" w:type="dxa"/>
            <w:vAlign w:val="bottom"/>
            <w:tcBorders>
              <w:top w:val="single" w:sz="8" w:color="929292"/>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(30,840)</w:t>
            </w:r>
          </w:p>
        </w:tc>
        <w:tc>
          <w:tcPr>
            <w:tcW w:w="360" w:type="dxa"/>
            <w:vAlign w:val="bottom"/>
            <w:tcBorders>
              <w:top w:val="single" w:sz="8" w:color="929292"/>
            </w:tcBorders>
          </w:tcPr>
          <w:p>
            <w:pPr>
              <w:spacing w:after="0"/>
              <w:rPr>
                <w:sz w:val="16"/>
                <w:szCs w:val="16"/>
                <w:color w:val="auto"/>
              </w:rPr>
            </w:pPr>
          </w:p>
        </w:tc>
        <w:tc>
          <w:tcPr>
            <w:tcW w:w="4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7256</w:t>
            </w:r>
          </w:p>
        </w:tc>
        <w:tc>
          <w:tcPr>
            <w:tcW w:w="16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w w:val="95"/>
              </w:rPr>
              <w:t>%</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Net foreign exchange difference</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93</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84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112</w:t>
            </w:r>
          </w:p>
        </w:tc>
        <w:tc>
          <w:tcPr>
            <w:tcW w:w="3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(589)%</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135</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c>
          <w:tcPr>
            <w:tcW w:w="820" w:type="dxa"/>
            <w:vAlign w:val="bottom"/>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156</w:t>
            </w:r>
          </w:p>
        </w:tc>
        <w:tc>
          <w:tcPr>
            <w:tcW w:w="36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(743)%</w:t>
            </w:r>
          </w:p>
        </w:tc>
      </w:tr>
      <w:tr>
        <w:trPr>
          <w:trHeight w:val="259"/>
        </w:trPr>
        <w:tc>
          <w:tcPr>
            <w:tcW w:w="38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98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29,937</w:t>
            </w:r>
          </w:p>
        </w:tc>
        <w:tc>
          <w:tcPr>
            <w:tcW w:w="9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75,179</w:t>
            </w:r>
          </w:p>
        </w:tc>
        <w:tc>
          <w:tcPr>
            <w:tcW w:w="84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(45,242)</w:t>
            </w:r>
          </w:p>
        </w:tc>
        <w:tc>
          <w:tcPr>
            <w:tcW w:w="3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(60)%</w:t>
            </w:r>
          </w:p>
        </w:tc>
        <w:tc>
          <w:tcPr>
            <w:tcW w:w="920" w:type="dxa"/>
            <w:vAlign w:val="bottom"/>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53,641</w:t>
            </w:r>
          </w:p>
        </w:tc>
        <w:tc>
          <w:tcPr>
            <w:tcW w:w="9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64,026</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(10,385)</w:t>
            </w:r>
          </w:p>
        </w:tc>
        <w:tc>
          <w:tcPr>
            <w:tcW w:w="36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(16)%</w:t>
            </w:r>
          </w:p>
        </w:tc>
      </w:tr>
      <w:tr>
        <w:trPr>
          <w:trHeight w:val="203"/>
        </w:trPr>
        <w:tc>
          <w:tcPr>
            <w:tcW w:w="3820" w:type="dxa"/>
            <w:vAlign w:val="bottom"/>
            <w:tcBorders>
              <w:top w:val="single" w:sz="8" w:color="929292"/>
            </w:tcBorders>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980" w:type="dxa"/>
            <w:vAlign w:val="bottom"/>
            <w:tcBorders>
              <w:top w:val="single" w:sz="8" w:color="929292"/>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22,511</w:t>
            </w:r>
          </w:p>
        </w:tc>
        <w:tc>
          <w:tcPr>
            <w:tcW w:w="92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63,580</w:t>
            </w:r>
          </w:p>
        </w:tc>
        <w:tc>
          <w:tcPr>
            <w:tcW w:w="84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(41,069)</w:t>
            </w:r>
          </w:p>
        </w:tc>
        <w:tc>
          <w:tcPr>
            <w:tcW w:w="360" w:type="dxa"/>
            <w:vAlign w:val="bottom"/>
            <w:tcBorders>
              <w:top w:val="single" w:sz="8" w:color="929292"/>
            </w:tcBorders>
          </w:tcPr>
          <w:p>
            <w:pPr>
              <w:spacing w:after="0"/>
              <w:rPr>
                <w:sz w:val="17"/>
                <w:szCs w:val="17"/>
                <w:color w:val="auto"/>
              </w:rPr>
            </w:pPr>
          </w:p>
        </w:tc>
        <w:tc>
          <w:tcPr>
            <w:tcW w:w="620" w:type="dxa"/>
            <w:vAlign w:val="bottom"/>
            <w:tcBorders>
              <w:top w:val="single" w:sz="8" w:color="929292"/>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(65)%</w:t>
            </w:r>
          </w:p>
        </w:tc>
        <w:tc>
          <w:tcPr>
            <w:tcW w:w="920" w:type="dxa"/>
            <w:vAlign w:val="bottom"/>
            <w:tcBorders>
              <w:top w:val="single" w:sz="8" w:color="929292"/>
            </w:tcBorders>
          </w:tcPr>
          <w:p>
            <w:pPr>
              <w:jc w:val="right"/>
              <w:ind w:right="7"/>
              <w:spacing w:after="0"/>
              <w:rPr>
                <w:sz w:val="20"/>
                <w:szCs w:val="20"/>
                <w:color w:val="auto"/>
              </w:rPr>
            </w:pPr>
            <w:r>
              <w:rPr>
                <w:rFonts w:ascii="Times New Roman" w:cs="Times New Roman" w:eastAsia="Times New Roman" w:hAnsi="Times New Roman"/>
                <w:sz w:val="15"/>
                <w:szCs w:val="15"/>
                <w:b w:val="1"/>
                <w:bCs w:val="1"/>
                <w:color w:val="auto"/>
              </w:rPr>
              <w:t>22,511</w:t>
            </w:r>
          </w:p>
        </w:tc>
        <w:tc>
          <w:tcPr>
            <w:tcW w:w="900" w:type="dxa"/>
            <w:vAlign w:val="bottom"/>
            <w:tcBorders>
              <w:top w:val="single" w:sz="8" w:color="929292"/>
            </w:tcBorders>
          </w:tcPr>
          <w:p>
            <w:pPr>
              <w:jc w:val="right"/>
              <w:spacing w:after="0"/>
              <w:rPr>
                <w:sz w:val="20"/>
                <w:szCs w:val="20"/>
                <w:color w:val="auto"/>
              </w:rPr>
            </w:pPr>
            <w:r>
              <w:rPr>
                <w:rFonts w:ascii="Times New Roman" w:cs="Times New Roman" w:eastAsia="Times New Roman" w:hAnsi="Times New Roman"/>
                <w:sz w:val="15"/>
                <w:szCs w:val="15"/>
                <w:color w:val="auto"/>
              </w:rPr>
              <w:t>63,580</w:t>
            </w:r>
          </w:p>
        </w:tc>
        <w:tc>
          <w:tcPr>
            <w:tcW w:w="820" w:type="dxa"/>
            <w:vAlign w:val="bottom"/>
            <w:tcBorders>
              <w:top w:val="single" w:sz="8" w:color="929292"/>
              <w:bottom w:val="single" w:sz="8" w:color="DBDBDB"/>
            </w:tcBorders>
            <w:shd w:val="clear" w:color="auto" w:fill="DBDBDB"/>
          </w:tcPr>
          <w:p>
            <w:pPr>
              <w:jc w:val="right"/>
              <w:spacing w:after="0"/>
              <w:rPr>
                <w:sz w:val="20"/>
                <w:szCs w:val="20"/>
                <w:color w:val="auto"/>
              </w:rPr>
            </w:pPr>
            <w:r>
              <w:rPr>
                <w:rFonts w:ascii="Times New Roman" w:cs="Times New Roman" w:eastAsia="Times New Roman" w:hAnsi="Times New Roman"/>
                <w:sz w:val="15"/>
                <w:szCs w:val="15"/>
                <w:color w:val="auto"/>
              </w:rPr>
              <w:t>(41,069)</w:t>
            </w:r>
          </w:p>
        </w:tc>
        <w:tc>
          <w:tcPr>
            <w:tcW w:w="360" w:type="dxa"/>
            <w:vAlign w:val="bottom"/>
            <w:tcBorders>
              <w:top w:val="single" w:sz="8" w:color="929292"/>
            </w:tcBorders>
          </w:tcPr>
          <w:p>
            <w:pPr>
              <w:spacing w:after="0"/>
              <w:rPr>
                <w:sz w:val="17"/>
                <w:szCs w:val="17"/>
                <w:color w:val="auto"/>
              </w:rPr>
            </w:pPr>
          </w:p>
        </w:tc>
        <w:tc>
          <w:tcPr>
            <w:tcW w:w="620" w:type="dxa"/>
            <w:vAlign w:val="bottom"/>
            <w:tcBorders>
              <w:top w:val="single" w:sz="8" w:color="929292"/>
            </w:tcBorders>
            <w:gridSpan w:val="2"/>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20"/>
        </w:trPr>
        <w:tc>
          <w:tcPr>
            <w:tcW w:w="38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-753745</wp:posOffset>
            </wp:positionV>
            <wp:extent cx="615950" cy="7467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950" cy="746760"/>
                    </a:xfrm>
                    <a:prstGeom prst="rect">
                      <a:avLst/>
                    </a:prstGeom>
                    <a:noFill/>
                  </pic:spPr>
                </pic:pic>
              </a:graphicData>
            </a:graphic>
          </wp:anchor>
        </w:drawing>
        <w:drawing>
          <wp:anchor simplePos="0" relativeHeight="251657728" behindDoc="1" locked="0" layoutInCell="0" allowOverlap="1">
            <wp:simplePos x="0" y="0"/>
            <wp:positionH relativeFrom="column">
              <wp:posOffset>6466840</wp:posOffset>
            </wp:positionH>
            <wp:positionV relativeFrom="paragraph">
              <wp:posOffset>-753745</wp:posOffset>
            </wp:positionV>
            <wp:extent cx="615950" cy="7467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950" cy="746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60"/>
          </w:cols>
          <w:pgMar w:left="320" w:top="701" w:right="31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2"/>
        </w:trPr>
        <w:tc>
          <w:tcPr>
            <w:tcW w:w="3800" w:type="dxa"/>
            <w:vAlign w:val="bottom"/>
          </w:tcPr>
          <w:p>
            <w:pPr>
              <w:spacing w:after="0"/>
              <w:rPr>
                <w:sz w:val="18"/>
                <w:szCs w:val="18"/>
                <w:color w:val="auto"/>
              </w:rPr>
            </w:pPr>
          </w:p>
        </w:tc>
        <w:tc>
          <w:tcPr>
            <w:tcW w:w="314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4060" w:type="dxa"/>
            <w:vAlign w:val="bottom"/>
            <w:gridSpan w:val="5"/>
          </w:tcPr>
          <w:p>
            <w:pPr>
              <w:ind w:left="1300"/>
              <w:spacing w:after="0"/>
              <w:rPr>
                <w:sz w:val="20"/>
                <w:szCs w:val="20"/>
                <w:color w:val="auto"/>
              </w:rPr>
            </w:pPr>
            <w:r>
              <w:rPr>
                <w:rFonts w:ascii="Times New Roman" w:cs="Times New Roman" w:eastAsia="Times New Roman" w:hAnsi="Times New Roman"/>
                <w:sz w:val="16"/>
                <w:szCs w:val="16"/>
                <w:b w:val="1"/>
                <w:bCs w:val="1"/>
                <w:color w:val="auto"/>
              </w:rPr>
              <w:t>Nine Months ended December 31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800" w:type="dxa"/>
            <w:vAlign w:val="bottom"/>
            <w:tcBorders>
              <w:bottom w:val="single" w:sz="8" w:color="auto"/>
            </w:tcBorders>
          </w:tcPr>
          <w:p>
            <w:pPr>
              <w:spacing w:after="0"/>
              <w:rPr>
                <w:sz w:val="3"/>
                <w:szCs w:val="3"/>
                <w:color w:val="auto"/>
              </w:rPr>
            </w:pPr>
          </w:p>
        </w:tc>
        <w:tc>
          <w:tcPr>
            <w:tcW w:w="7460" w:type="dxa"/>
            <w:vAlign w:val="bottom"/>
            <w:tcBorders>
              <w:bottom w:val="single" w:sz="8" w:color="auto"/>
            </w:tcBorders>
            <w:gridSpan w:val="7"/>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Primarily relates to cash used for operating expenses including research and development expenses, salaries, and</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other general and administration expenses. Cash flows from operating activities exclude expenses not affecting</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spacing w:after="0"/>
              <w:rPr>
                <w:sz w:val="17"/>
                <w:szCs w:val="17"/>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cash, such as share based compensation expense, depreciation, unrealized foreign exchange gains or losses, and</w:t>
            </w:r>
          </w:p>
        </w:tc>
        <w:tc>
          <w:tcPr>
            <w:tcW w:w="0" w:type="dxa"/>
            <w:vAlign w:val="bottom"/>
          </w:tcPr>
          <w:p>
            <w:pPr>
              <w:spacing w:after="0"/>
              <w:rPr>
                <w:sz w:val="1"/>
                <w:szCs w:val="1"/>
                <w:color w:val="auto"/>
              </w:rPr>
            </w:pPr>
          </w:p>
        </w:tc>
      </w:tr>
      <w:tr>
        <w:trPr>
          <w:trHeight w:val="210"/>
        </w:trPr>
        <w:tc>
          <w:tcPr>
            <w:tcW w:w="3800" w:type="dxa"/>
            <w:vAlign w:val="bottom"/>
            <w:shd w:val="clear" w:color="auto" w:fill="DBDBDB"/>
          </w:tcPr>
          <w:p>
            <w:pPr>
              <w:spacing w:after="0"/>
              <w:rPr>
                <w:sz w:val="18"/>
                <w:szCs w:val="18"/>
                <w:color w:val="auto"/>
              </w:rPr>
            </w:pPr>
          </w:p>
        </w:tc>
        <w:tc>
          <w:tcPr>
            <w:tcW w:w="4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changes in non-cash balances relating to operations.</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3800" w:type="dxa"/>
            <w:vAlign w:val="bottom"/>
            <w:shd w:val="clear" w:color="auto" w:fill="DBDBDB"/>
          </w:tcPr>
          <w:p>
            <w:pPr>
              <w:spacing w:after="0"/>
              <w:rPr>
                <w:sz w:val="20"/>
                <w:szCs w:val="20"/>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For the three-month period ended December 31, 2022, For the nine-month period ended December 31, 2022,</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cash used in operating activities was $10,771 driven by a cash used in operating activities was $36,593 driven by a</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net loss for the period of $10,742, unrealized foreign net loss for the period of $33,770, unrealized foreign</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exchange gain of $1,329, and non-cash interest income exchange gain of $4,021, an increase in working capital</w:t>
            </w:r>
          </w:p>
        </w:tc>
        <w:tc>
          <w:tcPr>
            <w:tcW w:w="0" w:type="dxa"/>
            <w:vAlign w:val="bottom"/>
          </w:tcPr>
          <w:p>
            <w:pPr>
              <w:spacing w:after="0"/>
              <w:rPr>
                <w:sz w:val="1"/>
                <w:szCs w:val="1"/>
                <w:color w:val="auto"/>
              </w:rPr>
            </w:pPr>
          </w:p>
        </w:tc>
      </w:tr>
      <w:tr>
        <w:trPr>
          <w:trHeight w:val="198"/>
        </w:trPr>
        <w:tc>
          <w:tcPr>
            <w:tcW w:w="3800" w:type="dxa"/>
            <w:vAlign w:val="bottom"/>
            <w:shd w:val="clear" w:color="auto" w:fill="DBDBDB"/>
          </w:tcPr>
          <w:p>
            <w:pPr>
              <w:spacing w:after="0"/>
              <w:rPr>
                <w:sz w:val="17"/>
                <w:szCs w:val="17"/>
                <w:color w:val="auto"/>
              </w:rPr>
            </w:pPr>
          </w:p>
        </w:tc>
        <w:tc>
          <w:tcPr>
            <w:tcW w:w="7460" w:type="dxa"/>
            <w:vAlign w:val="bottom"/>
            <w:gridSpan w:val="7"/>
          </w:tcPr>
          <w:p>
            <w:pPr>
              <w:ind w:left="20"/>
              <w:spacing w:after="0" w:line="199" w:lineRule="exact"/>
              <w:rPr>
                <w:sz w:val="20"/>
                <w:szCs w:val="20"/>
                <w:color w:val="auto"/>
              </w:rPr>
            </w:pPr>
            <w:r>
              <w:rPr>
                <w:rFonts w:ascii="Times New Roman" w:cs="Times New Roman" w:eastAsia="Times New Roman" w:hAnsi="Times New Roman"/>
                <w:sz w:val="23"/>
                <w:szCs w:val="23"/>
                <w:color w:val="auto"/>
                <w:vertAlign w:val="superscript"/>
              </w:rPr>
              <w:t>of $6, partially offset by the following non-cash items:</w:t>
            </w:r>
            <w:r>
              <w:rPr>
                <w:rFonts w:ascii="Times New Roman" w:cs="Times New Roman" w:eastAsia="Times New Roman" w:hAnsi="Times New Roman"/>
                <w:sz w:val="13"/>
                <w:szCs w:val="13"/>
                <w:color w:val="auto"/>
              </w:rPr>
              <w:t xml:space="preserve"> of $3,649, and non-cash interest income of $18, partially</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share-based  compensation  of  $978,  a  net</w:t>
            </w:r>
          </w:p>
        </w:tc>
        <w:tc>
          <w:tcPr>
            <w:tcW w:w="1580" w:type="dxa"/>
            <w:vAlign w:val="bottom"/>
          </w:tcPr>
          <w:p>
            <w:pPr>
              <w:ind w:left="20"/>
              <w:spacing w:after="0" w:line="194" w:lineRule="exact"/>
              <w:rPr>
                <w:sz w:val="20"/>
                <w:szCs w:val="20"/>
                <w:color w:val="auto"/>
              </w:rPr>
            </w:pPr>
            <w:r>
              <w:rPr>
                <w:rFonts w:ascii="Times New Roman" w:cs="Times New Roman" w:eastAsia="Times New Roman" w:hAnsi="Times New Roman"/>
                <w:sz w:val="22"/>
                <w:szCs w:val="22"/>
                <w:color w:val="auto"/>
                <w:vertAlign w:val="superscript"/>
              </w:rPr>
              <w:t>loss  on</w:t>
            </w:r>
            <w:r>
              <w:rPr>
                <w:rFonts w:ascii="Times New Roman" w:cs="Times New Roman" w:eastAsia="Times New Roman" w:hAnsi="Times New Roman"/>
                <w:sz w:val="13"/>
                <w:szCs w:val="13"/>
                <w:color w:val="auto"/>
              </w:rPr>
              <w:t xml:space="preserve"> offset by the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following non-cash</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items: share-based</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spacing w:after="0"/>
              <w:rPr>
                <w:sz w:val="17"/>
                <w:szCs w:val="17"/>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financial instruments measured at fair value</w:t>
            </w:r>
          </w:p>
        </w:tc>
        <w:tc>
          <w:tcPr>
            <w:tcW w:w="1580" w:type="dxa"/>
            <w:vAlign w:val="bottom"/>
          </w:tcPr>
          <w:p>
            <w:pPr>
              <w:ind w:left="60"/>
              <w:spacing w:after="0" w:line="207" w:lineRule="exact"/>
              <w:rPr>
                <w:sz w:val="20"/>
                <w:szCs w:val="20"/>
                <w:color w:val="auto"/>
              </w:rPr>
            </w:pPr>
            <w:r>
              <w:rPr>
                <w:rFonts w:ascii="Times New Roman" w:cs="Times New Roman" w:eastAsia="Times New Roman" w:hAnsi="Times New Roman"/>
                <w:sz w:val="23"/>
                <w:szCs w:val="23"/>
                <w:color w:val="auto"/>
                <w:vertAlign w:val="superscript"/>
              </w:rPr>
              <w:t>through</w:t>
            </w:r>
            <w:r>
              <w:rPr>
                <w:rFonts w:ascii="Times New Roman" w:cs="Times New Roman" w:eastAsia="Times New Roman" w:hAnsi="Times New Roman"/>
                <w:sz w:val="13"/>
                <w:szCs w:val="13"/>
                <w:color w:val="auto"/>
              </w:rPr>
              <w:t xml:space="preserve"> compensation</w:t>
            </w:r>
          </w:p>
        </w:tc>
        <w:tc>
          <w:tcPr>
            <w:tcW w:w="2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$4,205,</w:t>
            </w:r>
          </w:p>
        </w:tc>
        <w:tc>
          <w:tcPr>
            <w:tcW w:w="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in  fair  value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of</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spacing w:after="0"/>
              <w:rPr>
                <w:sz w:val="17"/>
                <w:szCs w:val="17"/>
                <w:color w:val="auto"/>
              </w:rPr>
            </w:pPr>
          </w:p>
        </w:tc>
        <w:tc>
          <w:tcPr>
            <w:tcW w:w="552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3"/>
                <w:szCs w:val="13"/>
                <w:color w:val="auto"/>
              </w:rPr>
              <w:t xml:space="preserve">profit or loss of $159, a decrease in working capital of </w:t>
            </w:r>
            <w:r>
              <w:rPr>
                <w:rFonts w:ascii="Times New Roman" w:cs="Times New Roman" w:eastAsia="Times New Roman" w:hAnsi="Times New Roman"/>
                <w:sz w:val="23"/>
                <w:szCs w:val="23"/>
                <w:color w:val="auto"/>
                <w:vertAlign w:val="subscript"/>
              </w:rPr>
              <w:t>contingent  consideration</w:t>
            </w:r>
          </w:p>
        </w:tc>
        <w:tc>
          <w:tcPr>
            <w:tcW w:w="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$329,</w:t>
            </w: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depreciation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86"/>
              </w:rPr>
              <w:t>and</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$98, and depreciation and amortization of $71.</w:t>
            </w:r>
          </w:p>
        </w:tc>
        <w:tc>
          <w:tcPr>
            <w:tcW w:w="4320" w:type="dxa"/>
            <w:vAlign w:val="bottom"/>
            <w:gridSpan w:val="6"/>
            <w:vMerge w:val="restart"/>
          </w:tcPr>
          <w:p>
            <w:pPr>
              <w:ind w:left="600"/>
              <w:spacing w:after="0"/>
              <w:rPr>
                <w:sz w:val="20"/>
                <w:szCs w:val="20"/>
                <w:color w:val="auto"/>
              </w:rPr>
            </w:pPr>
            <w:r>
              <w:rPr>
                <w:rFonts w:ascii="Times New Roman" w:cs="Times New Roman" w:eastAsia="Times New Roman" w:hAnsi="Times New Roman"/>
                <w:sz w:val="16"/>
                <w:szCs w:val="16"/>
                <w:color w:val="auto"/>
              </w:rPr>
              <w:t>amortization of $183, net loss on financial instruments</w:t>
            </w:r>
          </w:p>
        </w:tc>
        <w:tc>
          <w:tcPr>
            <w:tcW w:w="0" w:type="dxa"/>
            <w:vAlign w:val="bottom"/>
          </w:tcPr>
          <w:p>
            <w:pPr>
              <w:spacing w:after="0"/>
              <w:rPr>
                <w:sz w:val="1"/>
                <w:szCs w:val="1"/>
                <w:color w:val="auto"/>
              </w:rPr>
            </w:pPr>
          </w:p>
        </w:tc>
      </w:tr>
      <w:tr>
        <w:trPr>
          <w:trHeight w:val="44"/>
        </w:trPr>
        <w:tc>
          <w:tcPr>
            <w:tcW w:w="3800" w:type="dxa"/>
            <w:vAlign w:val="bottom"/>
            <w:shd w:val="clear" w:color="auto" w:fill="DBDBDB"/>
          </w:tcPr>
          <w:p>
            <w:pPr>
              <w:spacing w:after="0"/>
              <w:rPr>
                <w:sz w:val="3"/>
                <w:szCs w:val="3"/>
                <w:color w:val="auto"/>
              </w:rPr>
            </w:pPr>
          </w:p>
        </w:tc>
        <w:tc>
          <w:tcPr>
            <w:tcW w:w="3140" w:type="dxa"/>
            <w:vAlign w:val="bottom"/>
          </w:tcPr>
          <w:p>
            <w:pPr>
              <w:spacing w:after="0"/>
              <w:rPr>
                <w:sz w:val="3"/>
                <w:szCs w:val="3"/>
                <w:color w:val="auto"/>
              </w:rPr>
            </w:pPr>
          </w:p>
        </w:tc>
        <w:tc>
          <w:tcPr>
            <w:tcW w:w="432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spacing w:after="0"/>
              <w:rPr>
                <w:sz w:val="17"/>
                <w:szCs w:val="17"/>
                <w:color w:val="auto"/>
              </w:rPr>
            </w:pPr>
          </w:p>
        </w:tc>
        <w:tc>
          <w:tcPr>
            <w:tcW w:w="3140" w:type="dxa"/>
            <w:vAlign w:val="bottom"/>
          </w:tcPr>
          <w:p>
            <w:pPr>
              <w:spacing w:after="0"/>
              <w:rPr>
                <w:sz w:val="17"/>
                <w:szCs w:val="17"/>
                <w:color w:val="auto"/>
              </w:rPr>
            </w:pPr>
          </w:p>
        </w:tc>
        <w:tc>
          <w:tcPr>
            <w:tcW w:w="432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measured at fair value through profit or loss of $135,</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DBDBDB"/>
            </w:tcBorders>
            <w:shd w:val="clear" w:color="auto" w:fill="DBDBDB"/>
          </w:tcPr>
          <w:p>
            <w:pPr>
              <w:spacing w:after="0"/>
              <w:rPr>
                <w:sz w:val="20"/>
                <w:szCs w:val="20"/>
                <w:color w:val="auto"/>
              </w:rPr>
            </w:pPr>
          </w:p>
        </w:tc>
        <w:tc>
          <w:tcPr>
            <w:tcW w:w="3140" w:type="dxa"/>
            <w:vAlign w:val="bottom"/>
          </w:tcPr>
          <w:p>
            <w:pPr>
              <w:spacing w:after="0"/>
              <w:rPr>
                <w:sz w:val="20"/>
                <w:szCs w:val="20"/>
                <w:color w:val="auto"/>
              </w:rPr>
            </w:pPr>
          </w:p>
        </w:tc>
        <w:tc>
          <w:tcPr>
            <w:tcW w:w="406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and contingent consideration accretion of $13.</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746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For the three-month period ended December 31, 2022, For the nine-month period ended December 31, 2022,</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496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cash flows were driven by the purchase of intangible cash flows were</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mainly</w:t>
            </w:r>
          </w:p>
        </w:tc>
        <w:tc>
          <w:tcPr>
            <w:tcW w:w="1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driven by the purchase</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of</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spacing w:after="0"/>
              <w:rPr>
                <w:sz w:val="17"/>
                <w:szCs w:val="17"/>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of $207.</w:t>
            </w:r>
          </w:p>
        </w:tc>
        <w:tc>
          <w:tcPr>
            <w:tcW w:w="432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intangible  assets,  including  the  exclusive  licensing</w:t>
            </w:r>
          </w:p>
        </w:tc>
        <w:tc>
          <w:tcPr>
            <w:tcW w:w="0" w:type="dxa"/>
            <w:vAlign w:val="bottom"/>
          </w:tcPr>
          <w:p>
            <w:pPr>
              <w:spacing w:after="0"/>
              <w:rPr>
                <w:sz w:val="1"/>
                <w:szCs w:val="1"/>
                <w:color w:val="auto"/>
              </w:rPr>
            </w:pPr>
          </w:p>
        </w:tc>
      </w:tr>
      <w:tr>
        <w:trPr>
          <w:trHeight w:val="206"/>
        </w:trPr>
        <w:tc>
          <w:tcPr>
            <w:tcW w:w="3800" w:type="dxa"/>
            <w:vAlign w:val="bottom"/>
            <w:shd w:val="clear" w:color="auto" w:fill="DBDBDB"/>
          </w:tcPr>
          <w:p>
            <w:pPr>
              <w:spacing w:after="0"/>
              <w:rPr>
                <w:sz w:val="17"/>
                <w:szCs w:val="17"/>
                <w:color w:val="auto"/>
              </w:rPr>
            </w:pPr>
          </w:p>
        </w:tc>
        <w:tc>
          <w:tcPr>
            <w:tcW w:w="3140" w:type="dxa"/>
            <w:vAlign w:val="bottom"/>
          </w:tcPr>
          <w:p>
            <w:pPr>
              <w:spacing w:after="0"/>
              <w:rPr>
                <w:sz w:val="17"/>
                <w:szCs w:val="17"/>
                <w:color w:val="auto"/>
              </w:rPr>
            </w:pPr>
          </w:p>
        </w:tc>
        <w:tc>
          <w:tcPr>
            <w:tcW w:w="432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agreement with Mindset and the Asset Acquisition, of</w:t>
            </w:r>
          </w:p>
        </w:tc>
        <w:tc>
          <w:tcPr>
            <w:tcW w:w="0" w:type="dxa"/>
            <w:vAlign w:val="bottom"/>
          </w:tcPr>
          <w:p>
            <w:pPr>
              <w:spacing w:after="0"/>
              <w:rPr>
                <w:sz w:val="1"/>
                <w:szCs w:val="1"/>
                <w:color w:val="auto"/>
              </w:rPr>
            </w:pPr>
          </w:p>
        </w:tc>
      </w:tr>
      <w:tr>
        <w:trPr>
          <w:trHeight w:val="235"/>
        </w:trPr>
        <w:tc>
          <w:tcPr>
            <w:tcW w:w="3800" w:type="dxa"/>
            <w:vAlign w:val="bottom"/>
            <w:tcBorders>
              <w:bottom w:val="single" w:sz="8" w:color="DBDBDB"/>
            </w:tcBorders>
            <w:shd w:val="clear" w:color="auto" w:fill="DBDBDB"/>
          </w:tcPr>
          <w:p>
            <w:pPr>
              <w:spacing w:after="0"/>
              <w:rPr>
                <w:sz w:val="20"/>
                <w:szCs w:val="20"/>
                <w:color w:val="auto"/>
              </w:rPr>
            </w:pPr>
          </w:p>
        </w:tc>
        <w:tc>
          <w:tcPr>
            <w:tcW w:w="3140" w:type="dxa"/>
            <w:vAlign w:val="bottom"/>
          </w:tcPr>
          <w:p>
            <w:pPr>
              <w:spacing w:after="0"/>
              <w:rPr>
                <w:sz w:val="20"/>
                <w:szCs w:val="20"/>
                <w:color w:val="auto"/>
              </w:rPr>
            </w:pPr>
          </w:p>
        </w:tc>
        <w:tc>
          <w:tcPr>
            <w:tcW w:w="4060" w:type="dxa"/>
            <w:vAlign w:val="bottom"/>
            <w:gridSpan w:val="5"/>
          </w:tcPr>
          <w:p>
            <w:pPr>
              <w:ind w:left="600"/>
              <w:spacing w:after="0"/>
              <w:rPr>
                <w:sz w:val="20"/>
                <w:szCs w:val="20"/>
                <w:color w:val="auto"/>
              </w:rPr>
            </w:pPr>
            <w:r>
              <w:rPr>
                <w:rFonts w:ascii="Times New Roman" w:cs="Times New Roman" w:eastAsia="Times New Roman" w:hAnsi="Times New Roman"/>
                <w:sz w:val="16"/>
                <w:szCs w:val="16"/>
                <w:color w:val="auto"/>
              </w:rPr>
              <w:t>$2,949 and the purchase of equipment of $142.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800" w:type="dxa"/>
            <w:vAlign w:val="bottom"/>
            <w:tcBorders>
              <w:top w:val="single" w:sz="8" w:color="auto"/>
            </w:tcBorders>
            <w:shd w:val="clear" w:color="auto" w:fill="DBDBDB"/>
          </w:tcPr>
          <w:p>
            <w:pPr>
              <w:ind w:left="20"/>
              <w:spacing w:after="0"/>
              <w:rPr>
                <w:sz w:val="20"/>
                <w:szCs w:val="20"/>
                <w:color w:val="auto"/>
              </w:rPr>
            </w:pPr>
            <w:r>
              <w:rPr>
                <w:rFonts w:ascii="Times New Roman" w:cs="Times New Roman" w:eastAsia="Times New Roman" w:hAnsi="Times New Roman"/>
                <w:sz w:val="16"/>
                <w:szCs w:val="16"/>
                <w:b w:val="1"/>
                <w:bCs w:val="1"/>
                <w:color w:val="auto"/>
              </w:rPr>
              <w:t>Net cash from financing activities</w:t>
            </w:r>
          </w:p>
        </w:tc>
        <w:tc>
          <w:tcPr>
            <w:tcW w:w="7460" w:type="dxa"/>
            <w:vAlign w:val="bottom"/>
            <w:tcBorders>
              <w:top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color w:val="auto"/>
              </w:rPr>
              <w:t>For the three-month period ended December 31, 2022, For the nine-month period ended December 31, 2022,</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 were related to net cash flows from financing activities were related to net</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7460" w:type="dxa"/>
            <w:vAlign w:val="bottom"/>
            <w:gridSpan w:val="7"/>
          </w:tcPr>
          <w:p>
            <w:pPr>
              <w:ind w:left="20"/>
              <w:spacing w:after="0"/>
              <w:rPr>
                <w:sz w:val="20"/>
                <w:szCs w:val="20"/>
                <w:color w:val="auto"/>
              </w:rPr>
            </w:pPr>
            <w:r>
              <w:rPr>
                <w:rFonts w:ascii="Times New Roman" w:cs="Times New Roman" w:eastAsia="Times New Roman" w:hAnsi="Times New Roman"/>
                <w:sz w:val="16"/>
                <w:szCs w:val="16"/>
                <w:color w:val="auto"/>
              </w:rPr>
              <w:t>proceeds from issuance of Common Shares, through the proceeds from issuance of Common Shares, through the</w:t>
            </w:r>
          </w:p>
        </w:tc>
        <w:tc>
          <w:tcPr>
            <w:tcW w:w="0" w:type="dxa"/>
            <w:vAlign w:val="bottom"/>
          </w:tcPr>
          <w:p>
            <w:pPr>
              <w:spacing w:after="0"/>
              <w:rPr>
                <w:sz w:val="1"/>
                <w:szCs w:val="1"/>
                <w:color w:val="auto"/>
              </w:rPr>
            </w:pPr>
          </w:p>
        </w:tc>
      </w:tr>
      <w:tr>
        <w:trPr>
          <w:trHeight w:val="194"/>
        </w:trPr>
        <w:tc>
          <w:tcPr>
            <w:tcW w:w="3800" w:type="dxa"/>
            <w:vAlign w:val="bottom"/>
            <w:shd w:val="clear" w:color="auto" w:fill="DBDBDB"/>
          </w:tcPr>
          <w:p>
            <w:pPr>
              <w:spacing w:after="0"/>
              <w:rPr>
                <w:sz w:val="16"/>
                <w:szCs w:val="16"/>
                <w:color w:val="auto"/>
              </w:rPr>
            </w:pPr>
          </w:p>
        </w:tc>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ATM Program, of $3,459.</w:t>
            </w:r>
          </w:p>
        </w:tc>
        <w:tc>
          <w:tcPr>
            <w:tcW w:w="4320" w:type="dxa"/>
            <w:vAlign w:val="bottom"/>
            <w:gridSpan w:val="6"/>
          </w:tcPr>
          <w:p>
            <w:pPr>
              <w:ind w:left="600"/>
              <w:spacing w:after="0"/>
              <w:rPr>
                <w:sz w:val="20"/>
                <w:szCs w:val="20"/>
                <w:color w:val="auto"/>
              </w:rPr>
            </w:pPr>
            <w:r>
              <w:rPr>
                <w:rFonts w:ascii="Times New Roman" w:cs="Times New Roman" w:eastAsia="Times New Roman" w:hAnsi="Times New Roman"/>
                <w:sz w:val="16"/>
                <w:szCs w:val="16"/>
                <w:color w:val="auto"/>
              </w:rPr>
              <w:t>ATM Program, of $8,057 and $362 related to the</w:t>
            </w:r>
          </w:p>
        </w:tc>
        <w:tc>
          <w:tcPr>
            <w:tcW w:w="0" w:type="dxa"/>
            <w:vAlign w:val="bottom"/>
          </w:tcPr>
          <w:p>
            <w:pPr>
              <w:spacing w:after="0"/>
              <w:rPr>
                <w:sz w:val="1"/>
                <w:szCs w:val="1"/>
                <w:color w:val="auto"/>
              </w:rPr>
            </w:pPr>
          </w:p>
        </w:tc>
      </w:tr>
      <w:tr>
        <w:trPr>
          <w:trHeight w:val="215"/>
        </w:trPr>
        <w:tc>
          <w:tcPr>
            <w:tcW w:w="3800" w:type="dxa"/>
            <w:vAlign w:val="bottom"/>
            <w:tcBorders>
              <w:bottom w:val="single" w:sz="8" w:color="DBDBDB"/>
            </w:tcBorders>
            <w:shd w:val="clear" w:color="auto" w:fill="DBDBDB"/>
          </w:tcPr>
          <w:p>
            <w:pPr>
              <w:spacing w:after="0"/>
              <w:rPr>
                <w:sz w:val="18"/>
                <w:szCs w:val="18"/>
                <w:color w:val="auto"/>
              </w:rPr>
            </w:pPr>
          </w:p>
        </w:tc>
        <w:tc>
          <w:tcPr>
            <w:tcW w:w="3140" w:type="dxa"/>
            <w:vAlign w:val="bottom"/>
          </w:tcPr>
          <w:p>
            <w:pPr>
              <w:spacing w:after="0"/>
              <w:rPr>
                <w:sz w:val="18"/>
                <w:szCs w:val="18"/>
                <w:color w:val="auto"/>
              </w:rPr>
            </w:pPr>
          </w:p>
        </w:tc>
        <w:tc>
          <w:tcPr>
            <w:tcW w:w="2380" w:type="dxa"/>
            <w:vAlign w:val="bottom"/>
            <w:gridSpan w:val="3"/>
          </w:tcPr>
          <w:p>
            <w:pPr>
              <w:ind w:left="600"/>
              <w:spacing w:after="0"/>
              <w:rPr>
                <w:sz w:val="20"/>
                <w:szCs w:val="20"/>
                <w:color w:val="auto"/>
              </w:rPr>
            </w:pPr>
            <w:r>
              <w:rPr>
                <w:rFonts w:ascii="Times New Roman" w:cs="Times New Roman" w:eastAsia="Times New Roman" w:hAnsi="Times New Roman"/>
                <w:sz w:val="16"/>
                <w:szCs w:val="16"/>
                <w:color w:val="auto"/>
              </w:rPr>
              <w:t>exercise of warrants.</w:t>
            </w:r>
          </w:p>
        </w:tc>
        <w:tc>
          <w:tcPr>
            <w:tcW w:w="6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0" w:type="dxa"/>
            <w:vAlign w:val="bottom"/>
            <w:shd w:val="clear" w:color="auto" w:fill="000000"/>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August 8, 2022, the Company established an ATM Program that allows the Company to issue and sell up to US$35,000 of Common Shares in the capital of the Company from treasury to the public, from time to time. Distributions of Common Shares under the ATM Program will be made pursuant to the terms and conditions of the Distribution Agreement. The ATM Program will be effective until the earlier of the issuance and sale of all of the Common Shares issuable pursuant to the ATM Program and August 5, 2023 unless earlier terminated in accordance with the terms of the Distribution Agreement. The Company is not obligated to make any sales of Common Shares under the ATM Program and there can be no assurance as to when such sales will be completed, if ever. The volume and timing of distributions under the ATM Program, if any, will be determined in Cybin’s sole discretion and in accordance with the Distribution Agreement. As any Common Shares distributed under the ATM Program will be issued and sold at the prevailing market price at the time of the applicable sale, prices may vary among purchasers through the duration of the ATM Program. As at December 31, 2022, the Company had sold 11,258,683 Common Shares under the ATM Program at an average price of US$0.5857 per Common Share, for aggregate gross proceeds of US$6,594.</w:t>
      </w:r>
    </w:p>
    <w:p>
      <w:pPr>
        <w:spacing w:after="0" w:line="18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Company’s main use for liquidity is to fund the development of its research programs as noted above. The primary source of liquidity has been from public financing to date. The ability to fund operations, to make planned capital expenditures and execute the growth/acquisition strategy depends on the future operating performance and cash flows, which are subject to prevailing economic conditions, regulatory and financial, business and other factors, some of which are beyond the Company’s control.</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60"/>
          </w:cols>
          <w:pgMar w:left="320" w:top="752" w:right="319" w:bottom="1440" w:gutter="0" w:footer="0" w:header="0"/>
        </w:sectPr>
      </w:pPr>
    </w:p>
    <w:bookmarkStart w:id="62" w:name="page63"/>
    <w:bookmarkEnd w:id="62"/>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at December 31, 2022, the Company had working capital of $25,737. The Company is a pre-operative stage as it researches and develops its IP portfolio in anticipation of manufacturing in the near future. Therefore the Company will not be able to generate sufficient amounts of cash and cash equivalents from its operations in the short term.</w:t>
      </w:r>
    </w:p>
    <w:p>
      <w:pPr>
        <w:spacing w:after="0" w:line="18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intends to continue to advance its non revenue generating programs over the next twelve to twenty-four months. These intended advancements, along with the expectation of operating at a loss for at minimum the next 12 months, will diminish the Company’s working capital. As such, further financings may be required to develop the Company’s pipeline, make acquisitions, meet ongoing obligations, and discharge its liabilities in the normal course of business. There is no assurance that additional funds can be raised upon terms acceptable to the Company, or at all, as funding for small companies remains challenging.</w:t>
      </w:r>
    </w:p>
    <w:p>
      <w:pPr>
        <w:spacing w:after="0" w:line="15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ability to access both public and private capital is dependent upon, among other things, general market conditions and the capital markets generally, market perceptions about the Company and its business operations, and the trading prices of the Company’s securities from time to time. When additional capital is required, the Company intends to raise funds through the issuance of equity or debt securities. Other possible sources include the exercise of stock options and warrants of the Company. There can be no assurance that additional funds can be raised upon terms acceptable to the Company, or at all, as funding for early-stage companies remain challenging generally. Given the nature of the Company’s business as of the date of this MD&amp;A, and in particular, the fact that its operations are undertaken exclusively within a foreign jurisdiction, the Company may face difficulty in accessing traditional sources of financing, notwithstanding that its business operations are conducted in a regulatory environment within which the Company’s activities are neither illegal nor subject to conflicting laws.</w:t>
      </w:r>
    </w:p>
    <w:p>
      <w:pPr>
        <w:spacing w:after="0" w:line="170"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Company’s current expenditure obligations include commitments for those projects described in the section entitled “</w:t>
      </w:r>
      <w:r>
        <w:rPr>
          <w:rFonts w:ascii="Times New Roman" w:cs="Times New Roman" w:eastAsia="Times New Roman" w:hAnsi="Times New Roman"/>
          <w:sz w:val="18"/>
          <w:szCs w:val="18"/>
          <w:i w:val="1"/>
          <w:iCs w:val="1"/>
          <w:color w:val="auto"/>
        </w:rPr>
        <w:t>Major Objectives</w:t>
      </w:r>
      <w:r>
        <w:rPr>
          <w:rFonts w:ascii="Times New Roman" w:cs="Times New Roman" w:eastAsia="Times New Roman" w:hAnsi="Times New Roman"/>
          <w:sz w:val="18"/>
          <w:szCs w:val="18"/>
          <w:color w:val="auto"/>
        </w:rPr>
        <w:t>” in this MD&amp;A. The Company expects to continue funding these projects with available cash and cash equivalents, and therefore, is subject to risks including, but not limited to, an inability to raise additional funds through debt and/or equity financing to support the Company’s continued development, including capital expenditure requirements, operating requirements and to meet its liabilities and commitments as they become due.</w:t>
      </w:r>
    </w:p>
    <w:p>
      <w:pPr>
        <w:spacing w:after="0" w:line="15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constantly monitors and manages its capital resources to assess the liquidity necessary to fund operations and capacity expansion. As at December 31, 2022, the Company had a cash balance of $22,511 and current liabilities of $4,369. The Company’s current resources are sufficient to settle its current liabilities.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continues to raise the capital necessary to become a fully operational enterprise.</w:t>
      </w:r>
    </w:p>
    <w:p>
      <w:pPr>
        <w:spacing w:after="0" w:line="205"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negative cash flow from operating activities and has historically incurred net losses. To the extent that the Company has negative operating cash flows in future periods, it may need to deploy a portion of its existing working capital to fund such negative cash flows. The Company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Company as those previously obtained.</w:t>
      </w:r>
    </w:p>
    <w:p>
      <w:pPr>
        <w:spacing w:after="0" w:line="1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primary capital needs are funds to advance its research and development activities and for working capital purposes. These activities include staffing, preclinical studies, clinical trials and administrative costs. The Company has experienced operating losses and cash outflows from operations since incorporation and will require ongoing financing to continue its research and development. As the Company has not yet achieved profitability, there are uncertainties regarding its ability to continue as a going concern. The Company has not earned any revenue or reached successful commercialization of any products. The Company’s success is dependent upon the ability to finance its cash requirements to continue its activities. There is no assurance that additional capital or other types of financing will be available if needed or that these financings will be on terms at least as favourable to the Company as those previously obtained, or at all. See “Risk Factors”.</w:t>
      </w:r>
    </w:p>
    <w:p>
      <w:pPr>
        <w:spacing w:after="0" w:line="1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raised capital pursuant to the February 2021 Prospectus, under which the Company issued 15,264,000 units of the Company (each, a "</w:t>
      </w:r>
      <w:r>
        <w:rPr>
          <w:rFonts w:ascii="Times New Roman" w:cs="Times New Roman" w:eastAsia="Times New Roman" w:hAnsi="Times New Roman"/>
          <w:sz w:val="18"/>
          <w:szCs w:val="18"/>
          <w:b w:val="1"/>
          <w:bCs w:val="1"/>
          <w:color w:val="auto"/>
        </w:rPr>
        <w:t>Unit</w:t>
      </w:r>
      <w:r>
        <w:rPr>
          <w:rFonts w:ascii="Times New Roman" w:cs="Times New Roman" w:eastAsia="Times New Roman" w:hAnsi="Times New Roman"/>
          <w:sz w:val="18"/>
          <w:szCs w:val="18"/>
          <w:color w:val="auto"/>
        </w:rPr>
        <w:t>") at a price of $2.25 per Unit for aggregate gross proceeds of $34,304, and pursuant to the July Prospectus Supplement, under which the Company issued 10,147,600 Common Shares at a price of $3.40 per Common Share for aggregate gross proceeds of $34,502. In addition, the Company is currently raising capital through its ATM Program, to continue to support its strategic plan. As at December 31, 2022, the Company had sold 11,258,683 Common Shares under the ATM Program at an average price of US$0.5857 per Common Share,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60"/>
          </w:cols>
          <w:pgMar w:left="320" w:top="701" w:right="319" w:bottom="1440" w:gutter="0" w:footer="0" w:header="0"/>
        </w:sectPr>
      </w:pPr>
    </w:p>
    <w:bookmarkStart w:id="63" w:name="page64"/>
    <w:bookmarkEnd w:id="63"/>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for aggregate gross proceeds of US$6,594. The Company is focused on research and has not seen any major changes to its ability to complete those activities. The Company intends to assess its business and operational needs, and implement cost reductions as needed. The Company is currently focused on the research stage of its projects and will not be generating significant revenues in the short term. In the long term if increased delays in COVID-19 cases may impact labs, research materials, local lockdowns and other shutdowns where the Company completes its research activities, this may delay timelines in achieving its milestone accordingly. The Company will mitigate any short-term limitations imposed by COVID-19 on materials, research or operations by working with its suppliers and consultants to determinate alternative vendors, suppliers or sources when applicable or available. The Company believes it has sufficient working capital after the completion of the Offering to manage its short- and long-term cash flow needs as it continues to invest into its intellectual property.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0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at December 31, 2022, the Company had also entered into agreements for various studies which may require the Company to spend up to an additional US$8,201. The Company expects to pay this amount within the next 18 months, however the timing and certainty of the payments are contingent on availability of materials and successful completion of certain milestones. The Company has the right to cancel the studies at its discretion, in which case a cancellation fee may apply, however the Company is not liable to pay the full amount of the study.</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entered into an exclusive license agreement with Mindset to acquire an extensive targeted class of tryptamine-based molecules. Upon the successful completion of certain milestones contemplated in the agreement, the Company may have to pay additional consideration of up to US$9,500. At the sole discretion of Cybin, the milestones may be paid in cash or in Common Shares, or a combination thereof, subject to the approval of the Neo Exchange Inc. There is no assurance that the aforementioned milestones will be met.</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out the outstanding share capital of the Company as at December 31, 2022 and as of the date of this MD&amp;A:</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4280" w:type="dxa"/>
            <w:vAlign w:val="bottom"/>
            <w:tcBorders>
              <w:top w:val="single" w:sz="8" w:color="auto"/>
              <w:left w:val="single" w:sz="8" w:color="auto"/>
              <w:bottom w:val="single" w:sz="8" w:color="DBDBDB"/>
              <w:right w:val="single" w:sz="8" w:color="auto"/>
            </w:tcBorders>
            <w:shd w:val="clear" w:color="auto" w:fill="DBDBDB"/>
          </w:tcPr>
          <w:p>
            <w:pPr>
              <w:ind w:left="1560"/>
              <w:spacing w:after="0"/>
              <w:rPr>
                <w:sz w:val="20"/>
                <w:szCs w:val="20"/>
                <w:color w:val="auto"/>
              </w:rPr>
            </w:pPr>
            <w:r>
              <w:rPr>
                <w:rFonts w:ascii="Times New Roman" w:cs="Times New Roman" w:eastAsia="Times New Roman" w:hAnsi="Times New Roman"/>
                <w:sz w:val="16"/>
                <w:szCs w:val="16"/>
                <w:b w:val="1"/>
                <w:bCs w:val="1"/>
                <w:color w:val="auto"/>
              </w:rPr>
              <w:t>Class of Security</w:t>
            </w:r>
          </w:p>
        </w:tc>
        <w:tc>
          <w:tcPr>
            <w:tcW w:w="3220" w:type="dxa"/>
            <w:vAlign w:val="bottom"/>
            <w:tcBorders>
              <w:top w:val="single" w:sz="8" w:color="auto"/>
              <w:bottom w:val="single" w:sz="8" w:color="DBDBDB"/>
              <w:right w:val="single" w:sz="8" w:color="auto"/>
            </w:tcBorders>
            <w:shd w:val="clear" w:color="auto" w:fill="DBDBDB"/>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As of December 31, 2022</w:t>
            </w:r>
          </w:p>
        </w:tc>
        <w:tc>
          <w:tcPr>
            <w:tcW w:w="3660" w:type="dxa"/>
            <w:vAlign w:val="bottom"/>
            <w:tcBorders>
              <w:top w:val="single" w:sz="8" w:color="auto"/>
              <w:bottom w:val="single" w:sz="8" w:color="DBDBDB"/>
              <w:right w:val="single" w:sz="8" w:color="auto"/>
            </w:tcBorders>
            <w:shd w:val="clear" w:color="auto" w:fill="DBDBDB"/>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As of the date of this MD&amp;A</w:t>
            </w:r>
          </w:p>
        </w:tc>
      </w:tr>
      <w:tr>
        <w:trPr>
          <w:trHeight w:val="210"/>
        </w:trPr>
        <w:tc>
          <w:tcPr>
            <w:tcW w:w="428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Shares</w:t>
            </w:r>
          </w:p>
        </w:tc>
        <w:tc>
          <w:tcPr>
            <w:tcW w:w="322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178,356,426</w:t>
            </w:r>
          </w:p>
        </w:tc>
        <w:tc>
          <w:tcPr>
            <w:tcW w:w="3660" w:type="dxa"/>
            <w:vAlign w:val="bottom"/>
            <w:tcBorders>
              <w:top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189,219,974</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0"/>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3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29,622,300</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29,622,300</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0"/>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Underwriters Warrants</w:t>
            </w:r>
          </w:p>
        </w:tc>
        <w:tc>
          <w:tcPr>
            <w:tcW w:w="3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868,740</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868,740</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10"/>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Share purchase warrants</w:t>
            </w:r>
          </w:p>
        </w:tc>
        <w:tc>
          <w:tcPr>
            <w:tcW w:w="3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23,230,485</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23,230,485</w:t>
            </w:r>
          </w:p>
        </w:tc>
      </w:tr>
      <w:tr>
        <w:trPr>
          <w:trHeight w:val="37"/>
        </w:trPr>
        <w:tc>
          <w:tcPr>
            <w:tcW w:w="4280" w:type="dxa"/>
            <w:vAlign w:val="bottom"/>
            <w:tcBorders>
              <w:left w:val="single" w:sz="8" w:color="auto"/>
              <w:bottom w:val="single" w:sz="8" w:color="auto"/>
              <w:right w:val="single" w:sz="8" w:color="auto"/>
            </w:tcBorders>
          </w:tcPr>
          <w:p>
            <w:pPr>
              <w:spacing w:after="0"/>
              <w:rPr>
                <w:sz w:val="3"/>
                <w:szCs w:val="3"/>
                <w:color w:val="auto"/>
              </w:rPr>
            </w:pPr>
          </w:p>
        </w:tc>
        <w:tc>
          <w:tcPr>
            <w:tcW w:w="3220" w:type="dxa"/>
            <w:vAlign w:val="bottom"/>
            <w:tcBorders>
              <w:bottom w:val="single" w:sz="8" w:color="auto"/>
              <w:right w:val="single" w:sz="8" w:color="auto"/>
            </w:tcBorders>
          </w:tcPr>
          <w:p>
            <w:pPr>
              <w:spacing w:after="0"/>
              <w:rPr>
                <w:sz w:val="3"/>
                <w:szCs w:val="3"/>
                <w:color w:val="auto"/>
              </w:rPr>
            </w:pPr>
          </w:p>
        </w:tc>
        <w:tc>
          <w:tcPr>
            <w:tcW w:w="3660" w:type="dxa"/>
            <w:vAlign w:val="bottom"/>
            <w:tcBorders>
              <w:bottom w:val="single" w:sz="8" w:color="auto"/>
              <w:right w:val="single" w:sz="8" w:color="auto"/>
            </w:tcBorders>
          </w:tcPr>
          <w:p>
            <w:pPr>
              <w:spacing w:after="0"/>
              <w:rPr>
                <w:sz w:val="3"/>
                <w:szCs w:val="3"/>
                <w:color w:val="auto"/>
              </w:rPr>
            </w:pPr>
          </w:p>
        </w:tc>
      </w:tr>
      <w:tr>
        <w:trPr>
          <w:trHeight w:val="286"/>
        </w:trPr>
        <w:tc>
          <w:tcPr>
            <w:tcW w:w="428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 xml:space="preserve">Class B Shares (as defined below) </w:t>
            </w:r>
            <w:r>
              <w:rPr>
                <w:rFonts w:ascii="Times New Roman" w:cs="Times New Roman" w:eastAsia="Times New Roman" w:hAnsi="Times New Roman"/>
                <w:sz w:val="21"/>
                <w:szCs w:val="21"/>
                <w:color w:val="auto"/>
                <w:vertAlign w:val="superscript"/>
              </w:rPr>
              <w:t>(1)</w:t>
            </w:r>
          </w:p>
        </w:tc>
        <w:tc>
          <w:tcPr>
            <w:tcW w:w="322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1,278,229.1</w:t>
            </w:r>
          </w:p>
        </w:tc>
        <w:tc>
          <w:tcPr>
            <w:tcW w:w="36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769,264.3</w:t>
            </w:r>
          </w:p>
        </w:tc>
      </w:tr>
      <w:tr>
        <w:trPr>
          <w:trHeight w:val="143"/>
        </w:trPr>
        <w:tc>
          <w:tcPr>
            <w:tcW w:w="4280" w:type="dxa"/>
            <w:vAlign w:val="bottom"/>
            <w:tcBorders>
              <w:left w:val="single" w:sz="8" w:color="auto"/>
              <w:bottom w:val="single" w:sz="8" w:color="auto"/>
              <w:right w:val="single" w:sz="8" w:color="auto"/>
            </w:tcBorders>
          </w:tcPr>
          <w:p>
            <w:pPr>
              <w:spacing w:after="0"/>
              <w:rPr>
                <w:sz w:val="12"/>
                <w:szCs w:val="12"/>
                <w:color w:val="auto"/>
              </w:rPr>
            </w:pPr>
          </w:p>
        </w:tc>
        <w:tc>
          <w:tcPr>
            <w:tcW w:w="3220" w:type="dxa"/>
            <w:vAlign w:val="bottom"/>
            <w:tcBorders>
              <w:bottom w:val="single" w:sz="8" w:color="auto"/>
              <w:right w:val="single" w:sz="8" w:color="auto"/>
            </w:tcBorders>
          </w:tcPr>
          <w:p>
            <w:pPr>
              <w:spacing w:after="0"/>
              <w:rPr>
                <w:sz w:val="12"/>
                <w:szCs w:val="12"/>
                <w:color w:val="auto"/>
              </w:rPr>
            </w:pPr>
          </w:p>
        </w:tc>
        <w:tc>
          <w:tcPr>
            <w:tcW w:w="3660" w:type="dxa"/>
            <w:vAlign w:val="bottom"/>
            <w:tcBorders>
              <w:bottom w:val="single" w:sz="8" w:color="auto"/>
              <w:right w:val="single" w:sz="8" w:color="auto"/>
            </w:tcBorders>
          </w:tcPr>
          <w:p>
            <w:pPr>
              <w:spacing w:after="0"/>
              <w:rPr>
                <w:sz w:val="12"/>
                <w:szCs w:val="12"/>
                <w:color w:val="auto"/>
              </w:rPr>
            </w:pP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Note:</w:t>
      </w:r>
    </w:p>
    <w:p>
      <w:pPr>
        <w:spacing w:after="0" w:line="46" w:lineRule="exact"/>
        <w:rPr>
          <w:sz w:val="20"/>
          <w:szCs w:val="20"/>
          <w:color w:val="auto"/>
        </w:rPr>
      </w:pPr>
    </w:p>
    <w:p>
      <w:pPr>
        <w:ind w:left="580" w:right="20" w:hanging="1"/>
        <w:spacing w:after="0" w:line="276" w:lineRule="auto"/>
        <w:tabs>
          <w:tab w:leader="none" w:pos="798"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Class B Shares are exchangeable for Common Shares, on the basis of 10 Common Shares for each Class B Share, at the option of the holder thereof, subject to customary adjustments.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authorized capital of the Company consists of an unlimited number of Common Shares without par value and an unlimited number of preferred shares.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178,356,426 Common Shares were outstanding and no preferred shares were issued and outstanding. As of the date of this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MD&amp;A, 189,219,974 Common Shares are outstanding (see "Subsequent Events").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07"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As of December 31, 2022 and as of the date of this MD&amp;A, options to purchase up to 29,622,300 Common Shares were outstanding under Cybin’s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60"/>
          </w:cols>
          <w:pgMar w:left="320" w:top="701"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color w:val="auto"/>
        </w:rPr>
        <w:t>Underwriter’s Warrants</w:t>
      </w:r>
    </w:p>
    <w:p>
      <w:pPr>
        <w:spacing w:after="0" w:line="23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of December 31, 2022 and as of the date of this MD&amp;A, underwriter’s warrants to purchase up to 868,740 units of the Company at an exercise price of $2.25 per unit are outstanding, with each unit consisting of one Common Share and one half of one Common Share purchase warrants, with each Common Share purchase warrant being exercisable to acquire one Common Share at an exercise price of $3.25 per Common Share for a period of 36 months.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Share Purchase Warrants</w:t>
      </w:r>
    </w:p>
    <w:p>
      <w:pPr>
        <w:spacing w:after="0" w:line="19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2022 and as of the date of this MD&amp;A, warrants to purchase up to 23,230,485 Common Shares were outstanding, exercisable at weighted average exercise price of $1.29 per Common Share.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Class B Shares</w:t>
      </w:r>
    </w:p>
    <w:p>
      <w:pPr>
        <w:spacing w:after="0" w:line="219"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In connection with the Adelia Transaction (see “Acquisitions”), Cybin U.S. (a subsidiary of the Company) has issued 868,833 Class B Shares. The Class B Shares are exchangeable at the holder’s option for Common Shares on the basis of 10 Common Shares for 1 Class B Share, subject to customary adjustments. As of December 31, 2022, 1,278,229.1 Class B Shares were outstanding. As of the date of this MD&amp;A, 769,264.3 Class B Shares were outstanding.</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On December 4, 2020, Cybin entered into a contribution agreement, as amended on September 24, 2021, (the “</w:t>
      </w:r>
      <w:r>
        <w:rPr>
          <w:rFonts w:ascii="Times New Roman" w:cs="Times New Roman" w:eastAsia="Times New Roman" w:hAnsi="Times New Roman"/>
          <w:sz w:val="18"/>
          <w:szCs w:val="18"/>
          <w:b w:val="1"/>
          <w:bCs w:val="1"/>
          <w:color w:val="auto"/>
        </w:rPr>
        <w:t>Contribution Agreement</w:t>
      </w:r>
      <w:r>
        <w:rPr>
          <w:rFonts w:ascii="Times New Roman" w:cs="Times New Roman" w:eastAsia="Times New Roman" w:hAnsi="Times New Roman"/>
          <w:sz w:val="18"/>
          <w:szCs w:val="18"/>
          <w:color w:val="auto"/>
        </w:rPr>
        <w:t>”) with Cybin Corp., Cybin U.S. (the “</w:t>
      </w:r>
      <w:r>
        <w:rPr>
          <w:rFonts w:ascii="Times New Roman" w:cs="Times New Roman" w:eastAsia="Times New Roman" w:hAnsi="Times New Roman"/>
          <w:sz w:val="18"/>
          <w:szCs w:val="18"/>
          <w:b w:val="1"/>
          <w:bCs w:val="1"/>
          <w:color w:val="auto"/>
        </w:rPr>
        <w:t>Acquiror</w:t>
      </w:r>
      <w:r>
        <w:rPr>
          <w:rFonts w:ascii="Times New Roman" w:cs="Times New Roman" w:eastAsia="Times New Roman" w:hAnsi="Times New Roman"/>
          <w:sz w:val="18"/>
          <w:szCs w:val="18"/>
          <w:color w:val="auto"/>
        </w:rPr>
        <w:t>”), a newly formed fully-controlled subsidiary of Cybin created for the purposes of the Adelia Transaction, and all of the shareholders of Adelia (the “</w:t>
      </w:r>
      <w:r>
        <w:rPr>
          <w:rFonts w:ascii="Times New Roman" w:cs="Times New Roman" w:eastAsia="Times New Roman" w:hAnsi="Times New Roman"/>
          <w:sz w:val="18"/>
          <w:szCs w:val="18"/>
          <w:b w:val="1"/>
          <w:bCs w:val="1"/>
          <w:color w:val="auto"/>
        </w:rPr>
        <w:t>Adelia Shareholders</w:t>
      </w:r>
      <w:r>
        <w:rPr>
          <w:rFonts w:ascii="Times New Roman" w:cs="Times New Roman" w:eastAsia="Times New Roman" w:hAnsi="Times New Roman"/>
          <w:sz w:val="18"/>
          <w:szCs w:val="18"/>
          <w:color w:val="auto"/>
        </w:rPr>
        <w:t>”) whereby the Acquiror has agreed to purchase from the Adelia Shareholders all of the issued and outstanding common shares of Adelia (the “</w:t>
      </w:r>
      <w:r>
        <w:rPr>
          <w:rFonts w:ascii="Times New Roman" w:cs="Times New Roman" w:eastAsia="Times New Roman" w:hAnsi="Times New Roman"/>
          <w:sz w:val="18"/>
          <w:szCs w:val="18"/>
          <w:b w:val="1"/>
          <w:bCs w:val="1"/>
          <w:color w:val="auto"/>
        </w:rPr>
        <w:t>Adelia Shares</w:t>
      </w:r>
      <w:r>
        <w:rPr>
          <w:rFonts w:ascii="Times New Roman" w:cs="Times New Roman" w:eastAsia="Times New Roman" w:hAnsi="Times New Roman"/>
          <w:sz w:val="18"/>
          <w:szCs w:val="18"/>
          <w:color w:val="auto"/>
        </w:rPr>
        <w:t>”) in exchange for non-voting Class B common shares in the capital of the Acquiror (the “</w:t>
      </w:r>
      <w:r>
        <w:rPr>
          <w:rFonts w:ascii="Times New Roman" w:cs="Times New Roman" w:eastAsia="Times New Roman" w:hAnsi="Times New Roman"/>
          <w:sz w:val="18"/>
          <w:szCs w:val="18"/>
          <w:b w:val="1"/>
          <w:bCs w:val="1"/>
          <w:color w:val="auto"/>
        </w:rPr>
        <w:t>Class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The Adelia Transaction closed on December 14, 2020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Pursuant to the Contribution Agreement, the Adelia Shareholders contributed all of the Adelia Shares to the Acquiror as a capital contribution in exchange for the Acquiror issuing to them, in the aggregate, 868,833 Class B Shares in accordance with their respective pro rata percentages at a price per Class B Share equal to $12.40 (approximately US$9.69). The aggregate value of the Class B Shares to be issued to the Adelia Shareholders on the Closing was $19,549 (approximately USD$15.28 million).</w:t>
      </w:r>
    </w:p>
    <w:p>
      <w:pPr>
        <w:jc w:val="both"/>
        <w:spacing w:after="0" w:line="247" w:lineRule="auto"/>
        <w:rPr>
          <w:sz w:val="20"/>
          <w:szCs w:val="20"/>
          <w:color w:val="auto"/>
        </w:rPr>
      </w:pPr>
      <w:r>
        <w:rPr>
          <w:rFonts w:ascii="Times New Roman" w:cs="Times New Roman" w:eastAsia="Times New Roman" w:hAnsi="Times New Roman"/>
          <w:sz w:val="18"/>
          <w:szCs w:val="18"/>
          <w:color w:val="auto"/>
        </w:rPr>
        <w:t>The Class B Shares issued by the Acquiror to the Adelia Shareholders are exchangeable for Common Shares on a 10 Common Shares for 1 Class B Share basis, at the option of the holder thereof, subject to customary adjustments. The purpose of issuing exchangeable Class B Shares to the Adelia Shareholders is to allow the Adelia Shareholders to defer a taxable event, which occurs on the exchange of shares of a United States company for the shares of a Canadian company. Notwithstanding the foregoing, no Class B Shares are exchangeable prior to the first anniversary of the Closing and not more than: (i) 33 1/3% of the Class B Shares will be exchangeable prior to the second anniversary of Closing; (ii) 66 2/3% of the Class B Shares will be exchangeable prior to the third anniversary of Closing; and (iii) thereafter, 100% of the Class B Shares will be exchangeable ((i), (ii) and (iii), collectively, the “Hold Periods”). The Class B Shares issued to the Adelia Shareholders upon the Closing are exchangeable for a total of 8,688,330 Common Shares, resulting in an effective issue price of $1.24 per Cybin Share.</w:t>
      </w:r>
    </w:p>
    <w:p>
      <w:pPr>
        <w:spacing w:after="0" w:line="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the occurrence of certain milestones as set out in the Contribution Agreement (each a “</w:t>
      </w:r>
      <w:r>
        <w:rPr>
          <w:rFonts w:ascii="Times New Roman" w:cs="Times New Roman" w:eastAsia="Times New Roman" w:hAnsi="Times New Roman"/>
          <w:sz w:val="18"/>
          <w:szCs w:val="18"/>
          <w:b w:val="1"/>
          <w:bCs w:val="1"/>
          <w:color w:val="auto"/>
        </w:rPr>
        <w:t>Milestone</w:t>
      </w:r>
      <w:r>
        <w:rPr>
          <w:rFonts w:ascii="Times New Roman" w:cs="Times New Roman" w:eastAsia="Times New Roman" w:hAnsi="Times New Roman"/>
          <w:sz w:val="18"/>
          <w:szCs w:val="18"/>
          <w:color w:val="auto"/>
        </w:rPr>
        <w:t>”), the Acquiror will issue to the Adelia Shareholders in accordance with their pro rata percentage, within five business days following the relevant date at which there is agreement as to the achievement of the Milestone (the “</w:t>
      </w:r>
      <w:r>
        <w:rPr>
          <w:rFonts w:ascii="Times New Roman" w:cs="Times New Roman" w:eastAsia="Times New Roman" w:hAnsi="Times New Roman"/>
          <w:sz w:val="18"/>
          <w:szCs w:val="18"/>
          <w:b w:val="1"/>
          <w:bCs w:val="1"/>
          <w:color w:val="auto"/>
        </w:rPr>
        <w:t>Milestone Determination Date</w:t>
      </w:r>
      <w:r>
        <w:rPr>
          <w:rFonts w:ascii="Times New Roman" w:cs="Times New Roman" w:eastAsia="Times New Roman" w:hAnsi="Times New Roman"/>
          <w:sz w:val="18"/>
          <w:szCs w:val="18"/>
          <w:color w:val="auto"/>
        </w:rPr>
        <w:t>”), such number of Class B Shares as shall be determined by dividing the applicable Milestone consideration, as set out in the Contribution Agreement (or where some, but not all, of such sub-Milestone’s in the relevant fiscal quarter are achieved, such lesser potion of such milestone consideration) as is determined in accordance with applicable Milestone, by the greater of: (i) $0.75; (ii) the 10 day volume weighted average trading price of the Common Shares on the Exchange (or, in the event that the Common Shares are no longer traded on the Exchange, such other nationally recognized exchange as the Common Shares may at the applicable time be trading); and (iii) the closing market price of the Common Shares on the Exchange (or, in the event that the Common Shares are no longer traded on the Exchange, such other nationally recognized exchange as the Common may at the applicable time be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60"/>
          </w:cols>
          <w:pgMar w:left="320" w:top="699" w:right="319" w:bottom="1440" w:gutter="0" w:footer="0" w:header="0"/>
        </w:sectPr>
      </w:pPr>
    </w:p>
    <w:bookmarkStart w:id="65" w:name="page66"/>
    <w:bookmarkEnd w:id="65"/>
    <w:p>
      <w:pPr>
        <w:jc w:val="both"/>
        <w:spacing w:after="0" w:line="250" w:lineRule="auto"/>
        <w:rPr>
          <w:sz w:val="20"/>
          <w:szCs w:val="20"/>
          <w:color w:val="auto"/>
        </w:rPr>
      </w:pPr>
      <w:r>
        <w:rPr>
          <w:rFonts w:ascii="Times New Roman" w:cs="Times New Roman" w:eastAsia="Times New Roman" w:hAnsi="Times New Roman"/>
          <w:sz w:val="18"/>
          <w:szCs w:val="18"/>
          <w:color w:val="auto"/>
        </w:rPr>
        <w:t>trading) in each case, on the close of business on the last business day preceding the Milestone Determination Date. If a particular Milestone has not been achieved by the close of the quarter immediately following the quarter in which such Milestone is scheduled for completion pursuant to the Contribution Agreement, the Acquiror’s obligation to issue Class B Shares on the occurrence of the applicable Milestone shall expire. The total value of the Class B Shares issuable pursuant to the Milestones is up to $9,388 (approximately US$7.33 million). As of the date of this MD&amp;A, all of the Milestones have been completed, 1,591,625.3 Class B Shares have been issued, and 822,361.0 Class B Shares have been exchanged into Common Shares. Pursuant to the Contribution Agreement, Cybin, the Acquiror and the Adelia Shareholders also entered into a support agreement dated December 14, 2020 (the “</w:t>
      </w:r>
      <w:r>
        <w:rPr>
          <w:rFonts w:ascii="Times New Roman" w:cs="Times New Roman" w:eastAsia="Times New Roman" w:hAnsi="Times New Roman"/>
          <w:sz w:val="18"/>
          <w:szCs w:val="18"/>
          <w:b w:val="1"/>
          <w:bCs w:val="1"/>
          <w:color w:val="auto"/>
        </w:rPr>
        <w:t>Support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which for the purpose of Canadian securities law, is deemed a “security” as it is a document evidencing an interest in or to a security (i.e.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Shares), and, as such, constitutes a security of Cybin. Upon the signing of the Support Agreement, given that each of the Adelia Shareholders are an “accredited investor”, the prescribed restricted period (of (4) months and one (1) day after the date of issuance) as required under Canadian securities law on the Common Shares (which are exchangeable for Class B Shares at a future date) will commence. Therefore, upon the exchange of the Class B Shares for the Common Shares, subject to the Hold Periods, such Common Shares will no longer be within a restrictive period as prescribed under applicable securities law and free trading securities.</w:t>
      </w:r>
    </w:p>
    <w:p>
      <w:pPr>
        <w:spacing w:after="0" w:line="190"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On January 11, 2021, the Company announced the achievement of the first Milestone for the period commencing November 15, 2020, as contemplated by the terms of the Contribution Agreement. The achievement included the successful synthesis of multiple tryptamine derivatives in sufficient quantities to initiate in vitro “Proof of Principle”; establish a ADME/PK has been completed; and to demonstrate “In Vitro” ADME “Proof of Principle” that specific synthesis modifies the metabolism of a psychedelic tryptamine. Pursuant to the terms of the Contribution Agreement, an aggregate of 51,163 Class B Shares were issued to the Adelia Shareholders in satisfaction of $1,018 due to them upon meeting such Milestones.</w:t>
      </w:r>
    </w:p>
    <w:p>
      <w:pPr>
        <w:spacing w:after="0" w:line="18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9, 2021, the Company announced the achievement of certain Milestones for the period commencing January 1, 2021, as contemplated by the terms of the Contribution Agreement. The achievement included API Synthesis and optimization to demonstrate that two or more deuterated tryptamines show significant in vivo modifications of PK consistent with proof of concept, nomination of two deuterated candidates for full IND enabling studies, and completion of a certain API Manufacturing Contract. Pursuant to the terms of the Contribution Agreement, an aggregate of 42,247.3 Class B Shares were issued to the Adelia Shareholders in satisfaction of $686 due to them upon meeting such Milestones.</w:t>
      </w:r>
    </w:p>
    <w:p>
      <w:pPr>
        <w:spacing w:after="0" w:line="15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28, 2021, Adelia completed the remaining requirements of the second Milestone as listed in the Contribution Agreement. Accordingly, 15,777.1 Class B Shares were issued to the Adelia Shareholders, amounting to $458. The Class B Shares are exchangeable for a total of 157,771 Common Shares, representing an effective issue price of $2.90 per Common Share.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August 17, 2021, an additional 18,788.5 Class B Shares were issued to the Adelia Shareholders due to the achievement of certain requirements of the third and fourth Milestones, amounting to $633. The Class B Shares are exchangeable for a total of 187,886 Common Shares, representing an effective issue price of $3.37 per Common Share.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August 31, 2021, the remaining requirements of the third Milestone were achieved. Accordingly, 9,392.6 Class B Shares were issued to the Adelia Shareholders, amounting to $317. The Class B Shares are exchangeable for a total of 93,926 Common Shares, representing an effective issue price of $3.38 per Common Share.</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On November 18, 2021, an additional 28,903 Class B Shares were issued to the Adelia Shareholders due to the achievement of certain requirements of the fourth and fifth Milestones, amounting to $706. These Class B Shares are exchangeable for a total of 289,030 Common Shares, representing an effective issue price of $2.44 per Common Share.</w:t>
      </w:r>
    </w:p>
    <w:p>
      <w:pPr>
        <w:spacing w:after="0" w:line="170"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On November 29, 2021, an additional 31,721.5 Class B Shares were issued to the Adelia Shareholders due to the achievement of certain requirements of the fourth and fifth Milestones, amounting to $629. These Class B Shares are exchangeable for a total of 317,215 Common Shares, representing an effective issue price of $1.98 per Common Share.</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60"/>
          </w:cols>
          <w:pgMar w:left="320" w:top="701" w:right="319" w:bottom="1440" w:gutter="0" w:footer="0" w:header="0"/>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18"/>
          <w:szCs w:val="18"/>
          <w:color w:val="auto"/>
        </w:rPr>
        <w:t>On January 6, 2022, an additional 15,611.4 Class B Shares were issued to the Adelia Shareholders due to the achievement of the Milestone identified as Year 2 Q1 (v), as contemplated by the terms of the Contribution Agreement, amounting to $236. These Class B Shares are exchangeable for a total of 156,114 Common Shares, representing an effective issue price of $1.51 per Common Share.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February 14, 2022, an additional 41,028.2 Class B Shares were issued to the Adelia Shareholders due to the achievement of the Milestones identified as Y1, Q4 (iv), Y1, Q4 (v) and Y2, Q1 (vi), as contemplated by the terms of the Contribution Agreement, amounting to $551 at a price per Class B Share of $13.43. These Class B Shares are exchangeable for a total of 410,282 Common Shares, representing an effective issue price of $1.34 per Common Share.</w:t>
      </w:r>
    </w:p>
    <w:p>
      <w:pPr>
        <w:spacing w:after="0" w:line="188"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On February 18, 2022, an additional 17,239.5 Class B Shares were issued to the Adelia Shareholders due to the achievement of certain Milestones identified as Y2, Q2 (iii), as contemplated by the terms of the Contribution Agreement, having an aggregate value of $233 at a price per Class B Share of $13.54. These Class B Shares are exchangeable for a total of 172,395 Common Shares, representing an effective issue price of $1.35 per Common Share.</w:t>
      </w:r>
    </w:p>
    <w:p>
      <w:pPr>
        <w:spacing w:after="0" w:line="170"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March 25, 2022, an additional 90,546.0 Class B Shares were issued to Adelia Shareholders due to the achievement of certain Milestones identified as Year 1 Q4 (vi); Year 2 Q2 (ii); Year 2 Q2 (v) and Year 2, Q3 (iii), as contemplated by the terms of the Contribution Agreement, having an aggregate value of $905 at a price per Class B Share of $9.994. These Class B Shares are exchangeable for a total of 905,460 Common Shares, representing an effective issue price of $1.00 per Common Share.</w:t>
      </w:r>
    </w:p>
    <w:p>
      <w:pPr>
        <w:spacing w:after="0" w:line="18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On April 1, 2022, an additional 22,428.3 Class B Shares were issued to Former Adelia Shareholders due to the achievement of the Milestone identified as Year 2 Q2 (iv), as contemplated by the terms of the Contribution Agreement, having an aggregate value of $229 at a price per Class B Share of $10.20. These Class B Shares are exchangeable for a total of 224,283 Common Shares, representing an effective issue price of $1.02 per Common Share. In consideration for the Milestone achieved, on June 22, 2022, an additional 456.5 Class B shares having an aggregate value of $5 were issued to Former Adelia Shareholders.</w:t>
      </w:r>
    </w:p>
    <w:p>
      <w:pPr>
        <w:spacing w:after="0" w:line="17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June 24, 2022, an additional 266,933.1 Class B Shares were issued to Former Adelia Shareholders due to the achievement of certain Milestones identified as Y2, Q2 (i), (vi), Y2, Q3 (ii), Year 2 Q4 (i) and Year 3 Q1 (i), (ii), (iii), as contemplated by the terms of the Adelia Contribution Agreement, having an aggregate value of $2,033 at a price per Class B Share of $7.62. These Class B Shares are exchangeable for a total of 2,669,331 Common Shares, representing an effective issue price of $0.762 per Common Share.</w:t>
      </w:r>
    </w:p>
    <w:p>
      <w:pPr>
        <w:spacing w:after="0" w:line="18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June 27, 2022, an additional 37,366.2 Class B Shares were issued to Former Adelia Shareholders due to the achievement of the Milestone identified as Y2, Q3 (i), as contemplated by the terms of the Adelia Contribution Agreement, having an aggregate value of $280 at a price per Class B Share of $7.50. These Class B Shares are exchangeable for a total of 373,662 Common Shares, representing an effective issue price of $0.75 per Common Share.</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August 31, 2022, an additional 33,190.1 Class B Shares were issued to Former Adelia Shareholders due to the achievement of the Milestone identified as Y2, Q4 (ii), as contemplated by the terms of the Adelia Contribution Agreement, having an aggregate value of $468 at a price per Class B Share of $14.10. These Class B Shares are exchangeable for a total of 321,901 Common Shares, representing an effective issue price of $1.41 per Common Share.</w:t>
      </w:r>
    </w:p>
    <w:p>
      <w:pPr>
        <w:spacing w:after="0" w:line="1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As of August 31, 2022, all of the Milestones contemplated by the terms of the Adelia Contribution Agreement were successfully achieved. The Milestones focused on bringing Cybin’s psychedelic programs from the lab to the clinic. As Cybin has advanced its research and development pipeline, these milestone achievements have contributed to discovering potential new drug formulations and delivery methods, creating clinical protocols for psychedelic compounds, and most recently, supporting clinical-stage development of the Company’s CYB003 and CYB004 programs for MDD and anxiety disorders, respectively.</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Pursuant to the Contribution Agreement certain members of Adelia entered into advisory and/or executive employment arrangements with Cybin upon the Closing and, in such capacity, received, in the aggregate, a grant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60"/>
          </w:cols>
          <w:pgMar w:left="320" w:top="701" w:right="319" w:bottom="1440" w:gutter="0" w:footer="0" w:header="0"/>
        </w:sectPr>
      </w:pPr>
    </w:p>
    <w:bookmarkStart w:id="67" w:name="page68"/>
    <w:bookmarkEnd w:id="67"/>
    <w:p>
      <w:pPr>
        <w:jc w:val="both"/>
        <w:spacing w:after="0" w:line="260" w:lineRule="auto"/>
        <w:rPr>
          <w:sz w:val="20"/>
          <w:szCs w:val="20"/>
          <w:color w:val="auto"/>
        </w:rPr>
      </w:pPr>
      <w:r>
        <w:rPr>
          <w:rFonts w:ascii="Times New Roman" w:cs="Times New Roman" w:eastAsia="Times New Roman" w:hAnsi="Times New Roman"/>
          <w:sz w:val="18"/>
          <w:szCs w:val="18"/>
          <w:color w:val="auto"/>
        </w:rPr>
        <w:t>options to purchase up to 2,244,100 to acquire Common Shares, pursuant to Cybin’s equity incentive plan, exercisable for a period of five (5) years and subject to vesting, at an exercise price of $1.74 per Cybin Share. An additional 555,900 options to acquire Common Shares were issued to eligible participants at the direction of the Adelia Shareholders following the Closing.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As at December 31, 2022 and the date of this MD&amp;A, other than these contractual obligations and commitments disclosed in note 12 of the Interim Financial Statements, the Company does not have any off-balance sheet arrangements that have or are reasonably likely to have a current or future effect on the results of operations or financial condition of the Company.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Transactions between related parties</w:t>
      </w:r>
    </w:p>
    <w:p>
      <w:pPr>
        <w:spacing w:after="0" w:line="209"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For the three and nine-month periods ended December 31, 2022, the key management personnel of the Company were 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the Chief Executive Officer, Chief Financial Officer, Chief Operating Officer, Chief Growth Officer, Chief Compliance, Ethics &amp; Administrative Officer, Chief Legal Officer, Chief Innovation Officer, Chief Medical Officer, and Chief Scientific Officers.</w:t>
      </w:r>
    </w:p>
    <w:p>
      <w:pPr>
        <w:spacing w:after="0" w:line="16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Compensation for key management personnel of the Company for the three month and nine-month periods ended December 31, 2022 consisted of consulting fees, short term benefits and other compensation of $1,815 and $6,362, respectively (three and nine-month periods ended December 31, 2021 - $3,095 and $11,096).</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The preparation of the Company’s Interim Financial Statements require management to make certain estimates, judgments and assumptions that affect the reported amounts of assets and liabilities at the date of the consolidated financial statements and reported amounts of expenses during the reporting year. Actual outcomes could differ from these estimates. The consolidated financial statements include estimates which, by their nature, are uncertain. The impacts of such estimates are pervasive throughout the consolidated financial statements and may require accounting adjustments based on future occurrences. Revisions to accounting estimates are recognized in the year in which the estimate is revised and future years if the revision affects both current and future years. These estimates are based on historical experience, current and future economic conditions and other factors, including expectations of future events that are believed to be reasonable under the circumstances. The Company’s significant accounting estimates and assumptions are reported in note 3 of the of the Company’s annual consolidated financial statements for the year ended March 31, 2022, found on SEDAR at </w:t>
      </w:r>
      <w:r>
        <w:rPr>
          <w:rFonts w:ascii="Times New Roman" w:cs="Times New Roman" w:eastAsia="Times New Roman" w:hAnsi="Times New Roman"/>
          <w:sz w:val="17"/>
          <w:szCs w:val="17"/>
          <w:i w:val="1"/>
          <w:iCs w:val="1"/>
          <w:u w:val="single" w:color="auto"/>
          <w:color w:val="0563C1"/>
        </w:rPr>
        <w:t>www.sedar.com</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2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Company’s significant accounting policies are set out in note 2 of the of the Company’s annual consolidated financial statements for the year ended March 31, 2022, found on SEDAR at </w:t>
      </w:r>
      <w:r>
        <w:rPr>
          <w:rFonts w:ascii="Times New Roman" w:cs="Times New Roman" w:eastAsia="Times New Roman" w:hAnsi="Times New Roman"/>
          <w:sz w:val="18"/>
          <w:szCs w:val="18"/>
          <w:i w:val="1"/>
          <w:iCs w:val="1"/>
          <w:u w:val="single" w:color="auto"/>
          <w:color w:val="0563C1"/>
        </w:rPr>
        <w:t>www.sedar.com</w:t>
      </w:r>
      <w:r>
        <w:rPr>
          <w:rFonts w:ascii="Times New Roman" w:cs="Times New Roman" w:eastAsia="Times New Roman" w:hAnsi="Times New Roman"/>
          <w:sz w:val="18"/>
          <w:szCs w:val="18"/>
          <w:color w:val="auto"/>
        </w:rPr>
        <w:t>. This MD&amp;A should be read in conjunction with the Interim Financial Statements. Other accounting standards or amendments to existing accounting standards that have been issued, but have future effective dates, are either not applicable or are not expected to have a significant impact on the Company’s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0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Management maintains appropriate information systems, procedures and controls to provide reasonable assurance that information that is publicly disclosed is complete, reliable and timely. The Chief Executive Officer (the “</w:t>
      </w:r>
      <w:r>
        <w:rPr>
          <w:rFonts w:ascii="Times New Roman" w:cs="Times New Roman" w:eastAsia="Times New Roman" w:hAnsi="Times New Roman"/>
          <w:sz w:val="17"/>
          <w:szCs w:val="17"/>
          <w:b w:val="1"/>
          <w:bCs w:val="1"/>
          <w:color w:val="auto"/>
        </w:rPr>
        <w:t>CEO</w:t>
      </w:r>
      <w:r>
        <w:rPr>
          <w:rFonts w:ascii="Times New Roman" w:cs="Times New Roman" w:eastAsia="Times New Roman" w:hAnsi="Times New Roman"/>
          <w:sz w:val="17"/>
          <w:szCs w:val="17"/>
          <w:color w:val="auto"/>
        </w:rPr>
        <w:t>”) and Chief Financial Officer (the “</w:t>
      </w:r>
      <w:r>
        <w:rPr>
          <w:rFonts w:ascii="Times New Roman" w:cs="Times New Roman" w:eastAsia="Times New Roman" w:hAnsi="Times New Roman"/>
          <w:sz w:val="17"/>
          <w:szCs w:val="17"/>
          <w:b w:val="1"/>
          <w:bCs w:val="1"/>
          <w:color w:val="auto"/>
        </w:rPr>
        <w:t>CFO</w:t>
      </w:r>
      <w:r>
        <w:rPr>
          <w:rFonts w:ascii="Times New Roman" w:cs="Times New Roman" w:eastAsia="Times New Roman" w:hAnsi="Times New Roman"/>
          <w:sz w:val="17"/>
          <w:szCs w:val="17"/>
          <w:color w:val="auto"/>
        </w:rPr>
        <w:t>”) of the Company, along with the assistance of senior management under their supervision, have designed disclosure controls and procedures to provide reasonable assurance that material information relating to the Company is made known to the CEO and CFO, and have designed internal controls over financial reporting to provide reasonable assurance regarding the reliability of financial reporting and the preparation of financial statements for external purposes in accordance with IFRS.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60"/>
          </w:cols>
          <w:pgMar w:left="320" w:top="701"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Control over Financial Reporting</w:t>
      </w: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Internal control over financial reporting is a process designed to provide reasonable assurance regarding the reliability of financial reporting and the preparation of financial statements for external purposes in accordance with applicable IFRS. Internal control over financial reporting should include those policies and procedures that establish the following:</w:t>
      </w:r>
    </w:p>
    <w:p>
      <w:pPr>
        <w:spacing w:after="0" w:line="188" w:lineRule="exact"/>
        <w:rPr>
          <w:sz w:val="20"/>
          <w:szCs w:val="20"/>
          <w:color w:val="auto"/>
        </w:rPr>
      </w:pPr>
    </w:p>
    <w:p>
      <w:pPr>
        <w:ind w:left="560" w:hanging="272"/>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records in reasonable detail, that accurately and fairly reflect the transactions and dispositions of assets;</w:t>
      </w:r>
    </w:p>
    <w:p>
      <w:pPr>
        <w:spacing w:after="0" w:line="19"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that transactions are recorded as necessary to permit preparation of financial statements in accordance with applicable IFRS;</w:t>
      </w:r>
    </w:p>
    <w:p>
      <w:pPr>
        <w:spacing w:after="0" w:line="5" w:lineRule="exact"/>
        <w:rPr>
          <w:rFonts w:ascii="Times New Roman" w:cs="Times New Roman" w:eastAsia="Times New Roman" w:hAnsi="Times New Roman"/>
          <w:sz w:val="18"/>
          <w:szCs w:val="18"/>
          <w:color w:val="auto"/>
        </w:rPr>
      </w:pPr>
    </w:p>
    <w:p>
      <w:pPr>
        <w:ind w:left="560" w:hanging="272"/>
        <w:spacing w:after="0"/>
        <w:tabs>
          <w:tab w:leader="none" w:pos="5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receipts and expenditures are only being made in accordance with authorizations of management or the Board; and</w:t>
      </w:r>
    </w:p>
    <w:p>
      <w:pPr>
        <w:spacing w:after="0" w:line="5" w:lineRule="exact"/>
        <w:rPr>
          <w:rFonts w:ascii="Times New Roman" w:cs="Times New Roman" w:eastAsia="Times New Roman" w:hAnsi="Times New Roman"/>
          <w:sz w:val="18"/>
          <w:szCs w:val="18"/>
          <w:color w:val="auto"/>
        </w:rPr>
      </w:pPr>
    </w:p>
    <w:p>
      <w:pPr>
        <w:ind w:left="580" w:right="20" w:hanging="292"/>
        <w:spacing w:after="0" w:line="259" w:lineRule="auto"/>
        <w:tabs>
          <w:tab w:leader="none" w:pos="569"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assurance regarding prevention or timely detection of unauthorized acquisition, use or disposition of the Company’s assets that could have a material effect on the financial instruments.</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During the period ended December 31, 2022, the Company did not make any significant changes to its internal controls over financial reporting that would have materially affected, or reasonably likely to materially affect, its internal controls over financial reporting.</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of Disclosure Controls and Procedures and Internal Control over Financial Reporting</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the CEO and the CFO, believe that due to inherent limitations, any disclosure controls and procedures or internal control over financial reporting, no matter how well designed and operated, can provide only reasonable, not absolute, assurance of achieving the desired control objectives. These inherent limitations include, among other items: (i) that management’s assumptions and judgments could ultimately prove to be incorrect under varying conditions and circumstances; (ii) the impact of any undetected errors; and (iii) that controls may be circumvented by the unauthorized acts of individuals, by collusion of two or more people, or by management override. Further, the design of a control system must reflect the fact that there are resource constraints, and the benefits of controls must be considered relative to their costs. Accordingly, because of the inherent limitations in a cost effective control system, misstatements due to error or fraud may occur and not be detected.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and interpretations not yet adopted</w:t>
      </w: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 number of new standards, amendments to standards and interpretations are not yet effective at December 31, 2022, and have not been applied in preparing the Interim Financial Statements. Management has determined that none of these will have a significant effect on the consolidated financial statements of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Risk Management</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 xml:space="preserve">The Company is exposed to a variety of financial instrument related risks and is exposed to liquidity risk, credit risk, interest rate risk, foreign exchange risk, equity price risk, asset forfeiture risk and banking risk. Management, in conjunction with the Board, mitigates these risks by assessing, monitoring and approving the Company’s risk management processes. See note 14, </w:t>
      </w:r>
      <w:r>
        <w:rPr>
          <w:rFonts w:ascii="Times New Roman" w:cs="Times New Roman" w:eastAsia="Times New Roman" w:hAnsi="Times New Roman"/>
          <w:sz w:val="18"/>
          <w:szCs w:val="18"/>
          <w:i w:val="1"/>
          <w:iCs w:val="1"/>
          <w:color w:val="auto"/>
        </w:rPr>
        <w:t>Financial Risk Management</w:t>
      </w:r>
      <w:r>
        <w:rPr>
          <w:rFonts w:ascii="Times New Roman" w:cs="Times New Roman" w:eastAsia="Times New Roman" w:hAnsi="Times New Roman"/>
          <w:sz w:val="18"/>
          <w:szCs w:val="18"/>
          <w:color w:val="auto"/>
        </w:rPr>
        <w:t xml:space="preserve"> in the Interim Financial Statements for the Company’s financial instruments, financial risk factors, and other instruments. The Company’s financial risk activities are governed by the appropriate policy and procedures and financial risks are identified, measured and managed in accordance with the Company’s policies and risk appetite.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the Company noted the following risks specific to the psychedelic industry that it is exposed to:</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risk</w:t>
      </w:r>
    </w:p>
    <w:p>
      <w:pPr>
        <w:spacing w:after="0" w:line="2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Liquidity risk is the risk that the Company will not be able to meet its financial obligations as they fall due. The Company is a development stage company and is reliant on external fundraising to support its operations. Once funds have been raised, the Company manages liquidity risk by continuously monitoring actual and projected cash flows. The board of directors reviews and approves the Company’s operating and capital budgets, as well as any material transactions not in the ordinary course of business.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60"/>
          </w:cols>
          <w:pgMar w:left="320" w:top="697"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Regulatory risk</w:t>
      </w:r>
    </w:p>
    <w:p>
      <w:pPr>
        <w:spacing w:after="0" w:line="2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Regulatory risk pertains to the risk that the Company’s business objectives are contingent, in part, upon the compliance with regulatory requirements. Due to the nature of the industry, regulatory requirements can be more stringent than other industries and may also be punitive in nature. Any delays in obtaining, or failure to obtain regulatory approvals can significantly delay operational and product development and can have a material adverse effect on the Company’s business, results of operation, and financial condition.</w:t>
      </w:r>
    </w:p>
    <w:p>
      <w:pPr>
        <w:spacing w:after="0" w:line="17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routinely monitors regulatory changes occurring in the psychedelic industry at the city, state, and national levels. Although the general regulatory outlook for the psychedelic industry has been moving in a positive direction, unforeseen regulatory changes could have a material adverse effect on the business as a whole.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The Company is exposed to currency risk related to the fluctuation of foreign exchange rates and the degree of volatility of those rates. Currency risk is limited to the portion of the Company’s business transactions and balances denominated in currencies other than the Canadian dollar.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Subsequent Events</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During the period from January 1, 2023 to February 13, 2023, the Company sold an additional 5,773,900 Common Shares, at an average price of US $0.4225 per Common Share, for aggregate gross proceeds of US$2,439, through its ATM Program. As of February 13, 2022, the ATM allows Cybin to issue and sell up to an additional US$25,966 of Common Shares. Depending on market conditions, this will allow Cybin to access additional cash for growth opportunities and working capital.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12, 2023, Former Adelia Shareholders exchanged 508,964.8 Class B Shares for 5,089,648 Common Shares.</w:t>
      </w:r>
    </w:p>
    <w:p>
      <w:pPr>
        <w:spacing w:after="0" w:line="21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On January 12, 2023, the Company announced that it has selected GAD with or without MDD as the target indication for its proprietary deuterated DMT molecule, CYB004.</w:t>
      </w:r>
    </w:p>
    <w:p>
      <w:pPr>
        <w:spacing w:after="0" w:line="168"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18"/>
          <w:szCs w:val="18"/>
          <w:color w:val="auto"/>
        </w:rPr>
        <w:t>On January 18, 2023, the Company announced promising results from the completed feasibility study, evaluating Kernel's Flow wearable technology to measure ketamine's psychedelic effect on cerebral cortex hemodynamics. Key findings from the study provided proof-of-principle for Flow as a portable functional system that provides real-time measurements of changes in blood oxygenation in the brain associated with neural activity. The study demonstrated ketamine-induced changes to functional brain biomarkers associated with potential therapeutic effects, including changes in cortical function associated with psychedelic experiences. Additionally, Flow demonstrated reliable measurements of PR and PRV, therefore eliminating the need for external cardiac activity sensors in future studies. The study also observed physiological measures of the effects of ketamine, including increased PR, decreased PRV, increased absolute concentrations of oxy-hemoglobin and decreased deoxyhemoglobin, and elevated electrodermal activity.</w:t>
      </w:r>
    </w:p>
    <w:p>
      <w:pPr>
        <w:spacing w:after="0" w:line="18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On February 1, 2023, the Company announced that it had received approval from an independent ethics committee in the Netherlands to initiate first-in-human dosing of CYB004 through a protocol amendment to its ongoing Phase 1 CYB004-E study.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Factors</w:t>
      </w:r>
    </w:p>
    <w:p>
      <w:pPr>
        <w:spacing w:after="0" w:line="2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risks described herein, reference is made to the section entitled “Risk Factors” in the AIF, which is incorporated herein by reference. The risks described herein are not the only risks faced by the Company and security holders of the Company. Additional risks and uncertainties not currently known to the Company, or that the Company currently deems immaterial, may also materially and adversely affect its business. The business, financial condition, revenues or profitability of the Company could be materially adversely affected by any of the risks set forth in this MD&amp;A. The trading price of the Common Shares could decline due to any of these risks and investors could lose all or part of their investment. This MD&amp;A contains forward-looking statements that involve risks and uncertainties. The Company's actual results could differ materially from those anticipated in these forward-looking statements as a result of certain factors, including the risks faced by the Company described below and elsewhere in this MD&amp;A. No inference should be drawn, nor should an investor place undue importance on, the risk factors that are included in this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60"/>
          </w:cols>
          <w:pgMar w:left="320" w:top="697" w:right="319" w:bottom="1440" w:gutter="0" w:footer="0" w:header="0"/>
        </w:sectPr>
      </w:pPr>
    </w:p>
    <w:bookmarkStart w:id="70" w:name="page71"/>
    <w:bookmarkEnd w:id="7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MD&amp;A as compared to those included in other documents publicly filed by the Company, as all risk factors are important and should be carefully considered by a potential investor.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Company’s Business and Industry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Novel Coronavirus “COVID-19”</w:t>
      </w:r>
    </w:p>
    <w:p>
      <w:pPr>
        <w:spacing w:after="0" w:line="23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The outbreak of the novel strain of coronavirus, specifically identified as “COVID-19”, resulted in governments worldwide enacting emergency measures to combat the spread of the virus. These measures, which included the implementation of travel bans, self-imposed quarantine periods and social distancing, caused material disruption to businesses globally resulting in an economic slowdown. Global equity markets experienced significant volatility and weakness. Governments and central banks reacted with significant monetary and fiscal interventions designed to stabilize economic conditions. Although some of these measures have been amended or repealed, there remains a future risk of reinstated measures in response to the spread of COVID-19.</w:t>
      </w:r>
    </w:p>
    <w:p>
      <w:pPr>
        <w:spacing w:after="0" w:line="1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duration and impact of the COVID-19 outbreak is unknown at this time, as is the efficacy of the government and central bank interventions. It is not possible to reliably estimate the length and severity of these developments and the impact on the financial results and condition of the Company and its operating subsidiaries in future periods. However, depending on the length and severity of the spread of COVID-19, this could impact the Company’s operations, cause delays relating to approval from Health Canada, the FDA and equivalent organizations in other countries, postpone research activities, and impair the Company’s ability to raise funds depending on COVID-19s effect on capital markets.</w:t>
      </w:r>
    </w:p>
    <w:p>
      <w:pPr>
        <w:spacing w:after="0" w:line="182"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While the Company is continuously assessing the potential impact of the spread of COVID-19on its operations, any assessment is subject to extreme uncertainty as to probability, severity and duration. The Company has attempted to assess the impact of the spread of COVID-19by identifying risks in the following principle areas:</w:t>
      </w:r>
    </w:p>
    <w:p>
      <w:pPr>
        <w:spacing w:after="0" w:line="178" w:lineRule="exact"/>
        <w:rPr>
          <w:sz w:val="20"/>
          <w:szCs w:val="20"/>
          <w:color w:val="auto"/>
        </w:rPr>
      </w:pPr>
    </w:p>
    <w:p>
      <w:pPr>
        <w:jc w:val="both"/>
        <w:ind w:left="580" w:hanging="292"/>
        <w:spacing w:after="0" w:line="237" w:lineRule="auto"/>
        <w:tabs>
          <w:tab w:leader="none" w:pos="575"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b w:val="1"/>
          <w:bCs w:val="1"/>
          <w:color w:val="auto"/>
        </w:rPr>
        <w:t xml:space="preserve">Mandatory Closure. </w:t>
      </w:r>
      <w:r>
        <w:rPr>
          <w:rFonts w:ascii="Times New Roman" w:cs="Times New Roman" w:eastAsia="Times New Roman" w:hAnsi="Times New Roman"/>
          <w:sz w:val="18"/>
          <w:szCs w:val="18"/>
          <w:color w:val="auto"/>
        </w:rPr>
        <w:t>In the period following March 2020, many provinces, states and localities implemented temporary, mandatory shut-downs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businesses to prevent the spread of COVID-19. In the locations where the Company operates or conducts research activity, these activities were deemed an “essential service”, and thus, were not subject to the mandatory closures applicable to non-essential businesses. The Company’s ability to generate revenue and meet its milestones could be materially impacted by any shut-down of operations or services resulting from any future, mandatory closures in response to the spread of COVID-19.</w:t>
      </w:r>
    </w:p>
    <w:p>
      <w:pPr>
        <w:spacing w:after="0" w:line="3" w:lineRule="exact"/>
        <w:rPr>
          <w:rFonts w:ascii="Times New Roman" w:cs="Times New Roman" w:eastAsia="Times New Roman" w:hAnsi="Times New Roman"/>
          <w:sz w:val="19"/>
          <w:szCs w:val="19"/>
          <w:color w:val="auto"/>
        </w:rPr>
      </w:pPr>
    </w:p>
    <w:p>
      <w:pPr>
        <w:jc w:val="both"/>
        <w:ind w:left="580" w:hanging="292"/>
        <w:spacing w:after="0" w:line="248" w:lineRule="auto"/>
        <w:tabs>
          <w:tab w:leader="none" w:pos="575"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8"/>
          <w:szCs w:val="18"/>
          <w:b w:val="1"/>
          <w:bCs w:val="1"/>
          <w:color w:val="auto"/>
        </w:rPr>
        <w:t xml:space="preserve">Research and Development Disruptions. </w:t>
      </w:r>
      <w:r>
        <w:rPr>
          <w:rFonts w:ascii="Times New Roman" w:cs="Times New Roman" w:eastAsia="Times New Roman" w:hAnsi="Times New Roman"/>
          <w:sz w:val="18"/>
          <w:szCs w:val="18"/>
          <w:color w:val="auto"/>
        </w:rPr>
        <w:t>The Company relies on a third parties for its research and development activities. If these third parties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unable to continue operating due to mandatory closures or other effects of the spread of COVID-19, it may negatively impact the Company’s ability to meet its milestones and may significantly delay development. At this time, the Company has not experienced any significant disruptions.</w:t>
      </w:r>
    </w:p>
    <w:p>
      <w:pPr>
        <w:spacing w:after="0" w:line="7" w:lineRule="exact"/>
        <w:rPr>
          <w:rFonts w:ascii="Arial" w:cs="Arial" w:eastAsia="Arial" w:hAnsi="Arial"/>
          <w:sz w:val="19"/>
          <w:szCs w:val="19"/>
          <w:color w:val="auto"/>
        </w:rPr>
      </w:pPr>
    </w:p>
    <w:p>
      <w:pPr>
        <w:jc w:val="both"/>
        <w:ind w:left="580" w:hanging="292"/>
        <w:spacing w:after="0" w:line="251" w:lineRule="auto"/>
        <w:tabs>
          <w:tab w:leader="none" w:pos="575" w:val="left"/>
        </w:tabs>
        <w:numPr>
          <w:ilvl w:val="0"/>
          <w:numId w:val="40"/>
        </w:numPr>
        <w:rPr>
          <w:rFonts w:ascii="Arial" w:cs="Arial" w:eastAsia="Arial" w:hAnsi="Arial"/>
          <w:sz w:val="19"/>
          <w:szCs w:val="19"/>
          <w:color w:val="auto"/>
        </w:rPr>
      </w:pPr>
      <w:r>
        <w:rPr>
          <w:rFonts w:ascii="Times New Roman" w:cs="Times New Roman" w:eastAsia="Times New Roman" w:hAnsi="Times New Roman"/>
          <w:sz w:val="18"/>
          <w:szCs w:val="18"/>
          <w:b w:val="1"/>
          <w:bCs w:val="1"/>
          <w:color w:val="auto"/>
        </w:rPr>
        <w:t xml:space="preserve">Staffing Disruption. </w:t>
      </w:r>
      <w:r>
        <w:rPr>
          <w:rFonts w:ascii="Times New Roman" w:cs="Times New Roman" w:eastAsia="Times New Roman" w:hAnsi="Times New Roman"/>
          <w:sz w:val="18"/>
          <w:szCs w:val="18"/>
          <w:color w:val="auto"/>
        </w:rPr>
        <w:t>The Company is, for the time being, implementing among its staff where feasible “social distancing” measures recommended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local authorities. The Company has cancelled nonessential travel by employees, implemented remote meetings where possible, and permitted all staff who can work remotely to do so. For those whose duties require them to work on-site, measures have been implemented to reduce infection risk, such as reducing contact with patients, mandating additional cleaning and hand disinfection and providing masks and gloves to certain personnel. Nevertheless, despite such measures, the Company may find it difficult to ensure that its operations remain staffed due to employees falling ill with COVID-19 and deciding not to come to come to work on their own volition to avoid infection.</w:t>
      </w:r>
    </w:p>
    <w:p>
      <w:pPr>
        <w:spacing w:after="0" w:line="18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is actively addressing the risk to business continuity represented by each of the above factors through the implementation of a broad range of measures throughout its structure and is re-assessing its response to the spread of COVID-19 on an ongoing basis. The above risks individually or collectively may have a material impact on the Company’s ability to generate revenue.</w:t>
      </w:r>
    </w:p>
    <w:p>
      <w:pPr>
        <w:spacing w:after="0" w:line="18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has sufficient cash on hand raised via equity financings to fund its operations for the next 12-months and meet its working capital requirements. It is anticipated that the long-term goals of the Company will require additional capital contributions via debt or equity financings. In the event that the impact of COVID-19 worsens and</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60"/>
          </w:cols>
          <w:pgMar w:left="320" w:top="701"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negatively affects capital markets generally, there is a risk that the Company may not be able to secure funding for these long-term objectives.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Operating History</w:t>
      </w:r>
    </w:p>
    <w:p>
      <w:pPr>
        <w:spacing w:after="0" w:line="22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Common Shares commenced trading on the Exchange on November 10, 2020 on a post-Reverse Takeover basis and therefore the Company has a limited operating history as a public company. To operate effectively, the Company will be required to continue to implement changes in certain aspects of its business, improve information systems and develop, manage and train management-level and other employees to comply with ongoing public company requirements. Failure to take such actions, or delay in implementation thereof, could adversely affect the business, financial condition, liquidity and results of operations of the Company and, more specifically, could result in regulatory penalties, market criticism or the imposition of cease trade orders in respect of the Common Shares.</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will be subject to all of the business risks and uncertainties associated with any new business enterprise, including the risk that it will not achieve its operating goals. In order for the Company to meet future operating and debt service requirements, it will need to be successful in its growth, marketing and sales efforts. Additionally, where the Company experiences increased production and future sales, its current operational infrastructure may require changes to scale its business efficiently and effectively to keep pace with demand and achieve long-term profitability. If the Company’s products and services are not accepted by new customers, the Company’s operating results may be materially and adversely affected.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Achieving Publicly Announced Milestones</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From time to time, the Company may announce the timing of certain events it expects to occur, such as the anticipated timing of results from clinical trials. These statements are forward-looking and are based on the best estimates of management at the time relating to the occurrence of such events. However, the actual timing of such events may differ from what has been publicly disclosed. The timing of events such as initiation or completion of a clinical trial, filing of an application to obtain regulatory approval, or announcement of additional clinical trials for a prescription drug product candidate may ultimately vary from what is publicly disclosed. See “Commercial Scale Product Manufacturing”, “Safety and Efficacy of Products”, “Clinical Testing and Commercializing Product Candidates”, “Completion of Clinical Trials”, and “Nature of Regulatory Approvals” as discussed under this heading “Risk Factors” for further disclosure of risks and events that may affect the timing of certain events the Company may announce.</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undertakes no obligation to update or revise any forward-looking information or statements, whether as a result of new information, future events or otherwise, except as otherwise required by-law. Any variation in the timing of previously announced milestones could have a material adverse effect on the Company’s business plan, financial condition or operating results and the trading price of the Common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Speculative Nature of Investment Risk</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 investment in the securities of the Company carries a high degree of risk and should be considered as a speculative investment. The Company has no history of earnings, limited cash reserves, limited operating history, has not paid dividends, and is unlikely to pay dividends in the immediate or near future.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Early Stage of the Industry and Product Development</w:t>
      </w:r>
    </w:p>
    <w:p>
      <w:pPr>
        <w:spacing w:after="0" w:line="23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Given the early stage of its prescription drug product development, the Company can make no assurance that its research and development programs will result in regulatory approval or commercially viable products. To achieve profitable operations, the Company, alone or with others, must successfully develop, gain regulatory approval for, and market its future products. The Company currently has no products that have been approved by Health Canada, the FDA, the EMA or any similar regulatory authority. To obtain regulatory approvals for its prescription drug product candidates being developed and to achieve commercial success, clinical trials must demonstrate that the prescription drug product candidates are safe for human use and that they demonstrate efficacy.</w:t>
      </w:r>
    </w:p>
    <w:p>
      <w:pPr>
        <w:spacing w:after="0" w:line="18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Many prescription drug product candidates never reach the stage of clinical testing and even those that do have only a small chance of successfully completing clinical development and gaining regulatory approval. Prescription drug product candidates can fail for a number of reasons, including, but not limited to, being unsafe for human use or due to</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60"/>
          </w:cols>
          <w:pgMar w:left="320" w:top="701" w:right="319" w:bottom="1440" w:gutter="0" w:footer="0" w:header="0"/>
        </w:sectPr>
      </w:pPr>
    </w:p>
    <w:bookmarkStart w:id="72" w:name="page73"/>
    <w:bookmarkEnd w:id="72"/>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failure to provide therapeutic benefits equal to or better than the standard of treatment at the time of testing. Unsatisfactory results obtained from a particular study relating to a research and development program may cause the Company or its collaborators to abandon commitments to that program. Positive results of early preclinical research may not be indicative of the results that will be obtained in later stages of preclinical or clinical research. Similarly, positive results from early-stage clinical trials may not be indicative of favourable outcomes in later-stage clinical trials, and the Company can make no assurance that any future studies, if undertaken, will yield favourable results.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early stage of the Company’s product development makes it particularly uncertain whether any of its product development efforts will prove to be successful and meet applicable regulatory requirements, and whether any of its prescription drug product candidates will receive the requisite regulatory approvals, be capable of being manufactured at a reasonable cost or be successfully marketed. If the Company is successful in developing its current and future prescription drug product candidates into approved products, it will still experience many potential obstacles, which would affect its ability to successfully market and commercialize such approved products, such as the need to develop or obtain manufacturing, marketing and distribution capabilities, price pressures from third-party payors, or proposed changes in health care systems. If the Company is unable to successfully market and commercialize any of its products, its financial condition and results of operations may be materially and adversely affected.</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can make no assurance that any future studies, if undertaken, will yield favorable results. Many companies in the pharmaceutical and biotechnology industries have suffered significant setbacks in later-stage clinical trials after achieving positive results in early-stage development, and the Company cannot be certain that it will not face similar setbacks. These setbacks have been caused by, among other things, preclinical findings made while clinical trials were underway or safety or efficacy observations made in clinical trials, including previously unreported adverse events or latent defects in the manufactured drug product or the formulation or stability thereof. Moreover, preclinical and clinical data are often susceptible to varying interpretations and analyses, and many companies that believed their prescription drug product candidates performed satisfactorily in preclinical studies and clinical trials nonetheless failed to obtain Health Canada, FDA or EMA approval. If the Company fails to produce positive results in future clinical trials and other programs, the development timeline and regulatory approval and commercialization prospects for the Company’s leading prescription drug product candidates, and, correspondingly, its business and financial prospects, would be materially adversely affected.</w:t>
      </w:r>
    </w:p>
    <w:p>
      <w:pPr>
        <w:spacing w:after="0" w:line="198"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Preclinical testing and clinical trials for the Company’s products may not achieve the desired results. The results of preclinical testing and clinical trials are uncertain. Product approvals are subject to a number of contingencies and may not be obtained in the time expected or at all. The Company’s products may not attract a following among patients, retailers and/or providers. The Company expects to face an inherent risk of exposure to product liability claims, regulatory action and litigation if the products it plans to distribute are alleged to have caused loss or injury. There can be no assurance that the Company will be able to obtain or maintain product liability insurance on acceptable terms or with adequate coverage against potential liabilities.</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 xml:space="preserve">The Company’s business relies on its ability to access, develop, and sell psilocybin. Psilocybin is a controlled substance in many jurisdictions, including in Canada under Schedule III of the </w:t>
      </w:r>
      <w:r>
        <w:rPr>
          <w:rFonts w:ascii="Times New Roman" w:cs="Times New Roman" w:eastAsia="Times New Roman" w:hAnsi="Times New Roman"/>
          <w:sz w:val="17"/>
          <w:szCs w:val="17"/>
          <w:i w:val="1"/>
          <w:iCs w:val="1"/>
          <w:color w:val="auto"/>
        </w:rPr>
        <w:t>Controlled Drugs and Substances Act</w:t>
      </w:r>
      <w:r>
        <w:rPr>
          <w:rFonts w:ascii="Times New Roman" w:cs="Times New Roman" w:eastAsia="Times New Roman" w:hAnsi="Times New Roman"/>
          <w:sz w:val="17"/>
          <w:szCs w:val="17"/>
          <w:color w:val="auto"/>
        </w:rPr>
        <w:t xml:space="preserve"> and in the United States. The Company may face difficulty accessing psilocybin and the public capital markets in Canada as a result of the response of regulators, stock exchanges, and other market participants to the Company’s development and sale of a controlled substance. The Company may also have limited access to traditional banking services, as well as limited access to debt financing from traditional institutional lenders. The medical efficacy of psilocybin has not been confirmed and requires further study and scientific rigour.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Risks and Uncertainties</w:t>
      </w:r>
    </w:p>
    <w:p>
      <w:pPr>
        <w:spacing w:after="0" w:line="221" w:lineRule="exact"/>
        <w:rPr>
          <w:sz w:val="20"/>
          <w:szCs w:val="20"/>
          <w:color w:val="auto"/>
        </w:rPr>
      </w:pPr>
    </w:p>
    <w:p>
      <w:pPr>
        <w:ind w:right="40"/>
        <w:spacing w:after="0" w:line="235" w:lineRule="auto"/>
        <w:rPr>
          <w:sz w:val="20"/>
          <w:szCs w:val="20"/>
          <w:color w:val="auto"/>
        </w:rPr>
      </w:pPr>
      <w:r>
        <w:rPr>
          <w:rFonts w:ascii="Times New Roman" w:cs="Times New Roman" w:eastAsia="Times New Roman" w:hAnsi="Times New Roman"/>
          <w:sz w:val="18"/>
          <w:szCs w:val="18"/>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60"/>
          </w:cols>
          <w:pgMar w:left="320" w:top="701" w:right="319" w:bottom="1440" w:gutter="0" w:footer="0" w:header="0"/>
        </w:sectPr>
      </w:pPr>
    </w:p>
    <w:bookmarkStart w:id="73" w:name="page74"/>
    <w:bookmarkEnd w:id="73"/>
    <w:p>
      <w:pPr>
        <w:ind w:right="240"/>
        <w:spacing w:after="0" w:line="239" w:lineRule="auto"/>
        <w:rPr>
          <w:sz w:val="20"/>
          <w:szCs w:val="20"/>
          <w:color w:val="auto"/>
        </w:rPr>
      </w:pPr>
      <w:r>
        <w:rPr>
          <w:rFonts w:ascii="Times New Roman" w:cs="Times New Roman" w:eastAsia="Times New Roman" w:hAnsi="Times New Roman"/>
          <w:sz w:val="18"/>
          <w:szCs w:val="18"/>
          <w:color w:val="auto"/>
        </w:rPr>
        <w:t>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9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There is no guarantee that psychedelic drugs or psychedelic inspired drugs will ever be approved as medicines in any jurisdiction in which the Company operates. All activities involving such substances by or on behalf of the Company are conducted in accordance with applicable federal, provincial, state and local laws. Further, all facilities engaged with such substances by or on behalf of the Company do so under current licences and permits issued by appropriate federal, provincial and local governmental agencies. While the Company is focused on programs using psychedelic inspired compounds, the Company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Company is involved in may change in ways currently unforeseen. Any amendment to or replacement of existing laws or regulations, including the classification or re-classification of the substances the Company is developing or working with, which are matters beyond the Company’s control, may cause the Company’s business, financial condition, results of operations and prospects to be adversely affected or may cause the Company to incur significant costs in complying with such changes or it may be unable to comply therewith. A violation of any applicable laws and regulations of the jurisdictions in which the Company operates could result in significant fines, penalties, administrative sanctions, convictions or settlements arising from civil proceedings initiated by either government entities in the jurisdictions in which the Company operates, or private citizens or criminal charges.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loss of the necessary licences and permits for any of the above scheduled drugs could have an adverse effect on the Company’s operations.</w:t>
      </w:r>
    </w:p>
    <w:p>
      <w:pPr>
        <w:spacing w:after="0" w:line="23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psychedelic drug industry is a fairly new industry and the Company cannot predict the impact of the ever-evolving compliance regime in respect of this industry. Similarly, the Company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Company.</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success of the Company’s business is dependent on the reform of controlled substances laws pertaining to psilocybin. If controlled substances laws are not favourably reformed in Canada, the United States, the Netherlands, the UK, and other global jurisdictions, the commercial opportunity that the Company is pursuing may be highly limited.</w:t>
      </w:r>
    </w:p>
    <w:p>
      <w:pPr>
        <w:spacing w:after="0" w:line="17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makes no medical, treatment or health benefit claims about the Company’s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Company has not conducted clinical trials for the use of its proposed products. Any references to quality, consistency, efficacy and safety of potential products do not imply that the Company verified such in clinical trials or that the Company will complete such trials. If the Company cannot obtain the approvals or research necessary to commercialize its business, it may have a material adverse effect on the Company’s performance and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of Operating in European Countries</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is subject to additional risks related to operating in countries in Europe including: (i) differing regulatory requirements in Europe; (ii) unexpected changes in price and exchange controls and other regulatory requirements; (iii) increased difficulties in managing the logistics and transportation of collecting and shipping patient material; (iv) import and export requirements and restrictions; (v) compliance with tax, employment, immigration and labour laws for employees living or traveling abroad; (vi) foreign taxes, including withholding of payroll taxes; (vii) foreign currency fluctuations, which could result in increased operating expenses, and other obligations incident to</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60"/>
          </w:cols>
          <w:pgMar w:left="320" w:top="701" w:right="319" w:bottom="1440" w:gutter="0" w:footer="0" w:header="0"/>
        </w:sectPr>
      </w:pPr>
    </w:p>
    <w:bookmarkStart w:id="74" w:name="page75"/>
    <w:bookmarkEnd w:id="74"/>
    <w:p>
      <w:pPr>
        <w:jc w:val="both"/>
        <w:spacing w:after="0" w:line="252" w:lineRule="auto"/>
        <w:rPr>
          <w:sz w:val="20"/>
          <w:szCs w:val="20"/>
          <w:color w:val="auto"/>
        </w:rPr>
      </w:pPr>
      <w:r>
        <w:rPr>
          <w:rFonts w:ascii="Times New Roman" w:cs="Times New Roman" w:eastAsia="Times New Roman" w:hAnsi="Times New Roman"/>
          <w:sz w:val="18"/>
          <w:szCs w:val="18"/>
          <w:color w:val="auto"/>
        </w:rPr>
        <w:t>doing business in another country; (viii) difficulties staffing and managing foreign operations; (ix) potential liability under the Corruption of Foreign Public Officials Act of Canada or comparable foreign regulations; (x) challenges enforcing its contractual and intellectual property rights, especially in those European countries that do not respect and protect intellectual property rights to the same extent as Canada or the United States; (xi) production shortages resulting from any events affecting raw material supply or manufacturing capabilities abroad; and (xii) business interruptions resulting from geo-political actions, including war and terrorism.</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These and other risks associated with the Company’s international operations may materially adversely affect its ability to attain or maintain profitable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Plans for Growth</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intends to continue to advance its research and development programs and operations over the next 12 to 24 months. This advancement will place a significant strain on the Company’s management systems and resources. The Company may not be able to implement its business strategy in a rapidly evolving market. In particular, the Company may be required to manage multiple relationships with various strategic industry participants and other third parties, which relationships could be strained. Similarly, an increase in the number of third-party relationships the Company has, may lead to management of the Company being unable to manage growth effectively. The occurrence of such events may result in the Company being unable to successfully identify, manage and exploit existing and potential market opportunities.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Products</w:t>
      </w:r>
    </w:p>
    <w:p>
      <w:pPr>
        <w:spacing w:after="0" w:line="23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The Company will be heavily reliant on the production and distribution of psychedelics and related products. If they do not achieve sufficient market acceptance, it will be difficult for the Company to achieve profitability.</w:t>
      </w:r>
    </w:p>
    <w:p>
      <w:pPr>
        <w:spacing w:after="0" w:line="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Company’s revenue will be derived almost exclusively from sales of psychedelic pharmaceutical products, and the Company expects that its psychedelic pharmaceutical products will account for substantially all of its revenue for the foreseeable future. If the psychedelic pharmaceutical market declines or psychedelics fail to achieve substantially greater market acceptance than it currently enjoys, the Company will not be able to grow its revenues sufficiently for it to achieve consistent profitability.</w:t>
      </w:r>
    </w:p>
    <w:p>
      <w:pPr>
        <w:spacing w:after="0" w:line="19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Even if products to be distributed by the Company conform to international safety and quality standards, sales could be adversely affected if consumers in target markets lose confidence in the safety, efficacy, and quality of psychedelic pharmaceutical products. Adverse publicity about psychedelic pharmaceutical products that the Company sells may discourage consumers from buying products distributed by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Marketing and Sales Capabilities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will, for the immediate future, have limited marketing and sales capabilities, and there can be no assurance that it will be able to develop or acquire these capabilities at the level needed to produce and deliver for sale, through industry partners, its products in sufficient commercial quantities. Further, there can be no assurance that the Company, either on its own or through arrangements with other industry participants, will be able to develop or acquire such capabilities on a cost-effective basis, or at all. Finally, there can be no assurance that the Company’s industry partners will be able to market or sell the Company’s products in compliance with requisite regulatory protocols or on a cost-effective basis. The Company’s dependence upon third parties for the production, and marketing or sale, as applicable, of the Company’s products could have a material adverse effect on the Company’s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Assurance of Commercial Success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successful commercialization of the Company’s products will depend on many factors, including, the Company’s ability to establish and maintain working partnerships with industry participants in order to market its products, the Company’s ability to supply a sufficient amount of its products to meet market demand, and the number of competitors within each jurisdiction within which the Company may from time to time be engaged. There can be no assurance that the Company or its industry partners will be successful in their respective efforts to develop and implement, or assist the Company in developing and implementing, a commercialization strategy for the Company’s products.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60"/>
          </w:cols>
          <w:pgMar w:left="320" w:top="70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No Profits or Significant Revenues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no history upon which to evaluate its performance and future prospects. The Company’s proposed operations are subject to all the business risks associated with new enterprises. These include likely fluctuations in operating results as the Company makes significant investments in research, development and product opportunities, and reacts to developments in its market, including purchasing patterns of customers, and the entry of competitors into the market. The Company will only be able to pay dividends on any shares once its directors determine that it is financially able to do so. The Company cannot make any assurance that it will be profitable in the next three years or generate sufficient revenues to pay dividends to the holders of the Common Shares.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Third Parties for Clinical Development Activities</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relies and will continue to rely on third parties to conduct a significant portion of its preclinical and clinical development activities. For example, clinical development activities include trial design, regulatory submissions, clinical patient recruitment, clinical trial monitoring, clinical data management and analysis, safety monitoring and project management. If there is any dispute or disruption in its relationship with third parties, or if it is unable to provide quality services in a timely manner and at a feasible cost, the Company’s active development programs will face delays. Further, if any of these third parties fails to perform as the Company expects or if their work fails to meet regulatory requirements, the Company’s testing could be delayed, cancelled or rendered ineffective.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Third Party Relationships</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intends to enter into strategic alliances with third parties that the Company believes will complement or augment its proposed business or will have a beneficial impact on the Company. Strategic alliances could present unforeseen integration obstacles or costs, may not enhance the Company’s business, and may involve risks that could adversely affect the Company,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the Company’s existing strategic alliances will continue to achieve, the expected benefits to the Company’s business or that the Company will be able to consummate future strategic alliances on satisfactory terms, or at all. Any of the foregoing could have a material adverse effect on the Company’s business, financial condition and results of operations.</w:t>
      </w:r>
    </w:p>
    <w:p>
      <w:pPr>
        <w:spacing w:after="0" w:line="19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the foregoing, the success of the Company’s business will depend, in large part, on the Company’s ability to enter into, and maintain collaborative arrangements with various participants in the psychedelic pharmaceutical industry. There can be no assurance that the Company will be able to enter into collaborative arrangements in the future on acceptable terms, if at all. There can be no assurance that such arrangements will be successful, that the parties with which the Company has or may establish arrangements will adequately or successfully perform their obligations under such arrangements, that potential partners will not compete with the Company by seeking or prioritizing alternate, competitor products. The termination or cancellation of any such collaborative arrangement or the failure of the Company and/or the other parties to these arrangements to fulfill their obligations could have a material adverse effect on the Company’s business, financial condition and results of operations. In addition, disagreements between the Company and any of its industry partners could lead to delays or time consuming and expensive legal proceedings, which could have a material adverse effect on the Company’s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Contract Manufacturers</w:t>
      </w:r>
    </w:p>
    <w:p>
      <w:pPr>
        <w:spacing w:after="0" w:line="230"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Company has limited manufacturing experience and relies on contract manufacturing organizations (“</w:t>
      </w:r>
      <w:r>
        <w:rPr>
          <w:rFonts w:ascii="Times New Roman" w:cs="Times New Roman" w:eastAsia="Times New Roman" w:hAnsi="Times New Roman"/>
          <w:sz w:val="18"/>
          <w:szCs w:val="18"/>
          <w:b w:val="1"/>
          <w:bCs w:val="1"/>
          <w:color w:val="auto"/>
        </w:rPr>
        <w:t>CMOs</w:t>
      </w:r>
      <w:r>
        <w:rPr>
          <w:rFonts w:ascii="Times New Roman" w:cs="Times New Roman" w:eastAsia="Times New Roman" w:hAnsi="Times New Roman"/>
          <w:sz w:val="18"/>
          <w:szCs w:val="18"/>
          <w:color w:val="auto"/>
        </w:rPr>
        <w:t>”) to manufacture its prescription drug product candidates for preclinical studies and clinical trials. The Company relies on CMOs for manufacturing, filling, packaging, storing and shipping of drug product in compliance with cGMP regulations applicable to its products. All applicable jurisdictions, including Health Canada, the FDA and the EMA, ensure the quality of food, drug products and dietary supplements by carefully monitoring drug manufacturers’ compliance with cGMP regulations. The cGMP regulations for drugs contain minimum requirements for the methods, facilities and controls used in manufacturing, processing and packing of a drug product. There can be no assurances that CMOs will be able to meet the Company’s timetable and requirements. The Company has not contracted with alternate suppliers for drug substance production in the event that the current provider is unable to scale up production,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60"/>
          </w:cols>
          <w:pgMar w:left="320" w:top="697" w:right="319" w:bottom="1440" w:gutter="0" w:footer="0" w:header="0"/>
        </w:sectPr>
      </w:pPr>
    </w:p>
    <w:bookmarkStart w:id="76" w:name="page77"/>
    <w:bookmarkEnd w:id="76"/>
    <w:p>
      <w:pPr>
        <w:jc w:val="both"/>
        <w:spacing w:after="0" w:line="256" w:lineRule="auto"/>
        <w:rPr>
          <w:sz w:val="20"/>
          <w:szCs w:val="20"/>
          <w:color w:val="auto"/>
        </w:rPr>
      </w:pPr>
      <w:r>
        <w:rPr>
          <w:rFonts w:ascii="Times New Roman" w:cs="Times New Roman" w:eastAsia="Times New Roman" w:hAnsi="Times New Roman"/>
          <w:sz w:val="18"/>
          <w:szCs w:val="18"/>
          <w:color w:val="auto"/>
        </w:rPr>
        <w:t>or if it otherwise experiences any other significant problems. If the Company is unable to arrange for alternative third-party manufacturing sources on commercially reasonable terms or in a timely manner, the Company may be delayed in the development of its prescription drug product candidates. Further, CMOs must operate in compliance with cGMP and ensure that their appropriate permits and licences remain in good standing and failure to do so could result in, among other things, the disruption of product supplies. The Company’s dependence upon third parties for the manufacture of its products may adversely affect its profit margins and its ability to develop and deliver products on a timely and competitive basis.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Safety and Efficacy of Products</w:t>
      </w:r>
    </w:p>
    <w:p>
      <w:pPr>
        <w:spacing w:after="0" w:line="23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the Company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trials.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Health Canada, the FDA, the EMA or other regulatory authorities, resulting in the Company being unable to derive any commercial revenue from them after investing significant amounts of capital in their development.</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7"/>
          <w:szCs w:val="17"/>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such product can be achieved. As with the results of any statistical sampling, the Company cannot be sure that all side effects of its products may be uncovered, and it may be the case that only with a significantly larger number of patients exposed to such product for a longer duration, may a more complete safety profile be identified. Further, even larger clinical trials may not identify rare serious adverse effects, or the duration of such studies may not be sufficient to identify when those events may occur. There have been products that have been approved by the regulatory authorities but for which safety concerns have been uncovered following approval. Such safety concerns have led to labelling changes or withdrawal of such products from the market, and the Company’s products may be subject to similar risks. The Company might have to withdraw or recall its products from the marketplace. The Company may also experience a significant drop in the potential future sales of its products if and when regulatory approvals for such products are obtained, experience harm to its reputation in the marketplace or become subject to lawsuits, including class actions. Any of these results could decrease or prevent any sales of the Company’s products, or substantially increase the costs and expenses of commercializing and marketing its products.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Testing and Commercializing Products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Before obtaining marketing approval from regulatory authorities for the sale of the Company’s prescription drug product candidates, it must conduct preclinical studies in animals and extensive clinical trials in humans to demonstrate the safety and efficacy of the prescription drug product candidates. Clinical testing is expensive and difficult to design and implement, can take many years to complete and has uncertain outcomes. The outcome of preclinical studies and early clinical trials may not predict the success of later clinical trials, and interim results of a clinical trial do not necessarily predict final results. A number of companies in the pharmaceutical and biotechnology industries have suffered significant setbacks in advanced clinical trials due to lack of efficacy or unacceptable safety profiles, notwithstanding promising results in earlier trails. The Company does not know whether the clinical trials it may conduct will demonstrate adequate efficacy and safety to result in regulatory approval to market any of its prescription drug product candidates in any jurisdiction. A prescription drug product candidate may fail for safety or efficacy reasons at any stage of the testing process. A major risk the Company faces is the possibility that none of its prescription drug product candidates under development will successfully gain market approval from the FDA, or other regulatory authorities, resulting in the Company being unable to derive any commercial revenue from this business segment after investing significant amounts of capital in its development.</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60"/>
          </w:cols>
          <w:pgMar w:left="320" w:top="701" w:right="319" w:bottom="1440" w:gutter="0" w:footer="0" w:header="0"/>
        </w:sectPr>
      </w:pPr>
    </w:p>
    <w:bookmarkStart w:id="77" w:name="page78"/>
    <w:bookmarkEnd w:id="77"/>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cannot predict whether any clinical trials will begin as planned, will need to be restructured, or will be completed on schedule, or at all. The Company’s product development costs will increase if it experiences delays in clinical testing. Significant clinical trial delays could shorten any periods during which the Company may have the exclusive right to commercialize its prescription drug product candidates or allow its competitors to bring products to market before the Company, which would impair the Company’s ability to successfully commercialize its prescription drug product candidates and may harm its financial condition, results of operations and prospects.</w:t>
      </w:r>
    </w:p>
    <w:p>
      <w:pPr>
        <w:spacing w:after="0" w:line="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18"/>
          <w:szCs w:val="18"/>
          <w:color w:val="auto"/>
        </w:rPr>
        <w:t>The commencement and completion of clinical trials for the Company’s prescription drug product candidates may be delayed for a number of reasons, including but not limited, to:</w:t>
      </w:r>
    </w:p>
    <w:p>
      <w:pPr>
        <w:spacing w:after="0" w:line="176" w:lineRule="exact"/>
        <w:rPr>
          <w:sz w:val="20"/>
          <w:szCs w:val="20"/>
          <w:color w:val="auto"/>
        </w:rPr>
      </w:pPr>
    </w:p>
    <w:p>
      <w:pPr>
        <w:ind w:left="560" w:hanging="272"/>
        <w:spacing w:after="0"/>
        <w:tabs>
          <w:tab w:leader="none" w:pos="56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failure by regulatory authorities to grant permission to proceed or placing clinical trials on hold;</w:t>
      </w:r>
    </w:p>
    <w:p>
      <w:pPr>
        <w:spacing w:after="0" w:line="26" w:lineRule="exact"/>
        <w:rPr>
          <w:rFonts w:ascii="Arial" w:cs="Arial" w:eastAsia="Arial" w:hAnsi="Arial"/>
          <w:sz w:val="18"/>
          <w:szCs w:val="18"/>
          <w:color w:val="auto"/>
        </w:rPr>
      </w:pPr>
    </w:p>
    <w:p>
      <w:pPr>
        <w:ind w:left="580" w:right="20" w:hanging="292"/>
        <w:spacing w:after="0" w:line="247" w:lineRule="auto"/>
        <w:tabs>
          <w:tab w:leader="none" w:pos="569"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suspension or termination of clinical trials by regulators for many reasons, including concerns about patient safety or failure of the Company’s CMOs to comply with cGMP requirements or latent defects in product quality;</w:t>
      </w:r>
    </w:p>
    <w:p>
      <w:pPr>
        <w:spacing w:after="0" w:line="1" w:lineRule="exact"/>
        <w:rPr>
          <w:rFonts w:ascii="Arial" w:cs="Arial" w:eastAsia="Arial" w:hAnsi="Arial"/>
          <w:sz w:val="18"/>
          <w:szCs w:val="18"/>
          <w:color w:val="auto"/>
        </w:rPr>
      </w:pPr>
    </w:p>
    <w:p>
      <w:pPr>
        <w:ind w:left="580" w:right="20" w:hanging="292"/>
        <w:spacing w:after="0" w:line="245" w:lineRule="auto"/>
        <w:tabs>
          <w:tab w:leader="none" w:pos="569"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any changes to the Company’s manufacturing process that may be necessary or desired, delays or failure to obtain clinical supply from CMOs of the Company’s products necessary to conduct clinical trials;</w:t>
      </w:r>
    </w:p>
    <w:p>
      <w:pPr>
        <w:spacing w:after="0" w:line="1" w:lineRule="exact"/>
        <w:rPr>
          <w:rFonts w:ascii="Arial" w:cs="Arial" w:eastAsia="Arial" w:hAnsi="Arial"/>
          <w:sz w:val="18"/>
          <w:szCs w:val="18"/>
          <w:color w:val="auto"/>
        </w:rPr>
      </w:pPr>
    </w:p>
    <w:p>
      <w:pPr>
        <w:ind w:left="580" w:hanging="292"/>
        <w:spacing w:after="0" w:line="245" w:lineRule="auto"/>
        <w:tabs>
          <w:tab w:leader="none" w:pos="569"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prescription drug product candidates demonstrating a lack of safety or efficacy during clinical trials, reports of clinical testing on similar technologies and products raising safety or efficacy concerns;</w:t>
      </w:r>
    </w:p>
    <w:p>
      <w:pPr>
        <w:spacing w:after="0" w:line="1" w:lineRule="exact"/>
        <w:rPr>
          <w:rFonts w:ascii="Arial" w:cs="Arial" w:eastAsia="Arial" w:hAnsi="Arial"/>
          <w:sz w:val="18"/>
          <w:szCs w:val="18"/>
          <w:color w:val="auto"/>
        </w:rPr>
      </w:pPr>
    </w:p>
    <w:p>
      <w:pPr>
        <w:jc w:val="both"/>
        <w:ind w:left="580" w:right="20" w:hanging="292"/>
        <w:spacing w:after="0" w:line="248" w:lineRule="auto"/>
        <w:tabs>
          <w:tab w:leader="none" w:pos="569"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clinical investigators not performing the Company’s clinical trials on their anticipated schedule, dropping out of a trial, or employing methods not consistent with the clinical trial protocol, regulatory requirements or other third parties not performing data collection and analysis in a timely or accurate manner;</w:t>
      </w:r>
    </w:p>
    <w:p>
      <w:pPr>
        <w:ind w:left="560" w:hanging="272"/>
        <w:spacing w:after="0"/>
        <w:tabs>
          <w:tab w:leader="none" w:pos="56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failure of the Company’s contract research organizations to satisfy their contractual duties or meet expected deadlines;</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inspections of clinical trial sites by regulatory authorities;</w:t>
      </w:r>
    </w:p>
    <w:p>
      <w:pPr>
        <w:spacing w:after="0" w:line="2" w:lineRule="exact"/>
        <w:rPr>
          <w:rFonts w:ascii="Arial" w:cs="Arial" w:eastAsia="Arial" w:hAnsi="Arial"/>
          <w:sz w:val="18"/>
          <w:szCs w:val="18"/>
          <w:color w:val="auto"/>
        </w:rPr>
      </w:pPr>
    </w:p>
    <w:p>
      <w:pPr>
        <w:ind w:left="580" w:right="20" w:hanging="292"/>
        <w:spacing w:after="0" w:line="249" w:lineRule="auto"/>
        <w:tabs>
          <w:tab w:leader="none" w:pos="569"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regulatory authorities or ethics committees finding regulatory violations that require the Company to undertake corrective action, resulting in suspension or termination of one or more sites or the imposition of a clinical hold on the entire study;</w:t>
      </w:r>
    </w:p>
    <w:p>
      <w:pPr>
        <w:ind w:left="580" w:right="20" w:hanging="292"/>
        <w:spacing w:after="0" w:line="245" w:lineRule="auto"/>
        <w:tabs>
          <w:tab w:leader="none" w:pos="569"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one or more regulatory authorities or ethics committees rejecting, suspending or terminating the study at an investigational site, precluding enrollment of additional subjects, or withdrawing its approval of the trial; or</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41"/>
        </w:numPr>
        <w:rPr>
          <w:rFonts w:ascii="Arial" w:cs="Arial" w:eastAsia="Arial" w:hAnsi="Arial"/>
          <w:sz w:val="18"/>
          <w:szCs w:val="18"/>
          <w:color w:val="auto"/>
        </w:rPr>
      </w:pPr>
      <w:r>
        <w:rPr>
          <w:rFonts w:ascii="Times New Roman" w:cs="Times New Roman" w:eastAsia="Times New Roman" w:hAnsi="Times New Roman"/>
          <w:sz w:val="18"/>
          <w:szCs w:val="18"/>
          <w:color w:val="auto"/>
        </w:rPr>
        <w:t>failure to reach agreement on acceptable terms with prospective clinical trial sites.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product development costs will increase if it experiences delays in testing or approval or if the Company needs to perform more or larger clinical trials than planned. Additionally, changes in regulatory requirements and policies may occur, and the Company may need to amend study protocols to reflect these changes. Amendments may require the Company to resubmit its study protocols to regulatory authorities or ethics committees for re-examination, which may impact the cost, timing or successful completion of that trial. Delays or increased product development costs may have a material adverse effect on the Company’s business, financial condition and prospects.</w:t>
      </w:r>
    </w:p>
    <w:p>
      <w:pPr>
        <w:spacing w:after="0" w:line="1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Prior to commencing clinical trials in Canada, the United States, the UK, the Netherlands, or other jurisdictions, for any prescription drug product candidates developed by the Company, it may be required to have an IND (or equivalent) for each prescription drug product candidate and to file additional INDs prior to initiating any additional clinical trials. The Company believes that the data from its studies will support the filing of additional INDs to enable the Company to undertake additional clinical studies as it has planned. However, submission of an IND (or equivalent) may not result in the FDA (or equivalent authorities) allowing further clinical trials to begin and, once begun, issues may arise that will require the Company to suspend or terminate such clinical trials.</w:t>
      </w:r>
    </w:p>
    <w:p>
      <w:pPr>
        <w:spacing w:after="0" w:line="195"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Additionally, even if relevant regulatory authorities agree with the design and implementation of the clinical trials set forth in an IND, these regulatory authorities may change their requirements in the future. Failure to submit or have effective INDs (or equivalent) and commence or continue clinical programs will significantly limit its opportunity to generate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Clinical Trials</w:t>
      </w:r>
    </w:p>
    <w:p>
      <w:pPr>
        <w:spacing w:after="0" w:line="221"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As the Company’s prescription drug product candidates advance from preclinical testing to clinical testing, and then through progressively larger and more complex clinical trials, the Company will need to enroll an increasing number of patients that meet its eligibility criteria. There is significant competition for recruiting patients in clinical trials, and</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60"/>
          </w:cols>
          <w:pgMar w:left="320" w:top="919" w:right="319" w:bottom="1440" w:gutter="0" w:footer="0" w:header="0"/>
        </w:sectPr>
      </w:pPr>
    </w:p>
    <w:bookmarkStart w:id="78" w:name="page79"/>
    <w:bookmarkEnd w:id="78"/>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may be unable to enroll the patients it needs to complete clinical trials on a timely basis or at all. The factors that affect the Company’s ability to enroll patients are largely uncontrollable and include, but are not limited to, the size and nature of the patient population, eligibility and exclusion criteria for the trial, design of the clinical trial, competition with other companies for clinical sites or patients, perceived risks and benefits of the prescription drug product candidate, and the number, availability, location and accessibility of clinical trial sites.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Grade Product Manufacturing</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prescription drug products will be manufactured in small quantities for preclinical studies and clinical trials by third party manufacturers. In order to commercialize its product, the Company needs to manufacture commercial quality drug supply for use in registration clinical trials. Most, if not all, of the clinical material used in phase III/pivotal/registration studies must be derived from the defined commercial process including scale, manufacturing site, process controls and batch size. If the Company has not scaled up and validated the commercial production of its product prior to the commencement of pivotal clinical trials, it may have to employ a bridging strategy during the trial to demonstrate equivalency of early-stage material to commercial drug product, or potentially delay the initiation or completion of the trial until drug supply is available. The manufacturing of commercial quality product may have long lead times, may be very expensive and requires significant efforts including, but not limited to, scale-up of production to anticipated commercial scale, process characterization and validation, analytical method validation, identification of critical process parameters and product quality attributes, and multiple process performance and validation runs. If the Company does not have commercial drug supply available when needed for pivotal clinical trials, the Company’s regulatory and commercial progress may be delayed, and it may incur increased product development costs. This may have a material adverse effect on the Company’s business, financial condition and prospects, and may delay marketing of the product.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Nature of Regulatory Approvals</w:t>
      </w:r>
    </w:p>
    <w:p>
      <w:pPr>
        <w:spacing w:after="0" w:line="22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development and commercialization activities and prescription drug product candidates are significantly regulated by a number of governmental entities, including Health Canada, the FDA and the EMA. Regulatory approvals are required prior to each clinical trial and the Company may fail to obtain the necessary approvals to commence or continue clinical testing. The Company must comply with regulations concerning the manufacture, testing, safety, effectiveness, labeling, documentation, advertising, and sale of products and prescription drug product candidates and ultimately must obtain regulatory approval before it can commercialize a prescription drug product candidate. The time required to obtain approval by such regulatory authorities is unpredictable but typically takes many years following the commencement of preclinical studies and clinical trials. Any analysis of data from clinical activities the Company performs is subject to confirmation and interpretation by regulatory authorities, which could delay, limit or prevent regulatory approval. Even if the Company believes results from its sponsored clinical trials are favorable to support the marketing of its prescription drug product candidates, Health Canada, the FDA, the EMA or other regulatory authorities may disagree. In addition, approval policies, regulations, or the type and amount of clinical data necessary to gain approval may change during the course of a prescription drug product candidate’s clinical development and may vary among jurisdictions.</w:t>
      </w:r>
    </w:p>
    <w:p>
      <w:pPr>
        <w:spacing w:after="0" w:line="19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not obtained regulatory approval for any prescription drug product candidate and it is possible that none of its existing prescription drug product candidates or any future prescription drug product candidates will ever obtain regulatory approval. The Company could fail to receive regulatory approval for its prescription drug product candidates for many reasons, including, but not limited to failure to demonstrate that a prescription drug product candidate is safe and effective for its proposed indication, failure of clinical trials to meet the level of statistical significance required for approval, failure to demonstrate that a prescription drug product candidate’s clinical and other benefits outweigh its safety risks, or deficiencies in the manufacturing processes or the failure of facilities of CMOs with whom the Company contracts for clinical and commercial supplies to pass a pre-approval inspection.</w:t>
      </w:r>
    </w:p>
    <w:p>
      <w:pPr>
        <w:spacing w:after="0" w:line="1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 regulatory authority may require more information, including additional preclinical or clinical data to support approval, which may delay or prevent approval and the Company’s commercialization plans, or the Company may decide to abandon the development program. If the Company were to obtain approval, regulatory authorities may approve any of its prescription drug product candidates for fewer or more limited indications than the Company request, may grant approval contingent on the performance of costly post-marketing clinical trials, or may approve a prescription drug product candidate with a label that does not include the labeling claims necessary or desirable for the successful commercialization of that prescription drug product candidate. Moreover, depending on any safety issues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60"/>
          </w:cols>
          <w:pgMar w:left="320" w:top="701" w:right="319" w:bottom="1440" w:gutter="0" w:footer="0" w:header="0"/>
        </w:sectPr>
      </w:pPr>
    </w:p>
    <w:bookmarkStart w:id="79" w:name="page80"/>
    <w:bookmarkEnd w:id="79"/>
    <w:p>
      <w:pPr>
        <w:jc w:val="both"/>
        <w:spacing w:after="0" w:line="282" w:lineRule="auto"/>
        <w:rPr>
          <w:sz w:val="20"/>
          <w:szCs w:val="20"/>
          <w:color w:val="auto"/>
        </w:rPr>
      </w:pPr>
      <w:r>
        <w:rPr>
          <w:rFonts w:ascii="Times New Roman" w:cs="Times New Roman" w:eastAsia="Times New Roman" w:hAnsi="Times New Roman"/>
          <w:sz w:val="18"/>
          <w:szCs w:val="18"/>
          <w:color w:val="auto"/>
        </w:rPr>
        <w:t>associated with the Company’s prescription drug product candidates that garner approval, Health Canada, the FDA, the EMA or other regulatory authorities may impose a risk evaluation and mitigation strategy, thereby imposing certain restrictions on the sale and marketability of such products.</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there are changes in the application of legislation, regulations or regulatory policies, or if problems are discovered with the Company products, or if one of its distributors, licensees or co-marketers fails to comply with regulatory requirements, the regulators could take various actions. These include imposing fines on the Company, imposing restrictions on the Company’s products or its manufacture and requiring the Company to recall or remove its products from the market. The regulators could also suspend or withdraw the Company’s Co-marketing authorizations, requiring it to conduct additional clinical trials, change its labeling or submit additional applications for marketing authorization. If any of these events occurs, the Company’s ability to sell its products may be impaired, and it may incur substantial additional expense to comply with regulatory requirements, which could materially adversely affect its business, financial condition and results of operations.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Unfavourable Publicity or Consumer Perception</w:t>
      </w:r>
    </w:p>
    <w:p>
      <w:pPr>
        <w:spacing w:after="0" w:line="22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believes the psychedelic pharmaceutical industry is highly dependent upon consumer perception regarding the safety, efficacy and quality of psychedelic pharmaceutical products. Consumer perception of the Company’s psychedelic pharmaceutical products can be significantly influenced by scientific research or findings, regulatory investigations, litigation, media attention and other publicity regarding the consumption of psychedelics. There can be no assurance that future scientific research, findings, regulatory proceedings, litigation, media attention or other research findings or publicity will be favourable to the psychedelic pharmaceutical industry or any particular product, or consistent with earlier publicity. Future research reports, findings, regulatory proceedings, litigation, media attention or other publicity that are perceived as less favourable than, or that question, earlier research reports, findings or publicity could have a material adverse effect on the demand for the Company’s psychedelic products and the business, results of operations, financial condition and cash flows of the Company. The Company’s dependence upon consumer perceptions means that adverse scientific research reports, findings, regulatory proceedings, litigation, media attention or other publicity, whether or not accurate or with merit, could have a material adverse effect on the Company, the demand for the Company’s psychedelic products, and the business, results of operations, financial condition and cash flows of the Company. Further, adverse publicity reports or other media attention regarding the safety, efficacy and quality of psychedelic products in general, or the Company’s psychedelic products and services specifically or associating the consumption of psychedelics with illness or other negative effects or events, could have such a material adverse effect. Such adverse publicity reports or other media attention could arise even if the adverse effects associated with such products resulted from consumers’ failure to consume such products legally, appropriately or as directed.</w:t>
      </w:r>
    </w:p>
    <w:p>
      <w:pPr>
        <w:spacing w:after="0" w:line="19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psilocybin industry is highly dependent upon consumer perception regarding the medical benefits, safety, efficacy and quality of the psilocybin distributed for medical purposes to such consumers. There can be no assurance that future scientific research or findings on the medical benefits, viability, safety, efficacy and dosing of psilocybin or isolated constituents, regulatory proceedings, litigation, media attention or other research findings or publicity will be favourable to the industry or the Company or any particular product, or consistent with earlier publicity.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Media</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has been a recent marked increase in the use of social media platforms and similar channels that provide individuals with access to a broad audience of consumers and other interested persons. The availability and impact of information on social media platforms is virtually immediate and many social media platforms publish user-generated content without filters or independent verification as to the accuracy of the content posted. Information posted about the Company may be adverse to the Company’s interests or may be inaccurate, each of which may harm the Company’s business, financial condition and results of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Biotechnology and Pharmaceutical Market Competition</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biotechnology and pharmaceutical industries are intensely competitive and subject to rapid and significant technological change. The Company’s competitors include large, well-established pharmaceutical companies, biotechnology companies, and academic and research institutions developing therapeutics for the same indications the Company is targeting and competitors with existing marketed therapies. Many other companies are developing or</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701" w:right="339" w:bottom="1440" w:gutter="0" w:footer="0" w:header="0"/>
        </w:sectPr>
      </w:pPr>
    </w:p>
    <w:bookmarkStart w:id="80" w:name="page81"/>
    <w:bookmarkEnd w:id="80"/>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commercializing therapies to treat the same diseases or indications for which the Company’s prescription drug product candidates may be useful. Although there are no approved therapies that specifically target opioid addiction, some competitors use therapeutic approaches that may compete directly with the Company’s prescription drug product candidates.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the Company’s competitors have substantially greater financial, technical and human resources than the Company does and have significantly greater experience than the Company in conducting preclinical testing and human clinical trials of product candidates, scaling up manufacturing operations and obtaining regulatory approvals of products. Accordingly, the Company’s competitors may succeed in obtaining regulatory approval for products more rapidly than the Company does. The Company’s ability to compete successfully will largely depend on:</w:t>
      </w:r>
    </w:p>
    <w:p>
      <w:pPr>
        <w:spacing w:after="0" w:line="177" w:lineRule="exact"/>
        <w:rPr>
          <w:sz w:val="20"/>
          <w:szCs w:val="20"/>
          <w:color w:val="auto"/>
        </w:rPr>
      </w:pPr>
    </w:p>
    <w:p>
      <w:pPr>
        <w:ind w:left="580" w:right="20" w:hanging="292"/>
        <w:spacing w:after="0" w:line="260" w:lineRule="auto"/>
        <w:tabs>
          <w:tab w:leader="none" w:pos="569"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efficacy and safety profile of its prescription drug product candidates relative to marketed products and other prescription drug product candidates in development;</w:t>
      </w:r>
    </w:p>
    <w:p>
      <w:pPr>
        <w:spacing w:after="0" w:line="1" w:lineRule="exact"/>
        <w:rPr>
          <w:rFonts w:ascii="Arial" w:cs="Arial" w:eastAsia="Arial" w:hAnsi="Arial"/>
          <w:sz w:val="18"/>
          <w:szCs w:val="18"/>
          <w:color w:val="auto"/>
        </w:rPr>
      </w:pPr>
    </w:p>
    <w:p>
      <w:pPr>
        <w:ind w:left="560" w:hanging="272"/>
        <w:spacing w:after="0"/>
        <w:tabs>
          <w:tab w:leader="none" w:pos="56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develop and maintain a competitive position in the product categories and technologies on which it focuses;</w:t>
      </w:r>
    </w:p>
    <w:p>
      <w:pPr>
        <w:spacing w:after="0" w:line="4" w:lineRule="exact"/>
        <w:rPr>
          <w:rFonts w:ascii="Arial" w:cs="Arial" w:eastAsia="Arial" w:hAnsi="Arial"/>
          <w:sz w:val="18"/>
          <w:szCs w:val="18"/>
          <w:color w:val="auto"/>
        </w:rPr>
      </w:pPr>
    </w:p>
    <w:p>
      <w:pPr>
        <w:ind w:left="560" w:hanging="272"/>
        <w:spacing w:after="0"/>
        <w:tabs>
          <w:tab w:leader="none" w:pos="56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time it takes for the Company’s prescription drug product candidates to complete clinical development and receive marketing approval;</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obtain required regulatory approvals;</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commercialize any of its prescription drug product candidates that receive regulatory approval;</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the Company’s ability to establish, maintain and protect intellectual property rights related to its prescription drug product candidates; and</w:t>
      </w:r>
    </w:p>
    <w:p>
      <w:pPr>
        <w:spacing w:after="0" w:line="2" w:lineRule="exact"/>
        <w:rPr>
          <w:rFonts w:ascii="Arial" w:cs="Arial" w:eastAsia="Arial" w:hAnsi="Arial"/>
          <w:sz w:val="18"/>
          <w:szCs w:val="18"/>
          <w:color w:val="auto"/>
        </w:rPr>
      </w:pPr>
    </w:p>
    <w:p>
      <w:pPr>
        <w:ind w:left="580" w:right="20" w:hanging="292"/>
        <w:spacing w:after="0" w:line="258" w:lineRule="auto"/>
        <w:tabs>
          <w:tab w:leader="none" w:pos="569" w:val="left"/>
        </w:tabs>
        <w:numPr>
          <w:ilvl w:val="0"/>
          <w:numId w:val="42"/>
        </w:numPr>
        <w:rPr>
          <w:rFonts w:ascii="Arial" w:cs="Arial" w:eastAsia="Arial" w:hAnsi="Arial"/>
          <w:sz w:val="18"/>
          <w:szCs w:val="18"/>
          <w:color w:val="auto"/>
        </w:rPr>
      </w:pPr>
      <w:r>
        <w:rPr>
          <w:rFonts w:ascii="Times New Roman" w:cs="Times New Roman" w:eastAsia="Times New Roman" w:hAnsi="Times New Roman"/>
          <w:sz w:val="18"/>
          <w:szCs w:val="18"/>
          <w:color w:val="auto"/>
        </w:rPr>
        <w:t>acceptance of any of the Company’s prescription drug product candidates that receive regulatory approval by physicians and other healthcare providers and payers.</w:t>
      </w:r>
    </w:p>
    <w:p>
      <w:pPr>
        <w:spacing w:after="0" w:line="189"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Competitors have developed and may develop technologies that could be the basis for products that challenge the discovery research capabilities of prescription drug product candidates the Company is developing. Some of those products may have an entirely different approach or means of accomplishing the desired therapeutic effect than the Company’s prescription drug product candidates and may be more effective or less costly than its prescription drug product candidates. The success of the Company’s competitors and their products and technologies relative to the Company’s technological capabilities and competitiveness could have a material adverse effect on the future preclinical studies and clinical trials of the Company’s prescription drug product candidates, including its ability to obtain the necessary regulatory approvals for the conduct of such clinical trials. This may further negatively impact the Company’s ability to generate future product development programs using psychedelic inspired compounds.</w:t>
      </w:r>
    </w:p>
    <w:p>
      <w:pPr>
        <w:spacing w:after="0" w:line="3"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If the Company is not able to compete effectively against its current and future competitors, the Company’s business will not grow, and its financial condition and operations will substantially suffer.</w:t>
      </w:r>
    </w:p>
    <w:p>
      <w:pPr>
        <w:spacing w:after="0" w:line="19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Further, there can be no assurance that potential competitors of the Company, which may have greater financial, cultivation, production, sales and marketing experience, and personnel and resources than the Company, are not currently developing, or will not in the future develop, products and strategies that are equally or more effective and/or economical as any products or strategies developed by the Company or which would otherwise render the Company’s business, products and strategies, as applicable, ineffective, or obsolete. Increased competition by larger and better financed competitors could materially and adversely affect the business, financial condition and results of operations of the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Executives and Scientists</w:t>
      </w:r>
    </w:p>
    <w:p>
      <w:pPr>
        <w:spacing w:after="0" w:line="23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loss of key members of the Company’s staff, could harm the Company. The Company does not have employment agreements with all members of its staff, although such employment agreements do not guarantee their retention. The Company also depends on its scientific and clinical collaborators and advisors, all of whom have outside commitments that may limit their availability to the Company. In addition, the Company believes that its future success will depend in large part upon its ability to attract and retain highly skilled scientific, managerial, medical, manufacturing, clinical and regulatory personnel, particularly as the Company expands its activities and seeks regulatory approvals for clinical trials. The Company enters into agreements with its scientific and clinical collaborators and advisors, key opinion leaders and academic partners in the ordinary course of its business. The Company also enters into agreements with physicians and institutions who will recruit patients into the Company’s clinical trials on its behalf in the ordinary course of its business. Notwithstanding these arrangements, the Company faces significant competition for these types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60"/>
          </w:cols>
          <w:pgMar w:left="320" w:top="701" w:right="319" w:bottom="1440" w:gutter="0" w:footer="0" w:header="0"/>
        </w:sectPr>
      </w:pPr>
    </w:p>
    <w:bookmarkStart w:id="81" w:name="page82"/>
    <w:bookmarkEnd w:id="81"/>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of personnel from other companies, research and academic institutions, government entities and other organizations. The Company cannot predict its success in hiring or retaining the personnel it requires for continued growth. The loss of the services of any of the Company’s executive officers or other key personnel could potentially harm its business, operating results or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Misconduct</w:t>
      </w:r>
    </w:p>
    <w:p>
      <w:pPr>
        <w:spacing w:after="0" w:line="234"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18"/>
          <w:szCs w:val="18"/>
          <w:color w:val="auto"/>
        </w:rPr>
        <w:t>Notwithstanding having established an insider trading policy and code of ethics and business conduct (see the AIF for further details), the Company is exposed to the risk of employee fraud or other misconduct. Misconduct by employees could include failures to comply with Health Canada, the FDA and/or the EMA regulations, provide accurate information to Health Canada, the FDA and/or the EMA, comply with manufacturing standards the Company has established, comply with federal and provincial healthcare fraud and abuse laws and regulations, report financial information or data accurately or disclose unauthorized activities to the Company.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the Company’s reputation. If any such actions are instituted against the Company, and the Company is not successful in defending itself or asserting its rights, those actions could have a substantial impact on the Company’s business and results of operations, including the imposition of substantial fines or other sanctions.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Expansion and Growth</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in the future seek to expand its pipeline and capabilities by acquiring one or more companies or businesses, entering into collaborations, or in-licensing one or more prescription drug product candidates. Acquisitions, collaborations and in-licences involve numerous risks, including, but not limited to substantial cash expenditures, technology development risks, potentially dilutive issuances of equity securities, incurrence of debt and contingent liabilities, some of which may be difficult or impossible to identify at the time of acquisition, difficulties in assimilating the operations of the acquired companies, entering markets in which the Company has limited or no direct experience, and potential loss of the Company’s key employees or key employees of the acquired companies or businesses.</w:t>
      </w:r>
    </w:p>
    <w:p>
      <w:pPr>
        <w:spacing w:after="0" w:line="18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has experience in making acquisitions, entering collaborations and in-licensing prescription drug product candidates; however, the Company cannot provide assurance that any acquisition, collaboration or in-licence will result in short-term or long-term benefits to it. The Company may incorrectly judge the value or worth of an acquired company or business or in-licensed prescription drug product candidate. In addition, the Company’s future success would depend in part on its ability to manage the rapid growth associated with some of these acquisitions, collaborations and in-licences. The Company cannot provide assurance that it would be able to successfully combine its business with that of acquired businesses, manage a collaboration or integrate in-licensed prescription drug product candidates. Furthermore, the development or expansion of the Company’s business may require a substantial capital investment by the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Results of External Clinical Trials or Studies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studies or clinical trials on various aspects of biopharmaceutical products are conducted by academic researchers, competitors or others. The results of these studies or trials, when published, may have a significant effect on the market for the biopharmaceutical product that is the subject of the study. The publication of negative results of studies or clinical trials or adverse safety events related to the Company’s prescription drug product candidates, or the therapeutic areas in which the Company’s prescription drug product candidates compete, could adversely affect its share price and the Company’s ability to finance future development of its prescription drug product candidates, and its business and financial results could be materially and adversely affected.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w:t>
      </w:r>
    </w:p>
    <w:p>
      <w:pPr>
        <w:spacing w:after="0" w:line="2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currently does not carry any product liability insurance coverage. Even though the Company is not aware of any product liability claims at this time, its business exposes itself to potential product liability, recalls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60"/>
          </w:cols>
          <w:pgMar w:left="320" w:top="701" w:right="319" w:bottom="1440" w:gutter="0" w:footer="0" w:header="0"/>
        </w:sectPr>
      </w:pPr>
    </w:p>
    <w:bookmarkStart w:id="82" w:name="page83"/>
    <w:bookmarkEnd w:id="82"/>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other liability risks that are inherent in the sale of consumer products. The Company can provide no assurance that such potential claims will not be asserted against it. A successful liability claim or series of claims brought against the Company could have a material adverse effect on its business, financial condition and results of operations.</w:t>
      </w:r>
    </w:p>
    <w:p>
      <w:pPr>
        <w:spacing w:after="0" w:line="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Although the Company intends to obtain adequate product liability insurance, it cannot provide any assurances that it will be able to obtain or maintain adequate product liability insurance of on acceptable terms, if at all, or that such insurance will provide adequate coverage against potential liabilities. Claims or losses in excess of any product liability cover that may be obtained by the Company could have a material adverse effect on its business, financial conditional and results of operations.</w:t>
      </w:r>
    </w:p>
    <w:p>
      <w:pPr>
        <w:spacing w:after="0" w:line="184"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Some of the Company’s agreements with third parties might require it to maintain product liability insurance. If the Company cannot obtain acceptable amounts of coverage on commercially reasonable terms in accordance with the terms set forth in these agreements, the corresponding agreements would be subject to termination, which could have a material adverse impact on its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Enforcing Contracts</w:t>
      </w:r>
    </w:p>
    <w:p>
      <w:pPr>
        <w:spacing w:after="0" w:line="23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Due to the nature of the business of the Company and the fact that certain of its contracts involve psilocybin, the use of which is not legal under Canadian or U.S. federal law and in certain other jurisdictions, the Company may face difficulties in enforcing its contracts in Canadian or U.S. federal and state courts. The inability to enforce any of its contracts could have a material adverse effect on its business, operating results, financial condition or prospects.</w:t>
      </w:r>
    </w:p>
    <w:p>
      <w:pPr>
        <w:spacing w:after="0" w:line="176"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7"/>
          <w:szCs w:val="17"/>
          <w:color w:val="auto"/>
        </w:rPr>
        <w:t>In order to manage its contracts with contractors, the Company will ensure that such contractors are appropriately licensed. Were such contractors to operate outside the terms of these licences, the Company may experience an adverse effect on its business, including the pace of development of its product.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Recalls</w:t>
      </w:r>
    </w:p>
    <w:p>
      <w:pPr>
        <w:spacing w:after="0" w:line="22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Manufacturers, producers and distributors of products are sometimes subject to the recall or return of their products for a variety of reasons, including product defects, such as contamination, unintended harmful side effects or interactions with other substances, packaging safety and inadequate or inaccurate labelling disclosure. If any of the Company’s products are recalled due to an alleged product defect or for any other reason, the Company could be required to incur the unexpected expense of the recall and any legal proceedings that might arise in connection with the recall. The Company may lose a significant amount of sales and may not be able to replace those sales at an acceptable margin or at all. In addition, a product recall may require significant management attention.</w:t>
      </w:r>
    </w:p>
    <w:p>
      <w:pPr>
        <w:spacing w:after="0" w:line="166"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Although the Company’s suppliers have detailed procedures in place for testing its products, there can be no assurance that any quality, potency or contamination problems will be detected in time to avoid unforeseen product recalls, regulatory action or lawsuits. Additionally, if the Company is subject to recall, the image of the Company could be harmed. A recall for any of the foregoing reasons could lead to decreased demand for the Company’s products and could have a material adverse effect on the results of operations and financial condition of the Company. Additionally, product recalls may lead to increased scrutiny of the Company’s operations by regulatory agencies, requiring further management attention, potential loss of applicable licences and potential legal fees and other expenses.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 Interruption</w:t>
      </w:r>
    </w:p>
    <w:p>
      <w:pPr>
        <w:spacing w:after="0" w:line="2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is susceptible to risks relating to distributor and supply chain interruptions. Distribution in Canada and other jurisdictions will be largely accomplished through independent contractors, therefore, an interruption (e.g., a labour strike) for any length of time affecting such independent contractors may have a significant impact on the Company’s ability to sell its products. Supply chain interruptions, including a production or inventory disruption, could impact product quality and availability. Inherent to producing products is a potential for shortages or surpluses in future years if demand and supply are materially different from long-term forecasts. The Company monitors category trends and regularly reviews maturing inventory levels.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Difficulty to Forecast</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must rely largely on its own market research to forecast sales as detailed forecasts are not generally obtainable from other sources at this early stage of the psychedelic pharmaceutical industry. A failure in the demand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60"/>
          </w:cols>
          <w:pgMar w:left="320" w:top="701" w:right="319" w:bottom="1440" w:gutter="0" w:footer="0" w:header="0"/>
        </w:sectPr>
      </w:pPr>
    </w:p>
    <w:bookmarkStart w:id="83" w:name="page84"/>
    <w:bookmarkEnd w:id="83"/>
    <w:p>
      <w:pPr>
        <w:jc w:val="both"/>
        <w:spacing w:after="0" w:line="282" w:lineRule="auto"/>
        <w:rPr>
          <w:sz w:val="20"/>
          <w:szCs w:val="20"/>
          <w:color w:val="auto"/>
        </w:rPr>
      </w:pPr>
      <w:r>
        <w:rPr>
          <w:rFonts w:ascii="Times New Roman" w:cs="Times New Roman" w:eastAsia="Times New Roman" w:hAnsi="Times New Roman"/>
          <w:sz w:val="18"/>
          <w:szCs w:val="18"/>
          <w:color w:val="auto"/>
        </w:rPr>
        <w:t>for the Company’s psychedelic pharmaceutical industry products to materialize as a result of competition, technological change or other factors could have a material adverse effect on the business, results of operations and financial condition of the Company.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Promoting the Brand</w:t>
      </w:r>
    </w:p>
    <w:p>
      <w:pPr>
        <w:spacing w:after="0" w:line="234"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Promoting the Company’s brand will be critical to creating and expanding a customer base. Promoting the brand will depend largely on the Company’s ability to provide psychedelic pharmaceutical products to the market. Further, the Company may, in the future, introduce new products or services that its customers do not like, which may negatively affect the brand and reputation. If the Company fails to successfully promote its brand or if it incurs excessive expenses in this effort, its business and financial results from operations could be materially adversely affected.</w:t>
      </w:r>
    </w:p>
    <w:p>
      <w:pPr>
        <w:spacing w:after="0" w:line="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there are changes in the applicable regulatory framework governing the promotion, branding and marketing of the Company’s products, the Company’s ability to promote and sell its products may be impaired, and it may incur substantial additional expense to comply with regulatory requirements, which could materially adversely affect its business, financial condition and 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Viability</w:t>
      </w:r>
    </w:p>
    <w:p>
      <w:pPr>
        <w:spacing w:after="0" w:line="23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7"/>
          <w:szCs w:val="17"/>
          <w:color w:val="auto"/>
        </w:rPr>
        <w:t>If the Company’s psychedelic pharmaceutical products are not perceived to have the effects intended by the end user, the Company’s business may suffer. In general, psychedelic pharmaceutical products have minimal long-term data with respect to efficacy, unknown side effects and/or interaction with individual human biochemistry or other supplements or medications. As a result, the Company’s psychedelic pharmaceutical products could have certain side effects if not used as directed or if taken by an end user that has certain known or unknown medical conditions. Further, the Company’s business involves the growing of an agricultural product and is subject to the risks inherent in the agricultural business, such as insects, plant diseases and similar agricultural risks.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Success of Quality Control Systems</w:t>
      </w:r>
    </w:p>
    <w:p>
      <w:pPr>
        <w:spacing w:after="0" w:line="2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quality and safety of the Company’s products are critical to the success of its business and operations. As such, it is imperative that the Company (and its service providers’) quality control systems operate effectively and successfully. Quality control systems can be negatively impacted by the design of the quality control systems, the quality of training programs and adherence by employees to quality control guidelines. Any significant failure or deterioration of such quality control systems could have a material adverse effect on the Company’s business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Reliance on Key Inputs</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Company’s business is expected to be dependent on a number of key inputs and their related costs including raw materials and supplies. Any significant interruption or negative change in the availability or economics of the supply chain for key inputs could materially impact the business, financial condition and operating results of the Company. Examples of potential risks include, but are not limited to, the risk that crops may become diseased or victim to insects or other pests and contamination, or subject to extreme weather conditions such as excess rainfall, freezing temperature, or drought, all of which could result in low crop yields, decreased availability of mushrooms, and higher acquisition prices. Any inability to secure required supplies and services or to do so on appropriate terms could have a materially adverse impact on the business, financial condition and operating results of the Company.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Arising from Fraudulent or Illegal Activity</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is exposed to the risk that its employees, independent contractors, consultants, service providers and licensors may engage in fraudulent or other illegal activity. Misconduct by these parties could include intentional undertakings of unauthorized activities, or reckless or negligent undertakings of authorized activities, in each case on the Company’s behalf or in its service that violate (i) various laws and regulations, including healthcare laws and regulations, (ii) laws that require the true, complete and accurate reporting of financial information or data, (iii) the terms of the Company’s agreements with third parties. Such misconduct could expose the Company to, among other things, class actions and other litigation, increased regulatory inspections and related sanctions, and lost sales and revenue or reputational damage.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60"/>
          </w:cols>
          <w:pgMar w:left="320" w:top="701" w:right="319" w:bottom="1440" w:gutter="0" w:footer="0" w:header="0"/>
        </w:sectPr>
      </w:pPr>
    </w:p>
    <w:bookmarkStart w:id="84" w:name="page85"/>
    <w:bookmarkEnd w:id="84"/>
    <w:p>
      <w:pPr>
        <w:jc w:val="both"/>
        <w:spacing w:after="0" w:line="268" w:lineRule="auto"/>
        <w:rPr>
          <w:sz w:val="20"/>
          <w:szCs w:val="20"/>
          <w:color w:val="auto"/>
        </w:rPr>
      </w:pPr>
      <w:r>
        <w:rPr>
          <w:rFonts w:ascii="Times New Roman" w:cs="Times New Roman" w:eastAsia="Times New Roman" w:hAnsi="Times New Roman"/>
          <w:sz w:val="17"/>
          <w:szCs w:val="17"/>
          <w:color w:val="auto"/>
        </w:rPr>
        <w:t>The precautions taken by the Company to detect and prevent this activity may not be effective in controlling unknown or unmanaged risks or losses or in protecting the Company from governmental investigations or other actions or lawsuits stemming from a failure to be in compliance with such laws or regulations. Such misconduct may result in legal action, significant fines or other sanctions and could result in loss of any regulatory licence held by the Company at such time. The Company may be subject to security breaches at its facilities or in respect of electronic document or data storage, which could lead to breaches of applicable privacy laws and associated sanctions or civil or criminal penalties; events, including those beyond the control of the Company, may damage its operations. In addition, these events may negatively affect customers’ demand for the Company’s products. Such events include, but are not limited to, non-performance by third party contractors; increases in materials or labour costs; breakdown or failure of equipment; failure of quality control processes; contractor or operator errors; and major incidents and/or catastrophic events such as fires, explosions, earthquakes or storms. As a result, there is a risk that the Company may not have the capacity to meet customer demand or to meet future demand when it arises. Failure to comply with health and safety laws and regulations may result in additional costs for corrective measures, penalties or in restrictions on the Company’s manufacturing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Risk and Insurance Coverage</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has directors and officers insurance to protect its assets, operations and employees. The Company’s insurance is subject to coverage limits and exclusions and may not be available for the risks and hazards to which the Company is expected to be exposed. In addition, no assurance can be given that such insurance will be adequate to cover the Company’s liabilities or will be generally available in the future, or if available, that premiums will be commercially justifiable. If the Company were to incur substantial liability and such damages were not covered by insurance or were in excess of policy limits, or if the Company were to incur such liability at a time when it is not able to obtain liability insurance, its business, results of operations and financial condition could be materially adversely affected.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Operating as Public Company</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the Company will incur significant legal, accounting and other expenses. As a public company, the Company is subject to various securities rules and regulations, which impose various requirements on the Company, including the requirement to establish and maintain effective disclosure and financial controls and corporate governance practices. The Company’s management and other personnel need to devote a substantial amount of time to these compliance initiatives. Moreover, these rules and regulations will increase the Company’s legal and financial compliance costs and make some activities more time-consuming and costly.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of Growth</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be subject to growth-related risks, including capacity constraints and pressure on its internal systems and controls. The ability of the Company to manage growth effectively will require it to continue to implement and improve its operational and financial systems and to expand, train and manage its employee base. The inability of the Company to deal with this growth may have a material adverse effect on the Company’s business, financial condition, results of operations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may be subject to various potential conflicts of interest because of the fact that some of its officers and directors may be engaged in a range of business activities. The Company’s executive officers and directors may devote time to their outside business interests, so long as such activities do not materially or adversely interfere with their duties to the Company. In some cases, the Company’s executive officers and directors may have fiduciary obligations associated with these business interests that interfere with their ability to devote time to the Company’s business and affairs and that could adversely affect the Company’s operations. These outside business interests could require significant time and attention of the Company’s executive officers and directors.</w:t>
      </w:r>
    </w:p>
    <w:p>
      <w:pPr>
        <w:spacing w:after="0" w:line="182"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 addition, the Company may also become involved in other transactions which conflict with the interests of its directors and the officers who may from time-to-time deal with persons, firms, institutions or companies with which the Company may be dealing, or which may be seeking investments similar to those desired by it. The interests of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60"/>
          </w:cols>
          <w:pgMar w:left="320" w:top="701" w:right="319" w:bottom="1440" w:gutter="0" w:footer="0" w:header="0"/>
        </w:sectPr>
      </w:pPr>
    </w:p>
    <w:bookmarkStart w:id="85" w:name="page86"/>
    <w:bookmarkEnd w:id="8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persons could conflict with those of the Company, and from time to time, these persons may be competing with the Company for available investment opportunities.</w:t>
      </w:r>
    </w:p>
    <w:p>
      <w:pPr>
        <w:spacing w:after="0" w:line="156"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Conflicts of interest, if any, will be subject to the procedures and remedies provided under applicable laws. In particular, in the event that such a conflict of interest arises at a meeting of the Company’s directors, a director who has such a conflict will abstain from voting for or against the approval of such participation or such terms. In accordance with applicable laws, the Board is required to act honestly, in good faith and in the best interests of the Company.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Operations</w:t>
      </w:r>
    </w:p>
    <w:p>
      <w:pPr>
        <w:spacing w:after="0" w:line="23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 addition to operations carried out in Canada, the Company intends to carry out international operations through an office in Ireland. As a result, the Company may be subject to political, economic and other uncertainties, including, but not limited to, cancellation or modification of contract rights, foreign exchange restrictions, currency fluctuations, export quotas, royalty and tax increases and other risks arising out of foreign governmental sovereignty over the areas in which the Company’s operations are conducted, as well as risks of loss due to civil strife, acts of war, guerrilla activities and insurrections.</w:t>
      </w:r>
    </w:p>
    <w:p>
      <w:pPr>
        <w:spacing w:after="0" w:line="177"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international operations may also be adversely affected by laws and policies of Canada affecting foreign trade, taxation and investment. In the event of a dispute arising in connection with its foreign operations, the Company may be subject to the exclusive jurisdiction of foreign courts or may not be successful in subjecting foreign persons to the jurisdiction of courts in Canada or enforcing Canadian judgments in foreign jurisdictions.</w:t>
      </w:r>
    </w:p>
    <w:p>
      <w:pPr>
        <w:spacing w:after="0" w:line="18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Similarly, to the extent that the Company’s assets are located outside of Canada, investors may have difficulty collecting from the Company any judgments obtained in the Canadian courts and predicated on the civil liability provisions of securities laws. Consequently, investors may be effectively prevented from pursuing remedies against the Company under Canadian securities laws or otherwise. The Company may also be hindered or prevented from enforcing its rights with respect to a governmental entity or instrumentality because of the doctrine of sovereign immunity.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and Privacy Risk</w:t>
      </w:r>
    </w:p>
    <w:p>
      <w:pPr>
        <w:spacing w:after="0" w:line="23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information systems and any third-party service providers and vendors are vulnerable to an increasing threat of continually evolving cybersecurity risks. These risks may take the form of malware, computer viruses, cyber threats, extortion, employee error, malfeasance, system errors or other types of risks, and may occur from inside or outside of the respective organizations. Cybersecurity risk is increasingly difficult to identify and quantify and cannot be fully mitigated because of the rapid evolving nature of the threats, targets and consequences. Additionally, unauthorized parties may attempt to gain access to these systems through fraud or other means of deceiving third-party service providers, employees or vendors. The Company’s operations depend, in part, on how well networks, equipment, IT systems and software are protected against damage from a number of threats. These operations also depend on the timely maintenance, upgrade and replacement of networks, equipment, IT systems and software, as well as pre-emptive expenses to mitigate the risks of failures. However, if the Company is unable or delayed in maintaining, upgrading or replacing IT systems and software, the risk of a cybersecurity incident could materially increase. Any of these and other events could result in information system failures, delays and/or increases in capital expenses. The failure of information systems or a component of information systems could, depending on the nature of any such failure, adversely impact the Company’s reputation and results of operations.</w:t>
      </w:r>
    </w:p>
    <w:p>
      <w:pPr>
        <w:spacing w:after="0" w:line="187"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collect and store certain personal information about customers and are responsible for protecting such information from privacy breaches. A privacy breach may occur through procedural or process failure, information technology malfunction, or deliberate unauthorized intrusions. In addition, theft of data is an ongoing risk whether perpetrated via employee collusion or negligence or through deliberate cyber-attack. Any such privacy breach or theft could have a material adverse effect on the Company’s business, financial condition and results of operations.</w:t>
      </w:r>
    </w:p>
    <w:p>
      <w:pPr>
        <w:spacing w:after="0" w:line="2"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18"/>
          <w:szCs w:val="18"/>
          <w:color w:val="auto"/>
        </w:rPr>
        <w:t xml:space="preserve">In addition, there are a number of laws protecting the confidentiality of certain patient health information, including patient records, and restricting the use and disclosure of that protected information. In particular, the privacy rules under the </w:t>
      </w:r>
      <w:r>
        <w:rPr>
          <w:rFonts w:ascii="Times New Roman" w:cs="Times New Roman" w:eastAsia="Times New Roman" w:hAnsi="Times New Roman"/>
          <w:sz w:val="18"/>
          <w:szCs w:val="18"/>
          <w:i w:val="1"/>
          <w:iCs w:val="1"/>
          <w:color w:val="auto"/>
        </w:rPr>
        <w:t>Personal Information Protection and Electronics Documents Act</w:t>
      </w:r>
      <w:r>
        <w:rPr>
          <w:rFonts w:ascii="Times New Roman" w:cs="Times New Roman" w:eastAsia="Times New Roman" w:hAnsi="Times New Roman"/>
          <w:sz w:val="18"/>
          <w:szCs w:val="18"/>
          <w:color w:val="auto"/>
        </w:rPr>
        <w:t xml:space="preserve"> (Canada) (“</w:t>
      </w:r>
      <w:r>
        <w:rPr>
          <w:rFonts w:ascii="Times New Roman" w:cs="Times New Roman" w:eastAsia="Times New Roman" w:hAnsi="Times New Roman"/>
          <w:sz w:val="18"/>
          <w:szCs w:val="18"/>
          <w:b w:val="1"/>
          <w:bCs w:val="1"/>
          <w:color w:val="auto"/>
        </w:rPr>
        <w:t>PIPEDA</w:t>
      </w:r>
      <w:r>
        <w:rPr>
          <w:rFonts w:ascii="Times New Roman" w:cs="Times New Roman" w:eastAsia="Times New Roman" w:hAnsi="Times New Roman"/>
          <w:sz w:val="18"/>
          <w:szCs w:val="18"/>
          <w:color w:val="auto"/>
        </w:rPr>
        <w:t>”) and where applicable, provincial legislation governing personal health information, protect medical records and other personal health information by limited their use and disclosure of health information to the minimum level reasonably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60"/>
          </w:cols>
          <w:pgMar w:left="320" w:top="701" w:right="319" w:bottom="1440" w:gutter="0" w:footer="0" w:header="0"/>
        </w:sectPr>
      </w:pPr>
    </w:p>
    <w:bookmarkStart w:id="86" w:name="page87"/>
    <w:bookmarkEnd w:id="86"/>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necessary to accomplish the intended purpose. If the Company were found to be in violation of the privacy or security rules under PIPEDA or other laws protecting the confidentiality of medical patients health information, the Company could be subject to sanctions and civil or criminal penalties, which could increase its liabilities, harm its reputation and have a material adverse effect on the Company’s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Regulation and Risks</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Company’s operations are subject to environmental regulations that mandate, among other things, the maintenance of air and water quality standards and land reclamation. They also set forth limitations on the generation, transportation, storage and disposal of solid and hazardous waste. Environmental legislation is evolving in a manner which could stricter standards and enforcement, increased fines and penalties for non-compliance, more stringent environmental assessments of proposed projects and a heightened degree of responsibility for companies and their officers, directors and employees. There is no assurance that future changes in environmental regulation, if any, will not adversely affect the Company’s operations.</w:t>
      </w:r>
    </w:p>
    <w:p>
      <w:pPr>
        <w:spacing w:after="0" w:line="19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Failure to comply with applicable laws, regulations and permitting requirements may result in enforcement actions thereunder, including orders issued by regulatory or judicial authorities causing operations to cease or be curtailed, and may include corrective measures requiring capital expenditures, installation of additional equipment, or remedial actions. The Company may be required to compensate those suffering loss or damage by reason of its operations and may have civil or criminal fines or penalties imposed for violations of applicable laws or regulations.</w:t>
      </w:r>
    </w:p>
    <w:p>
      <w:pPr>
        <w:spacing w:after="0" w:line="19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Amendments to current laws, regulations and permits governing psychedelics and related products, or more stringent implementation thereof, could have a material adverse impact on the Company and cause increases in expenses, capital expenditures or production costs or reduction in levels of production or require abandonment or delays in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Decriminalisation of Psychedelics</w:t>
      </w:r>
    </w:p>
    <w:p>
      <w:pPr>
        <w:spacing w:after="0" w:line="221"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Despite the current status of many psychotropic substances as a Schedule II and Schedule I controlled substances in the United States and Canada, respectively, there may be changes in the status of some of these substances under the laws of certain jurisdictions. Possession of psilocybin, for example, was voted to be decriminalised in May 2019 in Denver and in November 2020, voters in Oregon approved the legal medical use of “psilocybin products,” including magic mushrooms, to treat mental health conditions in licensed facilities with registered therapists (Measure 109). The legalization of psychedelics with inadequate regulatory oversight may lead to the development of psychotropic tourism in such states in clinics without proper therapeutic infrastructure or adequate clinical research. The expansion of such an industry which could put patients at risk may bring reputational and regulatory risk to the entire industry, leading to challenges for the Company to achieve regulatory approval. The legalization of psilocybin, and potentially other psychotropic compounds in the future may also impact commercial sales for the Company due to a reduced barrier to entry leading to a risk of increasing competition.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 may prove to be inaccurate</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Investors should not place undue reliance on forward-looking statements. By their nature, forward-looking statements involve numerous assumptions, known and unknown risks and uncertainties, of both general and specific nature, that could cause actual results to differ materially from those suggested by the forward-looking statements or contribute to the possibility that predictions, forecasts or projections will prove to be materially inaccurate.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234"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Global markets have recently experienced increased rates of inflation. Inflation itself, as well as certain governmental efforts to combat inflation, may have significant negative effects on any economy which the Company does business. Past governmental efforts to curb inflation have involved certain drastic economic measures, which had a materially adverse impact on the level of economic activity in these countries. Any future economic measures to curb inflation could be expected to have similar adverse effects on the level of economic activity in the market which the Company does business and, in turn, on the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60"/>
          </w:cols>
          <w:pgMar w:left="320" w:top="701"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i w:val="1"/>
          <w:iCs w:val="1"/>
          <w:color w:val="auto"/>
        </w:rPr>
        <w:t>Political and Economic Conditions</w:t>
      </w:r>
    </w:p>
    <w:p>
      <w:pPr>
        <w:spacing w:after="0" w:line="23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Political and economic conditions directly affect the Company’s business and can result in a material adverse effect on the Company. Macroeconomic policies imposed by foreign governments could have significant impact on the Company. As certain global markets experience increased inflation, certain government actions to control inflation may have significant impact on the Company.</w:t>
      </w:r>
    </w:p>
    <w:p>
      <w:pPr>
        <w:spacing w:after="0" w:line="188"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 cannot control or predict foreign government implementation of changes to existing policies that may impact the Company’s operations in foreign markets and, consequently, its business. The Company’s business, operating results and financial condition and prospects, as well as the market price of its securities, may be adversely affected by changes in government public policies, whether federal, state or local, that affect, without limitation:</w:t>
      </w:r>
    </w:p>
    <w:p>
      <w:pPr>
        <w:spacing w:after="0" w:line="176" w:lineRule="exact"/>
        <w:rPr>
          <w:sz w:val="20"/>
          <w:szCs w:val="20"/>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inflation;</w:t>
      </w:r>
    </w:p>
    <w:p>
      <w:pPr>
        <w:spacing w:after="0" w:line="26"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fluctuations in exchange rates;</w:t>
      </w:r>
    </w:p>
    <w:p>
      <w:pPr>
        <w:spacing w:after="0" w:line="10"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exchange controls and restrictions on remittances abroad;</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interest rates and monetary policies;</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import and export controls;</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liquidity of domestic capital, credit and financial markets;</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expansion or contraction of foreign economies, as measured by rates of growth in gross domestic product;</w:t>
      </w:r>
    </w:p>
    <w:p>
      <w:pPr>
        <w:spacing w:after="0" w:line="2"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fiscal policies; and</w:t>
      </w:r>
    </w:p>
    <w:p>
      <w:pPr>
        <w:spacing w:after="0" w:line="6" w:lineRule="exact"/>
        <w:rPr>
          <w:rFonts w:ascii="Arial" w:cs="Arial" w:eastAsia="Arial" w:hAnsi="Arial"/>
          <w:sz w:val="18"/>
          <w:szCs w:val="18"/>
          <w:color w:val="auto"/>
        </w:rPr>
      </w:pPr>
    </w:p>
    <w:p>
      <w:pPr>
        <w:ind w:left="560" w:hanging="272"/>
        <w:spacing w:after="0"/>
        <w:tabs>
          <w:tab w:leader="none" w:pos="560" w:val="left"/>
        </w:tabs>
        <w:numPr>
          <w:ilvl w:val="0"/>
          <w:numId w:val="43"/>
        </w:numPr>
        <w:rPr>
          <w:rFonts w:ascii="Arial" w:cs="Arial" w:eastAsia="Arial" w:hAnsi="Arial"/>
          <w:sz w:val="18"/>
          <w:szCs w:val="18"/>
          <w:color w:val="auto"/>
        </w:rPr>
      </w:pPr>
      <w:r>
        <w:rPr>
          <w:rFonts w:ascii="Times New Roman" w:cs="Times New Roman" w:eastAsia="Times New Roman" w:hAnsi="Times New Roman"/>
          <w:sz w:val="18"/>
          <w:szCs w:val="18"/>
          <w:color w:val="auto"/>
        </w:rPr>
        <w:t>other political, social and economic developments in or affecting foreign markets.</w:t>
      </w:r>
    </w:p>
    <w:p>
      <w:pPr>
        <w:spacing w:after="0" w:line="213"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Government policies and measures to combat inflation, along with public speculation about such policies and measures, have often had adverse effects on global economies, have contributed to economic uncertainty and may increase volatility in foreign securities markets. Government action to control inflation may involve actions such as price and salary controls, currency devaluations, capital limitations, limits on imports and other actions which could significantly impact the operations of the Company.</w:t>
      </w:r>
    </w:p>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policies and measures adopted by governments, include interest rate adjustments, intervention in the currency markets or actions to adjust or fix the value of the local currency may adversely affect the target market’s economy, the Company’s business and results of operations.</w:t>
      </w:r>
    </w:p>
    <w:p>
      <w:pPr>
        <w:spacing w:after="0" w:line="156"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Uncertainty over whether federal governments will implement reforms or changes in policy or regulation affecting these or other factors in the future may affect economic performance and contribute to economic uncertainty in markets that the Company operates or relies on, which may in turn have adverse effects on the Company’s operations in the market and consequently on the results of its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Application and Interpretation of Tax Laws</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Company is subject to direct and indirect taxes in various foreign jurisdictions. The amount of tax that the Company pays, directly or indirectly, is subject to the interpretation of applicable tax laws in the jurisdictions of operations in which the Company has interests. The Company has taken and will continue to take tax positions based on the application and interpretation of tax laws, but tax accounting often involves complex matters and judgment is required in determining the Company’s foreign provisions for taxes and other tax liabilities. There can be no assurance that a taxing authority will not have a different interpretation of the law and assess the Company, or the operations in which the Company has interests, with additional taxes. Further, the Company’s future effective tax rates could be impacted by changes in tax laws or regulations, and changing interpretation of existing laws or regulations. Both domestic and international tax laws, and interpretation of the tax laws, are subject to change as a result of changes in fiscal policy, changes in legislation, evolution of regulation and court rulings. The application of these tax laws and related regulations is subject to legal and factual interpretation, judgment and uncertainty.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Enforcement of Civil Liabilities</w:t>
      </w:r>
    </w:p>
    <w:p>
      <w:pPr>
        <w:spacing w:after="0" w:line="234"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7"/>
          <w:szCs w:val="17"/>
          <w:color w:val="auto"/>
        </w:rPr>
        <w:t>Certain of the Company’s subsidiaries and assets are located outside of Canada. Accordingly, it may be difficult for investors to enforce within Canada any judgments obtained against the Company, including judgments predicated upon the civil liability provisions of applicable Canadian securities laws or otherwise. Consequently, investors may be effectively prevented from pursuing remedies against the Company under Canadian securities laws or otherwise.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60"/>
          </w:cols>
          <w:pgMar w:left="320" w:top="697" w:right="319" w:bottom="1440" w:gutter="0" w:footer="0" w:header="0"/>
        </w:sectPr>
      </w:pPr>
    </w:p>
    <w:bookmarkStart w:id="88" w:name="page89"/>
    <w:bookmarkEnd w:id="88"/>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Company has subsidiaries incorporated in the United States and Ireland. It may not be possible for shareholders to effect service of process outside of Canada against the directors and officers of the Company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and Ireland. Courts in such jurisdictions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Trademark Protection</w:t>
      </w:r>
    </w:p>
    <w:p>
      <w:pPr>
        <w:spacing w:after="0" w:line="209"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Failure to register trademarks for the Company or its products could require the Company to rebrand its products resulting in a material adverse impact on its business.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Secrets</w:t>
      </w:r>
    </w:p>
    <w:p>
      <w:pPr>
        <w:spacing w:after="0" w:line="19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relies on third parties to develop its products and, as a result, must share trade secrets with them. The Company seeks to protect its proprietary technology in part by entering into confidentiality agreements and, if applicable, material transfer agreements, collaborative research agreements, consulting agreements or other similar agreements with its collaborators, advisors, employees and consultants prior to beginning research or disclosing proprietary information. These agreements typically restrict the ability of the Company’s collaborators, advisors, employees and consultants to publish data potentially relating to its trade secrets. Its academic and clinical collaborators typically have rights to publish data, provided that the Company is notified in advance and may delay publication for a specified time in order to secure any intellectual property rights arising from the collaboration. In other cases, publication rights are controlled exclusively by the Company, although in some cases the Company may share these rights with other parties. The Company may also conduct joint research and development programs which may require it to share trade secrets under the terms of research and development collaboration or similar agreements. Despite the Company’s efforts to protect its trade secrets, the Company’s competitors may discover its trade secrets, either through breach of these agreements, independent development or publication of information. A competitor’s discovery of the Company’s trade secrets may impair its competitive position and could have a material adverse effect on its business and financial condition.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Law Reform</w:t>
      </w:r>
    </w:p>
    <w:p>
      <w:pPr>
        <w:spacing w:after="0" w:line="20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is the case with other biotechnology and pharmaceutical companies, the Company’s success is heavily dependent on intellectual property rights, particularly patents. Obtaining and enforcing patents in the biopharmaceutical industry is a technologically and legally complex process, and obtaining and enforcing biopharmaceutical patents is costly, time consuming and inherently uncertain. Recent patent reform legislation could increase the uncertainties and costs surrounding the prosecution of the Company’s and its licensors’ or collaborators’ patent applications and the enforcement or defense of the Company or its licensors’ or collaborators’ issued patents.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Patent Litigation and Intellectual Property</w:t>
      </w:r>
    </w:p>
    <w:p>
      <w:pPr>
        <w:spacing w:after="0" w:line="197"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Company has filed a number of provisional patent applications but even if regular patent applications are filed claiming priority to one or more of the provisional patent applications, there can be no assurance that any or all of these patent applications will issue into a valid patent. Such failure to issue could have a material adverse effect on the Company. In the event that a patent issued to the Company is challenged, any of the Company’s patents may be invalidated. The Company could also become involved in interference or impeachment proceedings in connection with one or more of its patents or patent applications to determine priority of invention.</w:t>
      </w:r>
    </w:p>
    <w:p>
      <w:pPr>
        <w:spacing w:after="0" w:line="15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Patent litigation is widespread in the pharmaceutical industry and the Company cannot predict how this will affect its efforts to form strategic alliances, conduct clinical testing, or manufacture and market any of its prescription drug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60"/>
          </w:cols>
          <w:pgMar w:left="320" w:top="701" w:right="319" w:bottom="1440" w:gutter="0" w:footer="0" w:header="0"/>
        </w:sectPr>
      </w:pPr>
    </w:p>
    <w:bookmarkStart w:id="89" w:name="page90"/>
    <w:bookmarkEnd w:id="89"/>
    <w:p>
      <w:pPr>
        <w:jc w:val="both"/>
        <w:spacing w:after="0" w:line="250" w:lineRule="auto"/>
        <w:rPr>
          <w:sz w:val="20"/>
          <w:szCs w:val="20"/>
          <w:color w:val="auto"/>
        </w:rPr>
      </w:pPr>
      <w:r>
        <w:rPr>
          <w:rFonts w:ascii="Times New Roman" w:cs="Times New Roman" w:eastAsia="Times New Roman" w:hAnsi="Times New Roman"/>
          <w:sz w:val="18"/>
          <w:szCs w:val="18"/>
          <w:color w:val="auto"/>
        </w:rPr>
        <w:t>product candidates that it may successfully develop. If the Company becomes involved in any litigation, interference, impeachment or other administrative proceedings, it will likely incur substantial expenses and the efforts of its technical and management personnel will be significantly diverted. The Company cannot make any assurances that it will have the financial or other resources necessary to enforce or defend a patent infringement or proprietary rights violation action. Moreover, if the Company’s products infringe patents, trademarks or proprietary rights of others, it could, in certain circumstances, become liable for substantial damages, which also could have a material adverse effect on the business of the Company, its financial condition and results of operation. Patent litigation is less likely during development as many jurisdictions contain exemptions from patent infringement for the purpose of obtaining regulatory approval of a product. Where there is any sharing of patent rights either through co-ownership or different licensed “fields of use”, one owner’s actions could lead to the invalidity of the entire patent. If the Company is unable to avoid infringing the patent rights of others, the Company may be required to seek a licence, defend an infringement action or challenge the validity of the patents in court. Such results could have a material adverse effect on the Company. Regardless of the outcome, patent litigation is costly and time consuming. In some cases, the Company may not have sufficient resources to bring these actions to a successful conclusion, and, even if the Company is successful in these proceedings, it may incur substantial costs and divert management time and attention in pursuing these proceedings, which could have a material adverse effect on the Company.</w:t>
      </w:r>
    </w:p>
    <w:p>
      <w:pPr>
        <w:spacing w:after="0" w:line="166"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Any infringement or misappropriation of the Company’s intellectual property could damage its value and limit its ability to compete. In addition, the Company’s ability to enforce and protect its intellectual property rights may be limited in certain countries outside the U.S., which could make it easier for competitors to capture market position in such countries by utilizing technologies that are similar to those developed or licensed by the Company. Competitors may also harm the Company’s sales by designing products that mirror the capabilities of its products or technology without infringing on its intellectual property rights. If the Company does not obtain sufficient protection for its intellectual property, or if it is unable to effectively enforce its intellectual property rights, its competitiveness could be impaired, which would limit its growth and future revenue. The Company may also find it necessary to bring infringement or other actions against third parties to seek to protect its intellectual property rights. Litigation of this nature, even if successful, is often expensive and time- consuming to prosecute and there can be no assurance that the Company will have the financial or other resources to enforce its rights or be able to enforce its rights or prevent other parties from developing similar technology or designing around its intellectual property.</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not aware of any infringement by it of any person’s or entity’s intellectual property rights. In the event that products sold by the Company are deemed to infringe upon the patents or proprietary rights of others, the Company could be required to modify its products or obtain a licence for the manufacture and/or sale of such products or cease selling such products. In such event, there can be no assurance that the Company would be able to do so in a timely manner, upon acceptable terms and conditions, or at all, and the failure to do any of the foregoing could have a material adverse effect upon the Company’s business. If the Company’s products or proposed products are deemed to infringe or likely to infringe upon the patents or proprietary rights of others, the Company could be subject to injunctive relief and, under certain circumstances, become liable for damages, which could also have a material adverse effect on the Company’s business and its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Protection of Intellectual Property</w:t>
      </w:r>
    </w:p>
    <w:p>
      <w:pPr>
        <w:spacing w:after="0" w:line="197" w:lineRule="exact"/>
        <w:rPr>
          <w:sz w:val="20"/>
          <w:szCs w:val="20"/>
          <w:color w:val="auto"/>
        </w:rPr>
      </w:pPr>
    </w:p>
    <w:p>
      <w:pPr>
        <w:jc w:val="both"/>
        <w:ind w:right="20"/>
        <w:spacing w:after="0" w:line="267" w:lineRule="auto"/>
        <w:rPr>
          <w:sz w:val="20"/>
          <w:szCs w:val="20"/>
          <w:color w:val="auto"/>
        </w:rPr>
      </w:pPr>
      <w:r>
        <w:rPr>
          <w:rFonts w:ascii="Times New Roman" w:cs="Times New Roman" w:eastAsia="Times New Roman" w:hAnsi="Times New Roman"/>
          <w:sz w:val="18"/>
          <w:szCs w:val="18"/>
          <w:color w:val="auto"/>
        </w:rPr>
        <w:t>The Company will be able to protect its intellectual property from unauthorized use by third parties only to the extent that the Company’s proprietary technologies, key products and any future products are covered by valid and enforceable intellectual property rights including patents or are effectively maintained as trade secrets and provided the Company has the funds to enforce its rights, if necessary.</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Third-Party Licences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substantial number of patents have already been issued to other biotechnology and pharmaceutical companies. To the extent that valid third-party patent rights cover the Company’s products or services, the Company or its strategic collaborators would be required to seek licences from the holders of these patents in order to manufacture, use or sell these products and services and payments under them would reduce the Company’s profits from these products and services. The Company is currently unable to predict the extent to which it may wish or be required to acquire rights under such patents, the availability and cost of acquiring such rights and whether a licence to such patents will be available on acceptable terms or at all. There may be patents in the U.S. or in foreign countries or patents issued in the future that are unavailable to licence on acceptable terms. The Company’s inability to obtain such licences may hinder or eliminate its ability to manufacture and market its products.</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60"/>
          </w:cols>
          <w:pgMar w:left="320" w:top="701" w:right="319" w:bottom="1440" w:gutter="0" w:footer="0" w:header="0"/>
        </w:sectPr>
      </w:pPr>
    </w:p>
    <w:bookmarkStart w:id="90" w:name="page91"/>
    <w:bookmarkEnd w:id="90"/>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Further, if the Company obtains third-party licences but fails to pay annual maintenance fees, development and sales milestones, or it is determined that the Company does not use commercially reasonable efforts to commercialize licensed products, the Company could lose its licences which could have a material adverse effect on its business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Accounting Risks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Number of Authorized but Unissued Common Shares</w:t>
      </w:r>
    </w:p>
    <w:p>
      <w:pPr>
        <w:spacing w:after="0" w:line="221"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Company has an unlimited number of Common Shares that may be issued by the Company board without further action or approval of the Shareholders. While the Company board will be required to fulfill its fiduciary obligations in connection with the issuance of such Common Shares, the Common Shares may be issued in transactions with which not all of the shareholders of the Company agree, and the issuance of such Common Shares will cause dilution to the ownership interests of the shareholders of the Company.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Dilution</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Company may issue additional Common Shares in subsequent offerings (including through the sale of securities convertible into or exchangeable for Common Shares) and on the exercise of stock options or other securities exercisable for Common Shares. The Company cannot predict the size of future issuances of Common Shares or the effect that future issuances and sales of Common Shares will have on the market price of the Common Shares. Issuances of a substantial number of additional Common Shares, or the perception that such issuances could occur, may adversely affect prevailing market prices for the Common Shares. With any additional issuance of Common Shares, investors will suffer dilution to their voting power and the Company may experience dilution in its earnings per share.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Negative Cash Flow from Operating Activities and Going Concern</w:t>
      </w:r>
    </w:p>
    <w:p>
      <w:pPr>
        <w:spacing w:after="0" w:line="2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had negative cash flow from operating activities since inception. Drug development involves long lead times, is very expensive and involves many variables of uncertainty. As such, significant capital investment will be required to achieve the Company’s existing plans. The Company’s net losses have had and will continue to have an adverse effect on, among other things, shareholder equity, total assets and working capital. The Company expects that losses may fluctuate from quarter to quarter and year to year, and that such fluctuations may be substantial based on the stage of development of its principal programs. The Company cannot predict when it will become profitable, if at all. Accordingly, the Company may be required to obtain additional financing in order to meet its future cash commitments.</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 xml:space="preserve">The threat of the Company’s ability </w:t>
      </w:r>
      <w:r>
        <w:rPr>
          <w:rFonts w:ascii="Times New Roman" w:cs="Times New Roman" w:eastAsia="Times New Roman" w:hAnsi="Times New Roman"/>
          <w:sz w:val="18"/>
          <w:szCs w:val="18"/>
          <w:color w:val="auto"/>
        </w:rPr>
        <w:t>to</w:t>
      </w:r>
      <w:r>
        <w:rPr>
          <w:rFonts w:ascii="Times New Roman" w:cs="Times New Roman" w:eastAsia="Times New Roman" w:hAnsi="Times New Roman"/>
          <w:sz w:val="17"/>
          <w:szCs w:val="17"/>
          <w:color w:val="auto"/>
        </w:rPr>
        <w:t xml:space="preserve"> continue as a going concern will be removed only when, in the opinion of the Company’s auditor, the Company’s revenues have reached a level that is able to sustain its business operations. If the Company is unable to obtain additional financing from outside sources and eventually generate enough revenues, the Company may be forced to sell a portion or all of the Company’s assets, or curtail or discontinue the Company’s operations. If any of these events happen, shareholders could lose all or part of their investment. The Company’s financial statements do not include any adjustments to the Company’s recorded assets or liabilities that might be necessary if the Company becomes unable to continue as a going concern.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Capital Requirements</w:t>
      </w:r>
    </w:p>
    <w:p>
      <w:pPr>
        <w:spacing w:after="0" w:line="221"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As a research and development company, the Company expects to spend substantial funds to continue the research, development and testing of its prescription drug product candidates and to prepare to commercialize products subject to applicable regulatory approval. Substantial additional financing may be required if the Company is to be successful in continuing to develop its business and its products. No assurances can be given that the Company will be able to raise the additional capital that it may require for its anticipated future development. Any additional equity financing may be dilutive to investors and debt financing, if available, may involve restrictions on financing and operating activities. There is no assurance that additional financing will be available on terms acceptable to the Company, if at all. If the Company is unable to obtain additional financing as needed, it may be required to reduce the scope of its operations or anticipated expansion. The Company’s ability to successfully raise additional capital and maintain liquidity may by impaired by factors outside of its control, such as a shift in consumer attitudes towards certain therapeutic methods or a downturn in the economy.</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60"/>
          </w:cols>
          <w:pgMar w:left="320" w:top="701"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i w:val="1"/>
          <w:iCs w:val="1"/>
          <w:color w:val="auto"/>
        </w:rPr>
        <w:t>Lack of Significant Product Revenue</w:t>
      </w:r>
    </w:p>
    <w:p>
      <w:pPr>
        <w:spacing w:after="0" w:line="2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date, the Company has generated little product revenue and cannot predict when and if it will generate significant product revenue. The Company’s ability to generate significant product revenue and ultimately become profitable depends upon its ability, alone or with partners, to successfully develop its prescription drug product candidates, obtain regulatory approval and commercialize products, including any of its current prescription drug product candidates or other prescription drug product candidates that it may develop, in-license or acquire in the future. The Company does not anticipate generating revenue from the sale of products for the foreseeable future. The Company expects its research and development expenses to increase in connection with its ongoing activities, particularly as it advances its prescription drug product candidates through clinical trials.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Estimates or Judgments Relating to Critical Accounting Policies</w:t>
      </w:r>
    </w:p>
    <w:p>
      <w:pPr>
        <w:spacing w:after="0" w:line="23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the International Financial Reporting Standards requires management to make estimates and assumptions that affect the amounts reported in the Company's financial statements and accompanying notes. The Company bases its estimates on historical experience and on various other assumptions that it believes to be reasonable under the circumstances, as provided in the notes to the financial statements of the Company, the results of which form the basis for making judgments about the carrying values of assets, liabilities, equity, revenue and expenses that are not readily apparent from other sources. The Company’s operating results may be adversely affected if the assumptions change or if actual circumstances differ from those in the assumptions, which could cause its operating results to fall below the expectations of securities analysts and investors, resulting in a decline in the share price of the Company. Significant assumptions and estimates used in preparing the Company's financial statements include those related to income tax credits receivable, share based payments, impairment of non-financial assets, fair value of biological assets, as well as cost recognition.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Inadequate Internal Controls</w:t>
      </w:r>
    </w:p>
    <w:p>
      <w:pPr>
        <w:spacing w:after="0" w:line="221"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If the Company fails to maintain an effective system of internal controls, the Company might not be able to report its financial results accurately or prevent misstatement; and in that case, the Company’s shareholders could lose confidence in its financial reporting, which would harm its business and could negatively impact the value of its shares. While the Company believes that it has sufficient personnel and review procedures to allow it to maintain an effective system of internal controls, there can be no assurance that the Company will always successfully detect misstatements or implement necessary improvements in a timely fashion.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Common Shares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for the Common Shares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can be no assurance that an active trading market for the Common Shares will develop or, if developed, that any market will be sustained. The Company cannot predict the prices at which the Common Shares will trade. Fluctuations in the market price of the Common Shares could cause an investor to lose all or part of its investment in Common Shares. Factors that could cause fluctuations in the trading price of the Common Shares include: (i) announcements of new offerings, products, services or technologies; commercial relationships, acquisitions or other events by the Company or its competitors; (ii) price and volume fluctuations in the overall stock market from time to time; (iii) significant volatility in the market price and trading volume of companies commercializing psychedelic pharmaceuticals; (iv) fluctuations in the trading volume of the Common Shares or the size of the Company’s public float; (v) actual or anticipated changes or fluctuations in the Company’s results of operations; (vi) whether the Company’s results of operations meet the expectations of securities analysts or investors; (vii) actual or anticipated changes in the expectations of investors or securities analysts; (viii) litigation involving the Company, its industry, or both; (ix) regulatory developments; (x) general economic conditions and trends; (xi) major catastrophic events; (xii) escrow releases, sales of large blocks of the Common Shares; (xiii) departures of key employees or members of management; or (xiv) an adverse impact on the Company from any of the other risks cited herein.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Sales of the Common Shares</w:t>
      </w:r>
    </w:p>
    <w:p>
      <w:pPr>
        <w:spacing w:after="0" w:line="2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Although Common Shares held by existing shareholders of the Company will be freely tradable under applicable securities legislation, the Common Shares held by the Company’s directors, executive officers, Control persons and</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60"/>
          </w:cols>
          <w:pgMar w:left="320" w:top="697" w:right="319" w:bottom="1440" w:gutter="0" w:footer="0" w:header="0"/>
        </w:sectPr>
      </w:pPr>
    </w:p>
    <w:bookmarkStart w:id="92" w:name="page93"/>
    <w:bookmarkEnd w:id="92"/>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certain other securityholders may be subject to contractual lock-up restrictions and may also be subject to escrow restrictions pursuant to the policies of the Exchange. Sales of a substantial number of the Common Shares in the public market after the expiry of lock-up or escrow restrictions, or the perception that these sales could occur, could adversely affect the market price of the Common Shares and may make it more difficult for investors to sell Common Shares at a favourable time and price.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Volatile Market Price for the Common Shares</w:t>
      </w:r>
    </w:p>
    <w:p>
      <w:pPr>
        <w:spacing w:after="0" w:line="1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Company. The value of the Common Shares distributed hereunder will be affected by such volatility.</w:t>
      </w:r>
    </w:p>
    <w:p>
      <w:pPr>
        <w:spacing w:after="0" w:line="157" w:lineRule="exact"/>
        <w:rPr>
          <w:sz w:val="20"/>
          <w:szCs w:val="20"/>
          <w:color w:val="auto"/>
        </w:rPr>
      </w:pPr>
    </w:p>
    <w:p>
      <w:pPr>
        <w:jc w:val="both"/>
        <w:ind w:right="20"/>
        <w:spacing w:after="0" w:line="251" w:lineRule="auto"/>
        <w:rPr>
          <w:sz w:val="20"/>
          <w:szCs w:val="20"/>
          <w:color w:val="auto"/>
        </w:rPr>
      </w:pPr>
      <w:r>
        <w:rPr>
          <w:rFonts w:ascii="Times New Roman" w:cs="Times New Roman" w:eastAsia="Times New Roman" w:hAnsi="Times New Roman"/>
          <w:sz w:val="18"/>
          <w:szCs w:val="18"/>
          <w:color w:val="auto"/>
        </w:rPr>
        <w:t>The volatility of the Common Shares may affect the ability of holders to sell the Common Shares at an advantageous price or at all. Market price fluctuations in the Common Shares may be adversely affected by a variety of factors relating to the Company’s business, including fluctuations in the Company’s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Company or its competitors, along with a variety of additional factors, including, without limitation, those set forth under the heading “Cautionary Note Regarding Forward-Looking Information”. In addition, the market price for securities on stock markets, including the Exchange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Company.</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Additionally, the value of the Common Shares is subject to market value fluctuations based upon factors that influence the Company’s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Company’s performance.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Issues</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may be income tax consequences in relation to the Common Shares, which will vary according to circumstances. Independent advice from tax and legal advisers should be obtained.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 Dividends</w:t>
      </w:r>
    </w:p>
    <w:p>
      <w:pPr>
        <w:spacing w:after="0" w:line="19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7"/>
          <w:szCs w:val="17"/>
          <w:color w:val="auto"/>
        </w:rPr>
        <w:t>The Company’s current policy is, and will be, to retain earnings to finance the development and enhancement of its products and to otherwise reinvest in the Company. Therefore, the Company does not anticipate paying cash dividends on the Common Shares in the foreseeable future. The Company’s dividend policy will be reviewed from time to time by the Board in the context of its earnings, financial condition and other relevant factors. Until the time that the Company does pay dividends, which it might never do, its shareholders will not be able to receive a return on their Common Shares unless they sell them.</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Additional information on the Company has been filed electronically through SEDAR and is available online at </w:t>
      </w:r>
      <w:r>
        <w:rPr>
          <w:rFonts w:ascii="Times New Roman" w:cs="Times New Roman" w:eastAsia="Times New Roman" w:hAnsi="Times New Roman"/>
          <w:sz w:val="18"/>
          <w:szCs w:val="18"/>
          <w:i w:val="1"/>
          <w:iCs w:val="1"/>
          <w:u w:val="single" w:color="auto"/>
          <w:color w:val="0563C1"/>
        </w:rPr>
        <w:t>www.sedar.com</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has approved the disclosure in this MD&amp;A.</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60"/>
          </w:cols>
          <w:pgMar w:left="320" w:top="701" w:right="31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jc w:val="center"/>
        <w:spacing w:after="0" w:line="221" w:lineRule="auto"/>
        <w:rPr>
          <w:sz w:val="20"/>
          <w:szCs w:val="20"/>
          <w:color w:val="auto"/>
        </w:rPr>
      </w:pPr>
      <w:r>
        <w:rPr>
          <w:rFonts w:ascii="Times New Roman" w:cs="Times New Roman" w:eastAsia="Times New Roman" w:hAnsi="Times New Roman"/>
          <w:sz w:val="16"/>
          <w:szCs w:val="16"/>
          <w:b w:val="1"/>
          <w:bCs w:val="1"/>
          <w:color w:val="auto"/>
        </w:rPr>
        <w:t>CERTIFICATION OF INTERIM FILINGS</w:t>
      </w:r>
    </w:p>
    <w:p>
      <w:pPr>
        <w:ind w:left="4840"/>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Greg Cavers, as Chief Financial Officer of Cybin Inc., certify the following:</w:t>
      </w:r>
    </w:p>
    <w:p>
      <w:pPr>
        <w:spacing w:after="0" w:line="164" w:lineRule="exact"/>
        <w:rPr>
          <w:sz w:val="20"/>
          <w:szCs w:val="20"/>
          <w:color w:val="auto"/>
        </w:rPr>
      </w:pPr>
    </w:p>
    <w:p>
      <w:pPr>
        <w:ind w:left="580" w:hanging="292"/>
        <w:spacing w:after="0" w:line="260" w:lineRule="auto"/>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2022.</w:t>
      </w:r>
    </w:p>
    <w:p>
      <w:pPr>
        <w:spacing w:after="0" w:line="147"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internal control over financial reporting (ICFR), as those terms are defined in National Instrument 52-109 Certification of Disclosure in Issuers’ Annual and Interim Filings, for the issuer.</w:t>
      </w:r>
    </w:p>
    <w:p>
      <w:pPr>
        <w:spacing w:after="0" w:line="162" w:lineRule="exact"/>
        <w:rPr>
          <w:rFonts w:ascii="Times New Roman" w:cs="Times New Roman" w:eastAsia="Times New Roman" w:hAnsi="Times New Roman"/>
          <w:sz w:val="16"/>
          <w:szCs w:val="16"/>
          <w:color w:val="auto"/>
        </w:rPr>
      </w:pPr>
    </w:p>
    <w:p>
      <w:pPr>
        <w:ind w:left="580" w:hanging="292"/>
        <w:spacing w:after="0" w:line="244" w:lineRule="auto"/>
        <w:tabs>
          <w:tab w:leader="none" w:pos="5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the interim filings</w:t>
      </w:r>
    </w:p>
    <w:p>
      <w:pPr>
        <w:spacing w:after="0" w:line="175"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191"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79"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0"/>
        <w:spacing w:after="0" w:line="255" w:lineRule="auto"/>
        <w:tabs>
          <w:tab w:leader="none" w:pos="1160" w:val="left"/>
        </w:tabs>
        <w:numPr>
          <w:ilvl w:val="1"/>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1" w:lineRule="exact"/>
        <w:rPr>
          <w:sz w:val="20"/>
          <w:szCs w:val="20"/>
          <w:color w:val="auto"/>
        </w:rPr>
      </w:pPr>
    </w:p>
    <w:p>
      <w:pPr>
        <w:ind w:left="580" w:hanging="290"/>
        <w:spacing w:after="0" w:line="244"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192" w:lineRule="exact"/>
        <w:rPr>
          <w:sz w:val="20"/>
          <w:szCs w:val="20"/>
          <w:color w:val="auto"/>
        </w:rPr>
      </w:pPr>
    </w:p>
    <w:p>
      <w:pPr>
        <w:ind w:left="580" w:hanging="292"/>
        <w:spacing w:after="0" w:line="260" w:lineRule="auto"/>
        <w:tabs>
          <w:tab w:leader="none" w:pos="58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 2022 and ended on December 31, 2022 that has materially affected, or is reasonably likely to materially affect, the issuer’s ICFR.</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2023.</w:t>
      </w:r>
    </w:p>
    <w:p>
      <w:pPr>
        <w:spacing w:after="0" w:line="214" w:lineRule="exact"/>
        <w:rPr>
          <w:sz w:val="20"/>
          <w:szCs w:val="20"/>
          <w:color w:val="auto"/>
        </w:rPr>
      </w:pPr>
    </w:p>
    <w:p>
      <w:pPr>
        <w:ind w:left="60" w:right="10020" w:hanging="2"/>
        <w:spacing w:after="0" w:line="299" w:lineRule="auto"/>
        <w:tabs>
          <w:tab w:leader="none" w:pos="271"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"Greg Cavers" </w:t>
      </w:r>
      <w:r>
        <w:rPr>
          <w:rFonts w:ascii="Times New Roman" w:cs="Times New Roman" w:eastAsia="Times New Roman" w:hAnsi="Times New Roman"/>
          <w:sz w:val="15"/>
          <w:szCs w:val="15"/>
          <w:color w:val="auto"/>
        </w:rPr>
        <w:t>Greg Cavers</w:t>
      </w:r>
    </w:p>
    <w:p>
      <w:pPr>
        <w:ind w:left="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-254635</wp:posOffset>
            </wp:positionV>
            <wp:extent cx="195580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6"/>
          <w:szCs w:val="16"/>
          <w:b w:val="1"/>
          <w:bCs w:val="1"/>
          <w:color w:val="auto"/>
        </w:rPr>
        <w:t>FORM 52-109F2</w:t>
      </w:r>
    </w:p>
    <w:p>
      <w:pPr>
        <w:jc w:val="center"/>
        <w:spacing w:after="0" w:line="221" w:lineRule="auto"/>
        <w:rPr>
          <w:sz w:val="20"/>
          <w:szCs w:val="20"/>
          <w:color w:val="auto"/>
        </w:rPr>
      </w:pPr>
      <w:r>
        <w:rPr>
          <w:rFonts w:ascii="Times New Roman" w:cs="Times New Roman" w:eastAsia="Times New Roman" w:hAnsi="Times New Roman"/>
          <w:sz w:val="16"/>
          <w:szCs w:val="16"/>
          <w:b w:val="1"/>
          <w:bCs w:val="1"/>
          <w:color w:val="auto"/>
        </w:rPr>
        <w:t>CERTIFICATION OF INTERIM FILINGS</w:t>
      </w:r>
    </w:p>
    <w:p>
      <w:pPr>
        <w:ind w:left="4840"/>
        <w:spacing w:after="0"/>
        <w:rPr>
          <w:sz w:val="20"/>
          <w:szCs w:val="20"/>
          <w:color w:val="auto"/>
        </w:rPr>
      </w:pPr>
      <w:r>
        <w:rPr>
          <w:rFonts w:ascii="Times New Roman" w:cs="Times New Roman" w:eastAsia="Times New Roman" w:hAnsi="Times New Roman"/>
          <w:sz w:val="16"/>
          <w:szCs w:val="16"/>
          <w:b w:val="1"/>
          <w:bCs w:val="1"/>
          <w:color w:val="auto"/>
        </w:rPr>
        <w:t>FULL CERTIFICATE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Douglas Drysdale, as Chief Executive Officer of Cybin Inc., certify the following:</w:t>
      </w:r>
    </w:p>
    <w:p>
      <w:pPr>
        <w:spacing w:after="0" w:line="188" w:lineRule="exact"/>
        <w:rPr>
          <w:sz w:val="20"/>
          <w:szCs w:val="20"/>
          <w:color w:val="auto"/>
        </w:rPr>
      </w:pPr>
    </w:p>
    <w:p>
      <w:pPr>
        <w:ind w:left="580" w:hanging="292"/>
        <w:spacing w:after="0" w:line="260"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Review: </w:t>
      </w:r>
      <w:r>
        <w:rPr>
          <w:rFonts w:ascii="Times New Roman" w:cs="Times New Roman" w:eastAsia="Times New Roman" w:hAnsi="Times New Roman"/>
          <w:sz w:val="16"/>
          <w:szCs w:val="16"/>
          <w:color w:val="auto"/>
        </w:rPr>
        <w:t>I have reviewed the interim financial statements and interim MD&amp;A (together, the “interim filings”) of Cybin Inc. (the “issuer”) for the interim period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ended December 31, 2022.</w:t>
      </w:r>
    </w:p>
    <w:p>
      <w:pPr>
        <w:spacing w:after="0" w:line="147"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No misrepresentations</w:t>
      </w:r>
      <w:r>
        <w:rPr>
          <w:rFonts w:ascii="Times New Roman" w:cs="Times New Roman" w:eastAsia="Times New Roman" w:hAnsi="Times New Roman"/>
          <w:sz w:val="16"/>
          <w:szCs w:val="16"/>
          <w:color w:val="auto"/>
        </w:rPr>
        <w:t>: Based on my knowledge, having exercised reasonable diligence, the interim filings do not contain any untrue statement of a material fact or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omit to state a material fact required to be stated or that is necessary to make a statement not misleading in light of the circumstances under which it was made, with respect to the period covered by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Fair presentation: </w:t>
      </w:r>
      <w:r>
        <w:rPr>
          <w:rFonts w:ascii="Times New Roman" w:cs="Times New Roman" w:eastAsia="Times New Roman" w:hAnsi="Times New Roman"/>
          <w:sz w:val="16"/>
          <w:szCs w:val="16"/>
          <w:color w:val="auto"/>
        </w:rPr>
        <w:t>Based on my knowledge, having exercised reasonable diligence, the interim financial statements together with the other financial information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included in the interim filings fairly present in all material respects the financial condition, results of operations and cash flows of the issuer, as of the date of and for the periods presented in the interim filings.</w:t>
      </w:r>
    </w:p>
    <w:p>
      <w:pPr>
        <w:spacing w:after="0" w:line="162" w:lineRule="exact"/>
        <w:rPr>
          <w:rFonts w:ascii="Times New Roman" w:cs="Times New Roman" w:eastAsia="Times New Roman" w:hAnsi="Times New Roman"/>
          <w:sz w:val="16"/>
          <w:szCs w:val="16"/>
          <w:color w:val="auto"/>
        </w:rPr>
      </w:pPr>
    </w:p>
    <w:p>
      <w:pPr>
        <w:jc w:val="both"/>
        <w:ind w:left="580" w:hanging="292"/>
        <w:spacing w:after="0" w:line="235"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Responsibility: </w:t>
      </w:r>
      <w:r>
        <w:rPr>
          <w:rFonts w:ascii="Times New Roman" w:cs="Times New Roman" w:eastAsia="Times New Roman" w:hAnsi="Times New Roman"/>
          <w:sz w:val="16"/>
          <w:szCs w:val="16"/>
          <w:color w:val="auto"/>
        </w:rPr>
        <w:t>The issuer’s other certifying officer(s) and I are responsible for establishing and maintaining disclosure controls and procedures (DC&amp;P)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internal control over financial reporting (ICFR), as those terms are defined in National Instrument 52-109 Certification of Disclosure in Issuers’ Annual and Interim Filings, for the issuer.</w:t>
      </w:r>
    </w:p>
    <w:p>
      <w:pPr>
        <w:spacing w:after="0" w:line="162" w:lineRule="exact"/>
        <w:rPr>
          <w:rFonts w:ascii="Times New Roman" w:cs="Times New Roman" w:eastAsia="Times New Roman" w:hAnsi="Times New Roman"/>
          <w:sz w:val="16"/>
          <w:szCs w:val="16"/>
          <w:color w:val="auto"/>
        </w:rPr>
      </w:pPr>
    </w:p>
    <w:p>
      <w:pPr>
        <w:ind w:left="580" w:hanging="292"/>
        <w:spacing w:after="0" w:line="244" w:lineRule="auto"/>
        <w:tabs>
          <w:tab w:leader="none" w:pos="58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Design: </w:t>
      </w:r>
      <w:r>
        <w:rPr>
          <w:rFonts w:ascii="Times New Roman" w:cs="Times New Roman" w:eastAsia="Times New Roman" w:hAnsi="Times New Roman"/>
          <w:sz w:val="16"/>
          <w:szCs w:val="16"/>
          <w:color w:val="auto"/>
        </w:rPr>
        <w:t>Subject to the limitations, if any, described in paragraphs 5.2 and 5.3, the issuer’s other certifying officer(s) and I have, as at the end of the period covered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the interim filings</w:t>
      </w:r>
    </w:p>
    <w:p>
      <w:pPr>
        <w:spacing w:after="0" w:line="175" w:lineRule="exact"/>
        <w:rPr>
          <w:rFonts w:ascii="Times New Roman" w:cs="Times New Roman" w:eastAsia="Times New Roman" w:hAnsi="Times New Roman"/>
          <w:sz w:val="16"/>
          <w:szCs w:val="16"/>
          <w:color w:val="auto"/>
        </w:rPr>
      </w:pPr>
    </w:p>
    <w:p>
      <w:pPr>
        <w:ind w:left="1160" w:hanging="290"/>
        <w:spacing w:after="0"/>
        <w:tabs>
          <w:tab w:leader="none" w:pos="116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DC&amp;P, or caused it to be designed under our supervision, to provide reasonable assurance that</w:t>
      </w:r>
    </w:p>
    <w:p>
      <w:pPr>
        <w:spacing w:after="0" w:line="191"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material information relating to the issuer is made known to us by others, particularly during the period in which the interim filings are being prepared; and</w:t>
      </w:r>
    </w:p>
    <w:p>
      <w:pPr>
        <w:spacing w:after="0" w:line="179" w:lineRule="exact"/>
        <w:rPr>
          <w:rFonts w:ascii="Times New Roman" w:cs="Times New Roman" w:eastAsia="Times New Roman" w:hAnsi="Times New Roman"/>
          <w:sz w:val="16"/>
          <w:szCs w:val="16"/>
          <w:color w:val="auto"/>
        </w:rPr>
      </w:pPr>
    </w:p>
    <w:p>
      <w:pPr>
        <w:ind w:left="1740" w:hanging="288"/>
        <w:spacing w:after="0" w:line="239" w:lineRule="auto"/>
        <w:tabs>
          <w:tab w:leader="none" w:pos="1740" w:val="left"/>
        </w:tabs>
        <w:numPr>
          <w:ilvl w:val="2"/>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required to be disclosed by the issuer in its annual filings, interim filings or other reports filed or submitted by it under securities legislation is recorded, processed, summarized and reported within the time periods specified in securities legislation; and</w:t>
      </w:r>
    </w:p>
    <w:p>
      <w:pPr>
        <w:spacing w:after="0" w:line="167" w:lineRule="exact"/>
        <w:rPr>
          <w:rFonts w:ascii="Times New Roman" w:cs="Times New Roman" w:eastAsia="Times New Roman" w:hAnsi="Times New Roman"/>
          <w:sz w:val="16"/>
          <w:szCs w:val="16"/>
          <w:color w:val="auto"/>
        </w:rPr>
      </w:pPr>
    </w:p>
    <w:p>
      <w:pPr>
        <w:ind w:left="1160" w:hanging="290"/>
        <w:spacing w:after="0" w:line="255" w:lineRule="auto"/>
        <w:tabs>
          <w:tab w:leader="none" w:pos="1160" w:val="left"/>
        </w:tabs>
        <w:numPr>
          <w:ilvl w:val="1"/>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ICFR, or caused it to be designed under our supervision, to provide reasonable assurance regarding the reliability of financial reporting and the preparation of financial statements for external purposes in accordance with the issuer’s GAAP.</w:t>
      </w:r>
    </w:p>
    <w:p>
      <w:pPr>
        <w:spacing w:after="0" w:line="151" w:lineRule="exact"/>
        <w:rPr>
          <w:sz w:val="20"/>
          <w:szCs w:val="20"/>
          <w:color w:val="auto"/>
        </w:rPr>
      </w:pPr>
    </w:p>
    <w:p>
      <w:pPr>
        <w:ind w:left="580" w:hanging="290"/>
        <w:spacing w:after="0" w:line="244" w:lineRule="auto"/>
        <w:tabs>
          <w:tab w:leader="none" w:pos="560" w:val="left"/>
        </w:tabs>
        <w:rPr>
          <w:sz w:val="20"/>
          <w:szCs w:val="20"/>
          <w:color w:val="auto"/>
        </w:rPr>
      </w:pPr>
      <w:r>
        <w:rPr>
          <w:rFonts w:ascii="Times New Roman" w:cs="Times New Roman" w:eastAsia="Times New Roman" w:hAnsi="Times New Roman"/>
          <w:sz w:val="16"/>
          <w:szCs w:val="16"/>
          <w:color w:val="auto"/>
        </w:rPr>
        <w:t>5.1</w:t>
      </w:r>
      <w:r>
        <w:rPr>
          <w:sz w:val="20"/>
          <w:szCs w:val="20"/>
          <w:color w:val="auto"/>
        </w:rPr>
        <w:tab/>
      </w:r>
      <w:r>
        <w:rPr>
          <w:rFonts w:ascii="Times New Roman" w:cs="Times New Roman" w:eastAsia="Times New Roman" w:hAnsi="Times New Roman"/>
          <w:sz w:val="16"/>
          <w:szCs w:val="16"/>
          <w:b w:val="1"/>
          <w:bCs w:val="1"/>
          <w:i w:val="1"/>
          <w:iCs w:val="1"/>
          <w:color w:val="auto"/>
        </w:rPr>
        <w:t xml:space="preserve">Control framework: </w:t>
      </w:r>
      <w:r>
        <w:rPr>
          <w:rFonts w:ascii="Times New Roman" w:cs="Times New Roman" w:eastAsia="Times New Roman" w:hAnsi="Times New Roman"/>
          <w:sz w:val="16"/>
          <w:szCs w:val="16"/>
          <w:color w:val="auto"/>
        </w:rPr>
        <w:t>The control framework the issuer’s other certifying officer(s) and I used to design the issuer’s ICFR is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Internal Control – Integrated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Framework (2013) issued by The Committee of Sponsoring Organization of the Treadway Commission (COSO).</w:t>
      </w:r>
    </w:p>
    <w:p>
      <w:pPr>
        <w:spacing w:after="0" w:line="17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5.2</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192"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6"/>
          <w:szCs w:val="16"/>
          <w:color w:val="auto"/>
        </w:rPr>
        <w:t>5.3</w:t>
      </w:r>
      <w:r>
        <w:rPr>
          <w:sz w:val="20"/>
          <w:szCs w:val="20"/>
          <w:color w:val="auto"/>
        </w:rPr>
        <w:tab/>
      </w:r>
      <w:r>
        <w:rPr>
          <w:rFonts w:ascii="Times New Roman" w:cs="Times New Roman" w:eastAsia="Times New Roman" w:hAnsi="Times New Roman"/>
          <w:sz w:val="16"/>
          <w:szCs w:val="16"/>
          <w:b w:val="1"/>
          <w:bCs w:val="1"/>
          <w:i w:val="1"/>
          <w:iCs w:val="1"/>
          <w:color w:val="auto"/>
        </w:rPr>
        <w:t>N/A.</w:t>
      </w:r>
    </w:p>
    <w:p>
      <w:pPr>
        <w:spacing w:after="0" w:line="192" w:lineRule="exact"/>
        <w:rPr>
          <w:sz w:val="20"/>
          <w:szCs w:val="20"/>
          <w:color w:val="auto"/>
        </w:rPr>
      </w:pPr>
    </w:p>
    <w:p>
      <w:pPr>
        <w:ind w:left="580" w:hanging="292"/>
        <w:spacing w:after="0" w:line="260" w:lineRule="auto"/>
        <w:tabs>
          <w:tab w:leader="none" w:pos="58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 xml:space="preserve">Reporting changes in ICFR: </w:t>
      </w:r>
      <w:r>
        <w:rPr>
          <w:rFonts w:ascii="Times New Roman" w:cs="Times New Roman" w:eastAsia="Times New Roman" w:hAnsi="Times New Roman"/>
          <w:sz w:val="16"/>
          <w:szCs w:val="16"/>
          <w:color w:val="auto"/>
        </w:rPr>
        <w:t>The issuer has disclosed in its interim MD&amp;A any change in the issuer’s ICFR that occurred during the period beginning on October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1, 2022 and ended on December 31, 2022 that has materially affected, or is reasonably likely to materially affect, the issuer’s ICFR.</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14, 2023.</w:t>
      </w:r>
    </w:p>
    <w:p>
      <w:pPr>
        <w:spacing w:after="0" w:line="238" w:lineRule="exact"/>
        <w:rPr>
          <w:sz w:val="20"/>
          <w:szCs w:val="20"/>
          <w:color w:val="auto"/>
        </w:rPr>
      </w:pPr>
    </w:p>
    <w:p>
      <w:pPr>
        <w:ind w:left="60" w:right="9640" w:hanging="2"/>
        <w:spacing w:after="0" w:line="295" w:lineRule="auto"/>
        <w:tabs>
          <w:tab w:leader="none" w:pos="271" w:val="left"/>
        </w:tabs>
        <w:numPr>
          <w:ilvl w:val="0"/>
          <w:numId w:val="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"Douglas Drysdale" </w:t>
      </w:r>
      <w:r>
        <w:rPr>
          <w:rFonts w:ascii="Times New Roman" w:cs="Times New Roman" w:eastAsia="Times New Roman" w:hAnsi="Times New Roman"/>
          <w:sz w:val="16"/>
          <w:szCs w:val="16"/>
          <w:color w:val="auto"/>
        </w:rPr>
        <w:t>Douglas Drysdale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-295275</wp:posOffset>
            </wp:positionV>
            <wp:extent cx="195580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55800" cy="7620"/>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95" w:name="page96"/>
    <w:bookmarkEnd w:id="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2981325</wp:posOffset>
            </wp:positionH>
            <wp:positionV relativeFrom="page">
              <wp:posOffset>974725</wp:posOffset>
            </wp:positionV>
            <wp:extent cx="1586230" cy="9239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1586230" cy="923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
        <w:spacing w:after="0"/>
        <w:rPr>
          <w:sz w:val="20"/>
          <w:szCs w:val="20"/>
          <w:color w:val="auto"/>
        </w:rPr>
      </w:pPr>
      <w:r>
        <w:rPr>
          <w:rFonts w:ascii="Arial" w:cs="Arial" w:eastAsia="Arial" w:hAnsi="Arial"/>
          <w:sz w:val="23"/>
          <w:szCs w:val="23"/>
          <w:b w:val="1"/>
          <w:bCs w:val="1"/>
          <w:color w:val="auto"/>
        </w:rPr>
        <w:t>Cybin Inc. Reports Third Quarter Financial Results and Recent Business Highlights</w:t>
      </w:r>
    </w:p>
    <w:p>
      <w:pPr>
        <w:spacing w:after="0" w:line="249" w:lineRule="exact"/>
        <w:rPr>
          <w:sz w:val="20"/>
          <w:szCs w:val="20"/>
          <w:color w:val="auto"/>
        </w:rPr>
      </w:pPr>
    </w:p>
    <w:p>
      <w:pPr>
        <w:ind w:left="2423" w:hanging="298"/>
        <w:spacing w:after="0"/>
        <w:tabs>
          <w:tab w:leader="none" w:pos="2423" w:val="left"/>
        </w:tabs>
        <w:numPr>
          <w:ilvl w:val="0"/>
          <w:numId w:val="50"/>
        </w:numPr>
        <w:rPr>
          <w:rFonts w:ascii="Arial" w:cs="Arial" w:eastAsia="Arial" w:hAnsi="Arial"/>
          <w:sz w:val="18"/>
          <w:szCs w:val="18"/>
          <w:color w:val="auto"/>
        </w:rPr>
      </w:pPr>
      <w:r>
        <w:rPr>
          <w:rFonts w:ascii="Arial" w:cs="Arial" w:eastAsia="Arial" w:hAnsi="Arial"/>
          <w:sz w:val="18"/>
          <w:szCs w:val="18"/>
          <w:i w:val="1"/>
          <w:iCs w:val="1"/>
          <w:color w:val="auto"/>
        </w:rPr>
        <w:t>Company to provide CYB003 Phase 1/2a interim study readout and update on its</w:t>
      </w:r>
    </w:p>
    <w:p>
      <w:pPr>
        <w:ind w:left="3083"/>
        <w:spacing w:after="0"/>
        <w:rPr>
          <w:rFonts w:ascii="Arial" w:cs="Arial" w:eastAsia="Arial" w:hAnsi="Arial"/>
          <w:sz w:val="18"/>
          <w:szCs w:val="18"/>
          <w:color w:val="auto"/>
        </w:rPr>
      </w:pPr>
      <w:r>
        <w:rPr>
          <w:rFonts w:ascii="Arial" w:cs="Arial" w:eastAsia="Arial" w:hAnsi="Arial"/>
          <w:sz w:val="18"/>
          <w:szCs w:val="18"/>
          <w:i w:val="1"/>
          <w:iCs w:val="1"/>
          <w:color w:val="auto"/>
        </w:rPr>
        <w:t>CYB004 program at upcoming R&amp;D Day on February 28, 2023 -</w:t>
      </w:r>
    </w:p>
    <w:p>
      <w:pPr>
        <w:spacing w:after="0" w:line="162" w:lineRule="exact"/>
        <w:rPr>
          <w:sz w:val="20"/>
          <w:szCs w:val="20"/>
          <w:color w:val="auto"/>
        </w:rPr>
      </w:pPr>
    </w:p>
    <w:p>
      <w:pPr>
        <w:jc w:val="center"/>
        <w:ind w:left="340" w:right="480"/>
        <w:spacing w:after="0" w:line="233" w:lineRule="auto"/>
        <w:rPr>
          <w:sz w:val="20"/>
          <w:szCs w:val="20"/>
          <w:color w:val="auto"/>
        </w:rPr>
      </w:pPr>
      <w:r>
        <w:rPr>
          <w:rFonts w:ascii="Arial" w:cs="Arial" w:eastAsia="Arial" w:hAnsi="Arial"/>
          <w:sz w:val="15"/>
          <w:szCs w:val="15"/>
          <w:i w:val="1"/>
          <w:iCs w:val="1"/>
          <w:color w:val="auto"/>
        </w:rPr>
        <w:t>This news release constitutes a “designated news release” for the purposes of Cybin’s prospectus supplement dated August 8, 2022 to its short form base shelf prospectus dated July 5, 2021</w:t>
      </w:r>
    </w:p>
    <w:p>
      <w:pPr>
        <w:spacing w:after="0" w:line="200" w:lineRule="exact"/>
        <w:rPr>
          <w:sz w:val="20"/>
          <w:szCs w:val="20"/>
          <w:color w:val="auto"/>
        </w:rPr>
      </w:pPr>
    </w:p>
    <w:p>
      <w:pPr>
        <w:jc w:val="both"/>
        <w:ind w:left="3"/>
        <w:spacing w:after="0" w:line="313" w:lineRule="auto"/>
        <w:rPr>
          <w:sz w:val="20"/>
          <w:szCs w:val="20"/>
          <w:color w:val="auto"/>
        </w:rPr>
      </w:pPr>
      <w:r>
        <w:rPr>
          <w:rFonts w:ascii="Arial" w:cs="Arial" w:eastAsia="Arial" w:hAnsi="Arial"/>
          <w:sz w:val="18"/>
          <w:szCs w:val="18"/>
          <w:b w:val="1"/>
          <w:bCs w:val="1"/>
          <w:color w:val="auto"/>
        </w:rPr>
        <w:t xml:space="preserve">TORONTO, CANADA </w:t>
      </w:r>
      <w:r>
        <w:rPr>
          <w:rFonts w:ascii="Arial" w:cs="Arial" w:eastAsia="Arial" w:hAnsi="Arial"/>
          <w:sz w:val="18"/>
          <w:szCs w:val="18"/>
          <w:color w:val="auto"/>
        </w:rPr>
        <w:t>– February 14, 2023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0563C1"/>
        </w:rPr>
        <w:t>Cybin Inc.</w:t>
      </w:r>
      <w:r>
        <w:rPr>
          <w:rFonts w:ascii="Arial" w:cs="Arial" w:eastAsia="Arial" w:hAnsi="Arial"/>
          <w:sz w:val="18"/>
          <w:szCs w:val="18"/>
          <w:b w:val="1"/>
          <w:bCs w:val="1"/>
          <w:color w:val="auto"/>
        </w:rPr>
        <w:t xml:space="preserve"> </w:t>
      </w:r>
      <w:r>
        <w:rPr>
          <w:rFonts w:ascii="Arial" w:cs="Arial" w:eastAsia="Arial" w:hAnsi="Arial"/>
          <w:sz w:val="18"/>
          <w:szCs w:val="18"/>
          <w:color w:val="auto"/>
        </w:rPr>
        <w:t>(NEO:CYBN) (NYSE American:CYBN) (“</w:t>
      </w:r>
      <w:r>
        <w:rPr>
          <w:rFonts w:ascii="Arial" w:cs="Arial" w:eastAsia="Arial" w:hAnsi="Arial"/>
          <w:sz w:val="18"/>
          <w:szCs w:val="18"/>
          <w:b w:val="1"/>
          <w:bCs w:val="1"/>
          <w:color w:val="auto"/>
        </w:rPr>
        <w:t>Cybin</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a</w:t>
      </w:r>
      <w:r>
        <w:rPr>
          <w:rFonts w:ascii="Arial" w:cs="Arial" w:eastAsia="Arial" w:hAnsi="Arial"/>
          <w:sz w:val="18"/>
          <w:szCs w:val="18"/>
          <w:b w:val="1"/>
          <w:bCs w:val="1"/>
          <w:color w:val="auto"/>
        </w:rPr>
        <w:t xml:space="preserve"> </w:t>
      </w:r>
      <w:r>
        <w:rPr>
          <w:rFonts w:ascii="Arial" w:cs="Arial" w:eastAsia="Arial" w:hAnsi="Arial"/>
          <w:sz w:val="18"/>
          <w:szCs w:val="18"/>
          <w:color w:val="auto"/>
        </w:rPr>
        <w:t>biopharmaceutical company focused on progressing Psychedelics to Therapeutics</w:t>
      </w:r>
      <w:r>
        <w:rPr>
          <w:rFonts w:ascii="Arial" w:cs="Arial" w:eastAsia="Arial" w:hAnsi="Arial"/>
          <w:sz w:val="23"/>
          <w:szCs w:val="23"/>
          <w:color w:val="auto"/>
          <w:vertAlign w:val="superscript"/>
        </w:rPr>
        <w:t>®</w:t>
      </w:r>
      <w:r>
        <w:rPr>
          <w:rFonts w:ascii="Arial" w:cs="Arial" w:eastAsia="Arial" w:hAnsi="Arial"/>
          <w:sz w:val="18"/>
          <w:szCs w:val="18"/>
          <w:color w:val="auto"/>
        </w:rPr>
        <w:t>, today reported unaudited financial results for its third quarter ended December 31, 2022, and recent business highlights.</w:t>
      </w:r>
    </w:p>
    <w:p>
      <w:pPr>
        <w:spacing w:after="0" w:line="172" w:lineRule="exact"/>
        <w:rPr>
          <w:sz w:val="20"/>
          <w:szCs w:val="20"/>
          <w:color w:val="auto"/>
        </w:rPr>
      </w:pPr>
    </w:p>
    <w:p>
      <w:pPr>
        <w:jc w:val="both"/>
        <w:ind w:left="3"/>
        <w:spacing w:after="0" w:line="341" w:lineRule="auto"/>
        <w:rPr>
          <w:sz w:val="20"/>
          <w:szCs w:val="20"/>
          <w:color w:val="auto"/>
        </w:rPr>
      </w:pPr>
      <w:r>
        <w:rPr>
          <w:rFonts w:ascii="Arial" w:cs="Arial" w:eastAsia="Arial" w:hAnsi="Arial"/>
          <w:sz w:val="18"/>
          <w:szCs w:val="18"/>
          <w:color w:val="auto"/>
        </w:rPr>
        <w:t>“Looking ahead, we remain well-positioned to deliver on multiple near-term clinical milestones and data catalysts across our pipeline programs. With interim data expected imminently for our Phase 1/2a study of CYB003 and approval to begin dosing CYB004 in humans, the stage is set for continued momentum and strong clinical execution,” said Doug Drysdale, Chief Executive Officer of Cybin. “With a cash runway that will support upcoming value-driving clinical milestones, we will continue our focus on clinical execution with the goal of ultimately bringing improved therapeutic options to patients in need.”</w:t>
      </w:r>
    </w:p>
    <w:p>
      <w:pPr>
        <w:spacing w:after="0" w:line="11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Recent Business and Pipeline Highlights:</w:t>
      </w:r>
    </w:p>
    <w:p>
      <w:pPr>
        <w:spacing w:after="0" w:line="183"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CYB004: A proprietary deuterated N,N-dimethyltryptamine (“DMT”) molecule</w:t>
      </w:r>
    </w:p>
    <w:p>
      <w:pPr>
        <w:spacing w:after="0" w:line="217" w:lineRule="exact"/>
        <w:rPr>
          <w:sz w:val="20"/>
          <w:szCs w:val="20"/>
          <w:color w:val="auto"/>
        </w:rPr>
      </w:pPr>
    </w:p>
    <w:p>
      <w:pPr>
        <w:ind w:left="283" w:hanging="283"/>
        <w:spacing w:after="0"/>
        <w:tabs>
          <w:tab w:leader="none" w:pos="283" w:val="left"/>
        </w:tabs>
        <w:numPr>
          <w:ilvl w:val="0"/>
          <w:numId w:val="51"/>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The Company recently received approval from an independent ethics committee in the Netherlands to commence first-in-human dosing of</w:t>
      </w:r>
    </w:p>
    <w:p>
      <w:pPr>
        <w:spacing w:after="0" w:line="69" w:lineRule="exact"/>
        <w:rPr>
          <w:rFonts w:ascii="Times New Roman" w:cs="Times New Roman" w:eastAsia="Times New Roman" w:hAnsi="Times New Roman"/>
          <w:sz w:val="18"/>
          <w:szCs w:val="18"/>
          <w:i w:val="1"/>
          <w:iCs w:val="1"/>
          <w:color w:val="auto"/>
        </w:rPr>
      </w:pPr>
    </w:p>
    <w:p>
      <w:pPr>
        <w:jc w:val="both"/>
        <w:ind w:left="283"/>
        <w:spacing w:after="0" w:line="332" w:lineRule="auto"/>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CYB004 through a protocol amendment to its ongoing Phase 1 CYB004-E trial (“</w:t>
      </w:r>
      <w:r>
        <w:rPr>
          <w:rFonts w:ascii="Arial" w:cs="Arial" w:eastAsia="Arial" w:hAnsi="Arial"/>
          <w:sz w:val="18"/>
          <w:szCs w:val="18"/>
          <w:b w:val="1"/>
          <w:bCs w:val="1"/>
          <w:color w:val="auto"/>
        </w:rPr>
        <w:t>CYB004-E trial</w:t>
      </w:r>
      <w:r>
        <w:rPr>
          <w:rFonts w:ascii="Arial" w:cs="Arial" w:eastAsia="Arial" w:hAnsi="Arial"/>
          <w:sz w:val="18"/>
          <w:szCs w:val="18"/>
          <w:color w:val="auto"/>
        </w:rPr>
        <w:t>”). This marks the first time a deuterated DMT molecule will be evaluated in humans and reduces Cybin’s time-to-clinic with CYB004. The Company plans to apply these initial findings in the CYB004-E trial to optimize dose delivery in future clinical trials.</w:t>
      </w:r>
    </w:p>
    <w:p>
      <w:pPr>
        <w:sectPr>
          <w:pgSz w:w="11900" w:h="16838" w:orient="portrait"/>
          <w:cols w:equalWidth="0" w:num="1">
            <w:col w:w="11243"/>
          </w:cols>
          <w:pgMar w:left="317" w:top="1440" w:right="339" w:bottom="1440" w:gutter="0" w:footer="0" w:header="0"/>
        </w:sectPr>
      </w:pPr>
    </w:p>
    <w:bookmarkStart w:id="96" w:name="page97"/>
    <w:bookmarkEnd w:id="96"/>
    <w:p>
      <w:pPr>
        <w:spacing w:after="0" w:line="85" w:lineRule="exact"/>
        <w:rPr>
          <w:sz w:val="20"/>
          <w:szCs w:val="20"/>
          <w:color w:val="auto"/>
        </w:rPr>
      </w:pPr>
    </w:p>
    <w:p>
      <w:pPr>
        <w:ind w:left="283" w:right="20" w:hanging="283"/>
        <w:spacing w:after="0" w:line="352" w:lineRule="auto"/>
        <w:tabs>
          <w:tab w:leader="none" w:pos="272" w:val="left"/>
        </w:tabs>
        <w:numPr>
          <w:ilvl w:val="0"/>
          <w:numId w:val="52"/>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On January 12, 2023, Cybin announced that it selected generalized anxiety disorder (“</w:t>
      </w:r>
      <w:r>
        <w:rPr>
          <w:rFonts w:ascii="Arial" w:cs="Arial" w:eastAsia="Arial" w:hAnsi="Arial"/>
          <w:sz w:val="18"/>
          <w:szCs w:val="18"/>
          <w:b w:val="1"/>
          <w:bCs w:val="1"/>
          <w:color w:val="auto"/>
        </w:rPr>
        <w:t>GAD</w:t>
      </w:r>
      <w:r>
        <w:rPr>
          <w:rFonts w:ascii="Arial" w:cs="Arial" w:eastAsia="Arial" w:hAnsi="Arial"/>
          <w:sz w:val="18"/>
          <w:szCs w:val="18"/>
          <w:color w:val="auto"/>
        </w:rPr>
        <w:t>”), with or without major depressive disorder (“</w:t>
      </w:r>
      <w:r>
        <w:rPr>
          <w:rFonts w:ascii="Arial" w:cs="Arial" w:eastAsia="Arial" w:hAnsi="Arial"/>
          <w:sz w:val="18"/>
          <w:szCs w:val="18"/>
          <w:b w:val="1"/>
          <w:bCs w:val="1"/>
          <w:color w:val="auto"/>
        </w:rPr>
        <w:t>MDD</w:t>
      </w:r>
      <w:r>
        <w:rPr>
          <w:rFonts w:ascii="Arial" w:cs="Arial" w:eastAsia="Arial" w:hAnsi="Arial"/>
          <w:sz w:val="18"/>
          <w:szCs w:val="18"/>
          <w:color w:val="auto"/>
        </w:rPr>
        <w:t>”) as the target indication for CYB004.</w:t>
      </w:r>
    </w:p>
    <w:p>
      <w:pPr>
        <w:spacing w:after="0" w:line="143" w:lineRule="exact"/>
        <w:rPr>
          <w:rFonts w:ascii="Times New Roman" w:cs="Times New Roman" w:eastAsia="Times New Roman" w:hAnsi="Times New Roman"/>
          <w:sz w:val="18"/>
          <w:szCs w:val="18"/>
          <w:i w:val="1"/>
          <w:iCs w:val="1"/>
          <w:color w:val="auto"/>
        </w:rPr>
      </w:pPr>
    </w:p>
    <w:p>
      <w:pPr>
        <w:jc w:val="both"/>
        <w:ind w:left="283" w:hanging="283"/>
        <w:spacing w:after="0" w:line="324" w:lineRule="auto"/>
        <w:tabs>
          <w:tab w:leader="none" w:pos="272" w:val="left"/>
        </w:tabs>
        <w:numPr>
          <w:ilvl w:val="0"/>
          <w:numId w:val="52"/>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 xml:space="preserve">Based on preclinical data, CYB004 has demonstrated an improved bioavailability and pharmacokinetic </w:t>
      </w:r>
      <w:r>
        <w:rPr>
          <w:rFonts w:ascii="Arial" w:cs="Arial" w:eastAsia="Arial" w:hAnsi="Arial"/>
          <w:sz w:val="18"/>
          <w:szCs w:val="18"/>
          <w:b w:val="1"/>
          <w:bCs w:val="1"/>
          <w:color w:val="auto"/>
        </w:rPr>
        <w:t>(“PK”</w:t>
      </w:r>
      <w:r>
        <w:rPr>
          <w:rFonts w:ascii="Arial" w:cs="Arial" w:eastAsia="Arial" w:hAnsi="Arial"/>
          <w:sz w:val="18"/>
          <w:szCs w:val="18"/>
          <w:color w:val="auto"/>
        </w:rPr>
        <w:t>) profile in comparison to DMT when administered via intravenous (“</w:t>
      </w:r>
      <w:r>
        <w:rPr>
          <w:rFonts w:ascii="Arial" w:cs="Arial" w:eastAsia="Arial" w:hAnsi="Arial"/>
          <w:sz w:val="18"/>
          <w:szCs w:val="18"/>
          <w:b w:val="1"/>
          <w:bCs w:val="1"/>
          <w:color w:val="auto"/>
        </w:rPr>
        <w:t>IV</w:t>
      </w:r>
      <w:r>
        <w:rPr>
          <w:rFonts w:ascii="Arial" w:cs="Arial" w:eastAsia="Arial" w:hAnsi="Arial"/>
          <w:sz w:val="18"/>
          <w:szCs w:val="18"/>
          <w:color w:val="auto"/>
        </w:rPr>
        <w:t>”) and inhaled routes. These studies also demonstrated that IV CYB004 has a longer duration of effect compared to DMT, indicating the potential to extend the therapeutic window and provide better dose optimization. These factors may support more convenient dosing methods such as subcutaneous, inhaled, or intramuscular administration.</w:t>
      </w:r>
    </w:p>
    <w:p>
      <w:pPr>
        <w:spacing w:after="0" w:line="180" w:lineRule="exact"/>
        <w:rPr>
          <w:rFonts w:ascii="Times New Roman" w:cs="Times New Roman" w:eastAsia="Times New Roman" w:hAnsi="Times New Roman"/>
          <w:sz w:val="18"/>
          <w:szCs w:val="18"/>
          <w:i w:val="1"/>
          <w:iCs w:val="1"/>
          <w:color w:val="auto"/>
        </w:rPr>
      </w:pPr>
    </w:p>
    <w:p>
      <w:pPr>
        <w:ind w:left="283" w:right="20" w:hanging="283"/>
        <w:spacing w:after="0" w:line="338" w:lineRule="auto"/>
        <w:tabs>
          <w:tab w:leader="none" w:pos="272" w:val="left"/>
        </w:tabs>
        <w:numPr>
          <w:ilvl w:val="0"/>
          <w:numId w:val="52"/>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Cybin secured a U.S. composition of matter patent covering CYB004 in February 2022 that provides patent protection through 2041. The patent covers a range of deuterated forms of DMT and protects CYB004 as a putative new chemical entity.</w:t>
      </w:r>
    </w:p>
    <w:p>
      <w:pPr>
        <w:spacing w:after="0" w:line="167" w:lineRule="exact"/>
        <w:rPr>
          <w:rFonts w:ascii="Times New Roman" w:cs="Times New Roman" w:eastAsia="Times New Roman" w:hAnsi="Times New Roman"/>
          <w:sz w:val="18"/>
          <w:szCs w:val="18"/>
          <w:i w:val="1"/>
          <w:iCs w:val="1"/>
          <w:color w:val="auto"/>
        </w:rPr>
      </w:pPr>
    </w:p>
    <w:p>
      <w:pPr>
        <w:ind w:left="283" w:hanging="283"/>
        <w:spacing w:after="0"/>
        <w:tabs>
          <w:tab w:leader="none" w:pos="283" w:val="left"/>
        </w:tabs>
        <w:numPr>
          <w:ilvl w:val="0"/>
          <w:numId w:val="52"/>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The Company plans to provide an update on the CYB004-E trial and the CYB004 program at its virtual R&amp;D Day on February 28, 2023</w:t>
      </w:r>
      <w:r>
        <w:rPr>
          <w:rFonts w:ascii="Arial" w:cs="Arial" w:eastAsia="Arial" w:hAnsi="Arial"/>
          <w:sz w:val="23"/>
          <w:szCs w:val="23"/>
          <w:color w:val="auto"/>
          <w:vertAlign w:val="superscript"/>
        </w:rPr>
        <w:t>i</w:t>
      </w:r>
      <w:r>
        <w:rPr>
          <w:rFonts w:ascii="Arial" w:cs="Arial" w:eastAsia="Arial" w:hAnsi="Arial"/>
          <w:sz w:val="18"/>
          <w:szCs w:val="18"/>
          <w:color w:val="auto"/>
        </w:rPr>
        <w:t>.</w:t>
      </w:r>
    </w:p>
    <w:p>
      <w:pPr>
        <w:spacing w:after="0" w:line="208"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CYB003: A proprietary deuterated psilocybin analog for the potential treatment of MDD</w:t>
      </w:r>
    </w:p>
    <w:p>
      <w:pPr>
        <w:spacing w:after="0" w:line="278" w:lineRule="exact"/>
        <w:rPr>
          <w:sz w:val="20"/>
          <w:szCs w:val="20"/>
          <w:color w:val="auto"/>
        </w:rPr>
      </w:pPr>
    </w:p>
    <w:p>
      <w:pPr>
        <w:ind w:left="283" w:hanging="283"/>
        <w:spacing w:after="0"/>
        <w:tabs>
          <w:tab w:leader="none" w:pos="283" w:val="left"/>
        </w:tabs>
        <w:numPr>
          <w:ilvl w:val="0"/>
          <w:numId w:val="53"/>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Cybin continues to progress its Phase 1/2a clinical trial evaluating CYB003 for the potential treatment of MDD. The Company plans to</w:t>
      </w:r>
    </w:p>
    <w:p>
      <w:pPr>
        <w:spacing w:after="0" w:line="59" w:lineRule="exact"/>
        <w:rPr>
          <w:rFonts w:ascii="Times New Roman" w:cs="Times New Roman" w:eastAsia="Times New Roman" w:hAnsi="Times New Roman"/>
          <w:sz w:val="18"/>
          <w:szCs w:val="18"/>
          <w:i w:val="1"/>
          <w:iCs w:val="1"/>
          <w:color w:val="auto"/>
        </w:rPr>
      </w:pPr>
    </w:p>
    <w:p>
      <w:pPr>
        <w:jc w:val="both"/>
        <w:ind w:left="283" w:right="20"/>
        <w:spacing w:after="0" w:line="300" w:lineRule="auto"/>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provide an interim readout from the Phase 1/2a trial at its virtual R&amp;D Day on February 28, 2023</w:t>
      </w:r>
      <w:r>
        <w:rPr>
          <w:rFonts w:ascii="Arial" w:cs="Arial" w:eastAsia="Arial" w:hAnsi="Arial"/>
          <w:sz w:val="23"/>
          <w:szCs w:val="23"/>
          <w:color w:val="auto"/>
          <w:vertAlign w:val="superscript"/>
        </w:rPr>
        <w:t>i</w:t>
      </w:r>
      <w:r>
        <w:rPr>
          <w:rFonts w:ascii="Arial" w:cs="Arial" w:eastAsia="Arial" w:hAnsi="Arial"/>
          <w:sz w:val="18"/>
          <w:szCs w:val="18"/>
          <w:color w:val="auto"/>
        </w:rPr>
        <w:t>. The interim readout is intended to provide an initial understanding of the safety and PK profile of CYB003 in humans, including preliminary observations related to the psychedelic effect and duration of psychedelic effect of CYB003. These findings will help provide the necessary dose ranging information for the ongoing Phase 1/2a trial in addition to future clinical studies evaluating CYB003.</w:t>
      </w:r>
    </w:p>
    <w:p>
      <w:pPr>
        <w:spacing w:after="0" w:line="190" w:lineRule="exact"/>
        <w:rPr>
          <w:rFonts w:ascii="Times New Roman" w:cs="Times New Roman" w:eastAsia="Times New Roman" w:hAnsi="Times New Roman"/>
          <w:sz w:val="18"/>
          <w:szCs w:val="18"/>
          <w:i w:val="1"/>
          <w:iCs w:val="1"/>
          <w:color w:val="auto"/>
        </w:rPr>
      </w:pPr>
    </w:p>
    <w:p>
      <w:pPr>
        <w:jc w:val="both"/>
        <w:ind w:left="283" w:right="20" w:hanging="283"/>
        <w:spacing w:after="0" w:line="328" w:lineRule="auto"/>
        <w:tabs>
          <w:tab w:leader="none" w:pos="272" w:val="left"/>
        </w:tabs>
        <w:numPr>
          <w:ilvl w:val="0"/>
          <w:numId w:val="53"/>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CYB003 is designed to potentially address the challenges and limitations of oral psilocybin. Based on preclinical data, CYB003 achieved low variability in plasma levels, fast onset of action, and a short duration of effect. CYB003’s therapeutic profile as a potentially differentiated treatment for MDD is expected to provide more consistent and predictable dosing, and low intra- and inter- individual variability, with the goal of reducing time and resource burden on the healthcare system.</w:t>
      </w:r>
    </w:p>
    <w:p>
      <w:pPr>
        <w:spacing w:after="0" w:line="165" w:lineRule="exact"/>
        <w:rPr>
          <w:rFonts w:ascii="Times New Roman" w:cs="Times New Roman" w:eastAsia="Times New Roman" w:hAnsi="Times New Roman"/>
          <w:sz w:val="18"/>
          <w:szCs w:val="18"/>
          <w:i w:val="1"/>
          <w:iCs w:val="1"/>
          <w:color w:val="auto"/>
        </w:rPr>
      </w:pPr>
    </w:p>
    <w:p>
      <w:pPr>
        <w:ind w:left="283" w:right="20" w:hanging="283"/>
        <w:spacing w:after="0" w:line="352" w:lineRule="auto"/>
        <w:tabs>
          <w:tab w:leader="none" w:pos="272" w:val="left"/>
        </w:tabs>
        <w:numPr>
          <w:ilvl w:val="0"/>
          <w:numId w:val="53"/>
        </w:numPr>
        <w:rPr>
          <w:rFonts w:ascii="Times New Roman" w:cs="Times New Roman" w:eastAsia="Times New Roman" w:hAnsi="Times New Roman"/>
          <w:sz w:val="18"/>
          <w:szCs w:val="18"/>
          <w:i w:val="1"/>
          <w:iCs w:val="1"/>
          <w:color w:val="auto"/>
        </w:rPr>
      </w:pPr>
      <w:r>
        <w:rPr>
          <w:rFonts w:ascii="Arial" w:cs="Arial" w:eastAsia="Arial" w:hAnsi="Arial"/>
          <w:sz w:val="18"/>
          <w:szCs w:val="18"/>
          <w:color w:val="auto"/>
        </w:rPr>
        <w:t>CYB003 is the first ever deuterated psilocybin analog to enter clinical development and its therapeutic profile as a potentially differentiated treatment for MDD has recently been highlighted in poster presentations at multiple scientific conferences.</w:t>
      </w:r>
    </w:p>
    <w:p>
      <w:pPr>
        <w:spacing w:after="0" w:line="14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Kernel partnership evaluating Kernel Flow®</w:t>
      </w:r>
    </w:p>
    <w:p>
      <w:pPr>
        <w:sectPr>
          <w:pgSz w:w="11900" w:h="16838" w:orient="portrait"/>
          <w:cols w:equalWidth="0" w:num="1">
            <w:col w:w="11263"/>
          </w:cols>
          <w:pgMar w:left="317" w:top="1440" w:right="319" w:bottom="1440" w:gutter="0" w:footer="0" w:header="0"/>
        </w:sectPr>
      </w:pPr>
    </w:p>
    <w:bookmarkStart w:id="97" w:name="page98"/>
    <w:bookmarkEnd w:id="97"/>
    <w:p>
      <w:pPr>
        <w:spacing w:after="0" w:line="87" w:lineRule="exact"/>
        <w:rPr>
          <w:sz w:val="20"/>
          <w:szCs w:val="20"/>
          <w:color w:val="auto"/>
        </w:rPr>
      </w:pPr>
    </w:p>
    <w:p>
      <w:pPr>
        <w:jc w:val="both"/>
        <w:ind w:left="283" w:hanging="283"/>
        <w:spacing w:after="0" w:line="346" w:lineRule="auto"/>
        <w:tabs>
          <w:tab w:leader="none" w:pos="272" w:val="left"/>
        </w:tabs>
        <w:numPr>
          <w:ilvl w:val="0"/>
          <w:numId w:val="54"/>
        </w:numPr>
        <w:rPr>
          <w:rFonts w:ascii="Times New Roman" w:cs="Times New Roman" w:eastAsia="Times New Roman" w:hAnsi="Times New Roman"/>
          <w:sz w:val="17"/>
          <w:szCs w:val="17"/>
          <w:i w:val="1"/>
          <w:iCs w:val="1"/>
          <w:color w:val="auto"/>
        </w:rPr>
      </w:pPr>
      <w:r>
        <w:rPr>
          <w:rFonts w:ascii="Arial" w:cs="Arial" w:eastAsia="Arial" w:hAnsi="Arial"/>
          <w:sz w:val="17"/>
          <w:szCs w:val="17"/>
          <w:color w:val="auto"/>
        </w:rPr>
        <w:t>On January 18, 2023, the Company announced promising results from its sponsored feasibility study, conducted by HI, LLC dba Kernel (“</w:t>
      </w:r>
      <w:r>
        <w:rPr>
          <w:rFonts w:ascii="Arial" w:cs="Arial" w:eastAsia="Arial" w:hAnsi="Arial"/>
          <w:sz w:val="17"/>
          <w:szCs w:val="17"/>
          <w:b w:val="1"/>
          <w:bCs w:val="1"/>
          <w:color w:val="auto"/>
        </w:rPr>
        <w:t>Kernel</w:t>
      </w:r>
      <w:r>
        <w:rPr>
          <w:rFonts w:ascii="Arial" w:cs="Arial" w:eastAsia="Arial" w:hAnsi="Arial"/>
          <w:sz w:val="17"/>
          <w:szCs w:val="17"/>
          <w:color w:val="auto"/>
        </w:rPr>
        <w:t>”), that provided key proof-of-principle for Kernel Flow wearable technology (“</w:t>
      </w:r>
      <w:r>
        <w:rPr>
          <w:rFonts w:ascii="Arial" w:cs="Arial" w:eastAsia="Arial" w:hAnsi="Arial"/>
          <w:sz w:val="17"/>
          <w:szCs w:val="17"/>
          <w:b w:val="1"/>
          <w:bCs w:val="1"/>
          <w:color w:val="auto"/>
        </w:rPr>
        <w:t>Flow</w:t>
      </w:r>
      <w:r>
        <w:rPr>
          <w:rFonts w:ascii="Arial" w:cs="Arial" w:eastAsia="Arial" w:hAnsi="Arial"/>
          <w:sz w:val="17"/>
          <w:szCs w:val="17"/>
          <w:color w:val="auto"/>
        </w:rPr>
        <w:t>”) as a portable functional system that provides real-time measurements of blood oxygenation changes in the brain associated with neural activity during the administration of psychedelics. These findings support Flow as a tool to potentially provide valuable insight into the effects and mechanisms of psychedelics on the brain. Further analysis from this study is ongoing and will inform Cybin’s potential integration of Flow in future clinical trials.</w:t>
      </w:r>
    </w:p>
    <w:p>
      <w:pPr>
        <w:spacing w:after="0" w:line="154" w:lineRule="exact"/>
        <w:rPr>
          <w:sz w:val="20"/>
          <w:szCs w:val="20"/>
          <w:color w:val="auto"/>
        </w:rPr>
      </w:pPr>
    </w:p>
    <w:p>
      <w:pPr>
        <w:ind w:left="3"/>
        <w:spacing w:after="0"/>
        <w:rPr>
          <w:sz w:val="20"/>
          <w:szCs w:val="20"/>
          <w:color w:val="auto"/>
        </w:rPr>
      </w:pPr>
      <w:r>
        <w:rPr>
          <w:rFonts w:ascii="Arial" w:cs="Arial" w:eastAsia="Arial" w:hAnsi="Arial"/>
          <w:sz w:val="18"/>
          <w:szCs w:val="18"/>
          <w:b w:val="1"/>
          <w:bCs w:val="1"/>
          <w:i w:val="1"/>
          <w:iCs w:val="1"/>
          <w:color w:val="auto"/>
        </w:rPr>
        <w:t>R&amp;D Day to be held on February 28, 2023 at 10:00 a.m. ET.</w:t>
      </w:r>
    </w:p>
    <w:p>
      <w:pPr>
        <w:spacing w:after="0" w:line="278" w:lineRule="exact"/>
        <w:rPr>
          <w:sz w:val="20"/>
          <w:szCs w:val="20"/>
          <w:color w:val="auto"/>
        </w:rPr>
      </w:pPr>
    </w:p>
    <w:p>
      <w:pPr>
        <w:jc w:val="both"/>
        <w:ind w:left="283" w:hanging="283"/>
        <w:spacing w:after="0" w:line="328" w:lineRule="auto"/>
        <w:tabs>
          <w:tab w:leader="none" w:pos="272"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The virtual R&amp;D Day event will be hosted by Cybin’s leadership team and will feature key opinion leader Dr. Maurizio Fava, Psychiatrist-in-Chief of Massachusetts General Hospital (“</w:t>
      </w:r>
      <w:r>
        <w:rPr>
          <w:rFonts w:ascii="Arial" w:cs="Arial" w:eastAsia="Arial" w:hAnsi="Arial"/>
          <w:sz w:val="18"/>
          <w:szCs w:val="18"/>
          <w:b w:val="1"/>
          <w:bCs w:val="1"/>
          <w:color w:val="auto"/>
        </w:rPr>
        <w:t>MGH</w:t>
      </w:r>
      <w:r>
        <w:rPr>
          <w:rFonts w:ascii="Arial" w:cs="Arial" w:eastAsia="Arial" w:hAnsi="Arial"/>
          <w:sz w:val="18"/>
          <w:szCs w:val="18"/>
          <w:color w:val="auto"/>
        </w:rPr>
        <w:t>”), Vice Chair of the MGH Executive Committee on Research, Executive Director of the Clinical Trials Network and Institute at MGH, Associate Dean for clinical and translational research, and the Slater Family Professor of Psychiatry at Harvard Medical School.</w:t>
      </w:r>
    </w:p>
    <w:p>
      <w:pPr>
        <w:spacing w:after="0" w:line="165" w:lineRule="exact"/>
        <w:rPr>
          <w:rFonts w:ascii="Times New Roman" w:cs="Times New Roman" w:eastAsia="Times New Roman" w:hAnsi="Times New Roman"/>
          <w:sz w:val="18"/>
          <w:szCs w:val="18"/>
          <w:color w:val="auto"/>
        </w:rPr>
      </w:pPr>
    </w:p>
    <w:p>
      <w:pPr>
        <w:jc w:val="both"/>
        <w:ind w:left="283" w:hanging="283"/>
        <w:spacing w:after="0" w:line="330" w:lineRule="auto"/>
        <w:tabs>
          <w:tab w:leader="none" w:pos="272" w:val="left"/>
        </w:tabs>
        <w:numPr>
          <w:ilvl w:val="0"/>
          <w:numId w:val="55"/>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During the event, the Company expects to provide an interim readout from the ongoing Phase 1/2a trial evaluating CYB003 for the potential treatment of MDD, an update from the ongoing Phase 1 CYB004-E trial evaluating IV DMT and an update on its CYB004 program for the potential treatment of GAD. Click </w:t>
      </w:r>
      <w:r>
        <w:rPr>
          <w:rFonts w:ascii="Arial" w:cs="Arial" w:eastAsia="Arial" w:hAnsi="Arial"/>
          <w:sz w:val="18"/>
          <w:szCs w:val="18"/>
          <w:u w:val="single" w:color="auto"/>
          <w:color w:val="0000FF"/>
        </w:rPr>
        <w:t>here</w:t>
      </w:r>
      <w:r>
        <w:rPr>
          <w:rFonts w:ascii="Arial" w:cs="Arial" w:eastAsia="Arial" w:hAnsi="Arial"/>
          <w:sz w:val="18"/>
          <w:szCs w:val="18"/>
          <w:color w:val="auto"/>
        </w:rPr>
        <w:t xml:space="preserve"> to register for the event.</w:t>
      </w:r>
    </w:p>
    <w:p>
      <w:pPr>
        <w:spacing w:after="0" w:line="356" w:lineRule="exact"/>
        <w:rPr>
          <w:sz w:val="20"/>
          <w:szCs w:val="20"/>
          <w:color w:val="auto"/>
        </w:rPr>
      </w:pPr>
    </w:p>
    <w:p>
      <w:pPr>
        <w:ind w:left="3"/>
        <w:spacing w:after="0"/>
        <w:rPr>
          <w:sz w:val="20"/>
          <w:szCs w:val="20"/>
          <w:color w:val="auto"/>
        </w:rPr>
      </w:pPr>
      <w:r>
        <w:rPr>
          <w:rFonts w:ascii="Arial" w:cs="Arial" w:eastAsia="Arial" w:hAnsi="Arial"/>
          <w:sz w:val="18"/>
          <w:szCs w:val="18"/>
          <w:b w:val="1"/>
          <w:bCs w:val="1"/>
          <w:color w:val="auto"/>
        </w:rPr>
        <w:t>Third-Quarter Financial Information:</w:t>
      </w:r>
    </w:p>
    <w:p>
      <w:pPr>
        <w:spacing w:after="0" w:line="232" w:lineRule="exact"/>
        <w:rPr>
          <w:sz w:val="20"/>
          <w:szCs w:val="20"/>
          <w:color w:val="auto"/>
        </w:rPr>
      </w:pPr>
    </w:p>
    <w:p>
      <w:pPr>
        <w:ind w:left="283" w:hanging="283"/>
        <w:spacing w:after="0"/>
        <w:tabs>
          <w:tab w:leader="none" w:pos="283" w:val="left"/>
        </w:tabs>
        <w:numPr>
          <w:ilvl w:val="0"/>
          <w:numId w:val="56"/>
        </w:numPr>
        <w:rPr>
          <w:rFonts w:ascii="Arial" w:cs="Arial" w:eastAsia="Arial" w:hAnsi="Arial"/>
          <w:sz w:val="18"/>
          <w:szCs w:val="18"/>
          <w:color w:val="auto"/>
        </w:rPr>
      </w:pPr>
      <w:r>
        <w:rPr>
          <w:rFonts w:ascii="Arial" w:cs="Arial" w:eastAsia="Arial" w:hAnsi="Arial"/>
          <w:sz w:val="18"/>
          <w:szCs w:val="18"/>
          <w:color w:val="auto"/>
        </w:rPr>
        <w:t>Cash totaled C$22.5 million as of December 31, 2022, and C$20 million as of February 14, 2023.</w:t>
      </w:r>
    </w:p>
    <w:p>
      <w:pPr>
        <w:spacing w:after="0" w:line="265" w:lineRule="exact"/>
        <w:rPr>
          <w:rFonts w:ascii="Arial" w:cs="Arial" w:eastAsia="Arial" w:hAnsi="Arial"/>
          <w:sz w:val="18"/>
          <w:szCs w:val="18"/>
          <w:color w:val="auto"/>
        </w:rPr>
      </w:pPr>
    </w:p>
    <w:p>
      <w:pPr>
        <w:ind w:left="283" w:right="80" w:hanging="283"/>
        <w:spacing w:after="0" w:line="338" w:lineRule="auto"/>
        <w:tabs>
          <w:tab w:leader="none" w:pos="272"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Net loss was C$10.7 million for the quarter ended December 31, 2022, compared to a net loss of C$17.2 million in the same period last year.</w:t>
      </w:r>
    </w:p>
    <w:p>
      <w:pPr>
        <w:spacing w:after="0" w:line="143" w:lineRule="exact"/>
        <w:rPr>
          <w:rFonts w:ascii="Times New Roman" w:cs="Times New Roman" w:eastAsia="Times New Roman" w:hAnsi="Times New Roman"/>
          <w:sz w:val="18"/>
          <w:szCs w:val="18"/>
          <w:color w:val="auto"/>
        </w:rPr>
      </w:pPr>
    </w:p>
    <w:p>
      <w:pPr>
        <w:ind w:left="283" w:hanging="283"/>
        <w:spacing w:after="0"/>
        <w:tabs>
          <w:tab w:leader="none" w:pos="283"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Cash-based operating expenses totaled C$11.1 million compared to C$12.0 million in the same period last year.</w:t>
      </w:r>
    </w:p>
    <w:p>
      <w:pPr>
        <w:spacing w:after="0" w:line="253" w:lineRule="exact"/>
        <w:rPr>
          <w:rFonts w:ascii="Times New Roman" w:cs="Times New Roman" w:eastAsia="Times New Roman" w:hAnsi="Times New Roman"/>
          <w:sz w:val="18"/>
          <w:szCs w:val="18"/>
          <w:color w:val="auto"/>
        </w:rPr>
      </w:pPr>
    </w:p>
    <w:p>
      <w:pPr>
        <w:ind w:left="283" w:right="100" w:hanging="283"/>
        <w:spacing w:after="0" w:line="338" w:lineRule="auto"/>
        <w:tabs>
          <w:tab w:leader="none" w:pos="272" w:val="left"/>
        </w:tabs>
        <w:numPr>
          <w:ilvl w:val="0"/>
          <w:numId w:val="56"/>
        </w:numPr>
        <w:rPr>
          <w:rFonts w:ascii="Times New Roman" w:cs="Times New Roman" w:eastAsia="Times New Roman" w:hAnsi="Times New Roman"/>
          <w:sz w:val="18"/>
          <w:szCs w:val="18"/>
          <w:color w:val="auto"/>
        </w:rPr>
      </w:pPr>
      <w:r>
        <w:rPr>
          <w:rFonts w:ascii="Arial" w:cs="Arial" w:eastAsia="Arial" w:hAnsi="Arial"/>
          <w:sz w:val="18"/>
          <w:szCs w:val="18"/>
          <w:color w:val="auto"/>
        </w:rPr>
        <w:t>Cash flows used in operating activities were C$10.8 million for the quarter ended December 31, 2022, compared to C$12.8 million in the same period last year.</w:t>
      </w:r>
    </w:p>
    <w:p>
      <w:pPr>
        <w:spacing w:after="0" w:line="141" w:lineRule="exact"/>
        <w:rPr>
          <w:rFonts w:ascii="Times New Roman" w:cs="Times New Roman" w:eastAsia="Times New Roman" w:hAnsi="Times New Roman"/>
          <w:sz w:val="18"/>
          <w:szCs w:val="18"/>
          <w:color w:val="auto"/>
        </w:rPr>
      </w:pPr>
    </w:p>
    <w:p>
      <w:pPr>
        <w:jc w:val="both"/>
        <w:ind w:left="283" w:right="80" w:hanging="283"/>
        <w:spacing w:after="0" w:line="325" w:lineRule="auto"/>
        <w:tabs>
          <w:tab w:leader="none" w:pos="272" w:val="left"/>
        </w:tabs>
        <w:numPr>
          <w:ilvl w:val="0"/>
          <w:numId w:val="56"/>
        </w:numPr>
        <w:rPr>
          <w:rFonts w:ascii="Arial" w:cs="Arial" w:eastAsia="Arial" w:hAnsi="Arial"/>
          <w:sz w:val="18"/>
          <w:szCs w:val="18"/>
          <w:color w:val="auto"/>
        </w:rPr>
      </w:pPr>
      <w:r>
        <w:rPr>
          <w:rFonts w:ascii="Arial" w:cs="Arial" w:eastAsia="Arial" w:hAnsi="Arial"/>
          <w:sz w:val="18"/>
          <w:szCs w:val="18"/>
          <w:color w:val="auto"/>
        </w:rPr>
        <w:t>Pursuant to the previously announced at-the-market (“</w:t>
      </w:r>
      <w:r>
        <w:rPr>
          <w:rFonts w:ascii="Arial" w:cs="Arial" w:eastAsia="Arial" w:hAnsi="Arial"/>
          <w:sz w:val="18"/>
          <w:szCs w:val="18"/>
          <w:b w:val="1"/>
          <w:bCs w:val="1"/>
          <w:color w:val="auto"/>
        </w:rPr>
        <w:t>ATM</w:t>
      </w:r>
      <w:r>
        <w:rPr>
          <w:rFonts w:ascii="Arial" w:cs="Arial" w:eastAsia="Arial" w:hAnsi="Arial"/>
          <w:sz w:val="18"/>
          <w:szCs w:val="18"/>
          <w:color w:val="auto"/>
        </w:rPr>
        <w:t>”) US$35 million equity program, as of February 14, 2023, the ATM allows Cybin to issue and sell up to an additional US$26 (C$35) million of common shares. Depending on market conditions, this will provide Cybin with access to additional cash for growth opportunities and working capital.</w:t>
      </w:r>
    </w:p>
    <w:p>
      <w:pPr>
        <w:sectPr>
          <w:pgSz w:w="11900" w:h="16838" w:orient="portrait"/>
          <w:cols w:equalWidth="0" w:num="1">
            <w:col w:w="11243"/>
          </w:cols>
          <w:pgMar w:left="317" w:top="1440" w:right="339" w:bottom="1440" w:gutter="0" w:footer="0" w:header="0"/>
        </w:sectPr>
      </w:pPr>
    </w:p>
    <w:bookmarkStart w:id="98" w:name="page99"/>
    <w:bookmarkEnd w:id="98"/>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Cybin</w:t>
      </w:r>
    </w:p>
    <w:p>
      <w:pPr>
        <w:spacing w:after="0" w:line="244"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Cybin is a leading ethical biopharmaceutical company, working with a network of world-class partners and internationally recognized scientists, on a mission to create safe and effective therapeutics for patients to address a multitude of mental health issues. Headquartered in Canada and founded in 2019, Cybin is operational in Canada, the United States, the United Kingdom, the Netherlands and Ireland. The Company is focused on progressing Psychedelics to Therapeutics by engineering proprietary drug discovery platforms, innovative drug delivery systems, novel formulation approaches and treatment regimens for mental health disorders.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Notes and Forward-Looking Statements</w:t>
      </w:r>
    </w:p>
    <w:p>
      <w:pPr>
        <w:spacing w:after="0" w:line="280" w:lineRule="exact"/>
        <w:rPr>
          <w:sz w:val="20"/>
          <w:szCs w:val="20"/>
          <w:color w:val="auto"/>
        </w:rPr>
      </w:pPr>
    </w:p>
    <w:p>
      <w:pPr>
        <w:jc w:val="both"/>
        <w:spacing w:after="0" w:line="321" w:lineRule="auto"/>
        <w:rPr>
          <w:sz w:val="20"/>
          <w:szCs w:val="20"/>
          <w:color w:val="auto"/>
        </w:rPr>
      </w:pPr>
      <w:r>
        <w:rPr>
          <w:rFonts w:ascii="Arial" w:cs="Arial" w:eastAsia="Arial" w:hAnsi="Arial"/>
          <w:sz w:val="18"/>
          <w:szCs w:val="18"/>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cash runway to support upcoming clinical milestones; the ATM program and the anticipated results; the anticipated results and potential of the Company’s CYB003 Phase 1/2a trial; the Company’s plans to provide an interim readout from the CYB003 Phase 1/2a study; the Company’s plans to provide an update on the CYB004-E trial and the CYB004 program; statements regarding the Company’s Phase 1 DMT clinical study for CYB004-E, anticipated results and the impact of this study on future clinical trials; the Company’s clinical development program evaluating CYB004; statements regarding the Kernel Flow feasibility study and the potential integration of Flow in future clinical trials; and the Company’s plans to engineer proprietary drug discovery platforms, innovative drug delivery systems, novel formulation approaches and treatment regimens for mental health conditions.</w:t>
      </w:r>
    </w:p>
    <w:p>
      <w:pPr>
        <w:spacing w:after="0" w:line="183" w:lineRule="exact"/>
        <w:rPr>
          <w:sz w:val="20"/>
          <w:szCs w:val="20"/>
          <w:color w:val="auto"/>
        </w:rPr>
      </w:pPr>
    </w:p>
    <w:p>
      <w:pPr>
        <w:jc w:val="both"/>
        <w:ind w:right="80"/>
        <w:spacing w:after="0" w:line="323" w:lineRule="auto"/>
        <w:rPr>
          <w:sz w:val="20"/>
          <w:szCs w:val="20"/>
          <w:color w:val="auto"/>
        </w:rPr>
      </w:pPr>
      <w:r>
        <w:rPr>
          <w:rFonts w:ascii="Arial" w:cs="Arial" w:eastAsia="Arial" w:hAnsi="Arial"/>
          <w:sz w:val="18"/>
          <w:szCs w:val="18"/>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w:t>
      </w:r>
    </w:p>
    <w:p>
      <w:pPr>
        <w:sectPr>
          <w:pgSz w:w="11900" w:h="16838" w:orient="portrait"/>
          <w:cols w:equalWidth="0" w:num="1">
            <w:col w:w="11240"/>
          </w:cols>
          <w:pgMar w:left="320" w:top="1440" w:right="339" w:bottom="1440" w:gutter="0" w:footer="0" w:header="0"/>
        </w:sectPr>
      </w:pPr>
    </w:p>
    <w:bookmarkStart w:id="99" w:name="page100"/>
    <w:bookmarkEnd w:id="99"/>
    <w:p>
      <w:pPr>
        <w:jc w:val="both"/>
        <w:ind w:right="80"/>
        <w:spacing w:after="0" w:line="319" w:lineRule="auto"/>
        <w:rPr>
          <w:sz w:val="20"/>
          <w:szCs w:val="20"/>
          <w:color w:val="auto"/>
        </w:rPr>
      </w:pPr>
      <w:r>
        <w:rPr>
          <w:rFonts w:ascii="Arial" w:cs="Arial" w:eastAsia="Arial" w:hAnsi="Arial"/>
          <w:sz w:val="18"/>
          <w:szCs w:val="18"/>
          <w:color w:val="auto"/>
        </w:rPr>
        <w:t>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three and nine month periods ended December 31, 2022, the Company’s annual information form for the year ended March 31, 2022, and the Company’s listing statement dated November 9, 2020 which are available under the Company's profile on www.sedar.com and with the U.S. Securities and Exchange Commission on EDGAR at www.sec.gov. Although the forward- 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 looking statements of beliefs, opinions, projections, or other factors, should they change, except as required by law.</w:t>
      </w:r>
    </w:p>
    <w:p>
      <w:pPr>
        <w:spacing w:after="0" w:line="215" w:lineRule="exact"/>
        <w:rPr>
          <w:sz w:val="20"/>
          <w:szCs w:val="20"/>
          <w:color w:val="auto"/>
        </w:rPr>
      </w:pPr>
    </w:p>
    <w:p>
      <w:pPr>
        <w:jc w:val="both"/>
        <w:ind w:right="80"/>
        <w:spacing w:after="0" w:line="321" w:lineRule="auto"/>
        <w:rPr>
          <w:sz w:val="20"/>
          <w:szCs w:val="20"/>
          <w:color w:val="auto"/>
        </w:rPr>
      </w:pPr>
      <w:r>
        <w:rPr>
          <w:rFonts w:ascii="Arial" w:cs="Arial" w:eastAsia="Arial" w:hAnsi="Arial"/>
          <w:sz w:val="18"/>
          <w:szCs w:val="18"/>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186" w:lineRule="exact"/>
        <w:rPr>
          <w:sz w:val="20"/>
          <w:szCs w:val="20"/>
          <w:color w:val="auto"/>
        </w:rPr>
      </w:pPr>
    </w:p>
    <w:p>
      <w:pPr>
        <w:spacing w:after="0" w:line="367" w:lineRule="auto"/>
        <w:rPr>
          <w:sz w:val="20"/>
          <w:szCs w:val="20"/>
          <w:color w:val="auto"/>
        </w:rPr>
      </w:pPr>
      <w:r>
        <w:rPr>
          <w:rFonts w:ascii="Arial" w:cs="Arial" w:eastAsia="Arial" w:hAnsi="Arial"/>
          <w:sz w:val="18"/>
          <w:szCs w:val="18"/>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Leah Gibson</w:t>
      </w:r>
    </w:p>
    <w:p>
      <w:pPr>
        <w:sectPr>
          <w:pgSz w:w="11900" w:h="16838" w:orient="portrait"/>
          <w:cols w:equalWidth="0" w:num="1">
            <w:col w:w="11240"/>
          </w:cols>
          <w:pgMar w:left="320" w:top="1321" w:right="339" w:bottom="1440" w:gutter="0" w:footer="0" w:header="0"/>
        </w:sectPr>
      </w:pPr>
    </w:p>
    <w:bookmarkStart w:id="100" w:name="page101"/>
    <w:bookmarkEnd w:id="100"/>
    <w:p>
      <w:pPr>
        <w:ind w:left="3"/>
        <w:spacing w:after="0"/>
        <w:rPr>
          <w:sz w:val="20"/>
          <w:szCs w:val="20"/>
          <w:color w:val="auto"/>
        </w:rPr>
      </w:pPr>
      <w:r>
        <w:rPr>
          <w:rFonts w:ascii="Arial" w:cs="Arial" w:eastAsia="Arial" w:hAnsi="Arial"/>
          <w:sz w:val="18"/>
          <w:szCs w:val="18"/>
          <w:color w:val="auto"/>
        </w:rPr>
        <w:t>Vice President, Investor Relations &amp; Strategic Communications</w:t>
      </w:r>
    </w:p>
    <w:p>
      <w:pPr>
        <w:spacing w:after="0" w:line="72" w:lineRule="exact"/>
        <w:rPr>
          <w:sz w:val="20"/>
          <w:szCs w:val="20"/>
          <w:color w:val="auto"/>
        </w:rPr>
      </w:pPr>
    </w:p>
    <w:p>
      <w:pPr>
        <w:ind w:left="3"/>
        <w:spacing w:after="0"/>
        <w:rPr>
          <w:sz w:val="20"/>
          <w:szCs w:val="20"/>
          <w:color w:val="auto"/>
        </w:rPr>
      </w:pPr>
      <w:r>
        <w:rPr>
          <w:rFonts w:ascii="Arial" w:cs="Arial" w:eastAsia="Arial" w:hAnsi="Arial"/>
          <w:sz w:val="18"/>
          <w:szCs w:val="18"/>
          <w:color w:val="auto"/>
        </w:rPr>
        <w:t>Cybin Inc.</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8"/>
          <w:szCs w:val="18"/>
          <w:u w:val="single" w:color="auto"/>
          <w:color w:val="0000FF"/>
        </w:rPr>
        <w:t>irteam@cybin.com</w:t>
      </w:r>
      <w:r>
        <w:rPr>
          <w:rFonts w:ascii="Arial" w:cs="Arial" w:eastAsia="Arial" w:hAnsi="Arial"/>
          <w:sz w:val="18"/>
          <w:szCs w:val="18"/>
          <w:color w:val="0000FF"/>
        </w:rPr>
        <w:t xml:space="preserve"> </w:t>
      </w:r>
      <w:r>
        <w:rPr>
          <w:rFonts w:ascii="Arial" w:cs="Arial" w:eastAsia="Arial" w:hAnsi="Arial"/>
          <w:sz w:val="18"/>
          <w:szCs w:val="18"/>
          <w:color w:val="000000"/>
        </w:rPr>
        <w:t>– or –</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media@cybin.com</w:t>
      </w:r>
    </w:p>
    <w:p>
      <w:pPr>
        <w:spacing w:after="0" w:line="290" w:lineRule="exact"/>
        <w:rPr>
          <w:sz w:val="20"/>
          <w:szCs w:val="20"/>
          <w:color w:val="auto"/>
        </w:rPr>
      </w:pPr>
    </w:p>
    <w:p>
      <w:pPr>
        <w:ind w:left="3"/>
        <w:spacing w:after="0"/>
        <w:rPr>
          <w:sz w:val="20"/>
          <w:szCs w:val="20"/>
          <w:color w:val="auto"/>
        </w:rPr>
      </w:pPr>
      <w:r>
        <w:rPr>
          <w:rFonts w:ascii="Arial" w:cs="Arial" w:eastAsia="Arial" w:hAnsi="Arial"/>
          <w:sz w:val="18"/>
          <w:szCs w:val="18"/>
          <w:color w:val="auto"/>
        </w:rPr>
        <w:t>Gabriel Fahel</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8"/>
          <w:szCs w:val="18"/>
          <w:color w:val="auto"/>
        </w:rPr>
        <w:t>Chief Legal Officer</w:t>
      </w:r>
    </w:p>
    <w:p>
      <w:pPr>
        <w:spacing w:after="0" w:line="72" w:lineRule="exact"/>
        <w:rPr>
          <w:sz w:val="20"/>
          <w:szCs w:val="20"/>
          <w:color w:val="auto"/>
        </w:rPr>
      </w:pPr>
    </w:p>
    <w:p>
      <w:pPr>
        <w:ind w:left="3"/>
        <w:spacing w:after="0"/>
        <w:rPr>
          <w:sz w:val="20"/>
          <w:szCs w:val="20"/>
          <w:color w:val="auto"/>
        </w:rPr>
      </w:pPr>
      <w:r>
        <w:rPr>
          <w:rFonts w:ascii="Arial" w:cs="Arial" w:eastAsia="Arial" w:hAnsi="Arial"/>
          <w:sz w:val="18"/>
          <w:szCs w:val="18"/>
          <w:color w:val="auto"/>
        </w:rPr>
        <w:t>Cybin Inc.</w:t>
      </w:r>
    </w:p>
    <w:p>
      <w:pPr>
        <w:spacing w:after="0" w:line="60" w:lineRule="exact"/>
        <w:rPr>
          <w:sz w:val="20"/>
          <w:szCs w:val="20"/>
          <w:color w:val="auto"/>
        </w:rPr>
      </w:pPr>
    </w:p>
    <w:p>
      <w:pPr>
        <w:ind w:left="3"/>
        <w:spacing w:after="0"/>
        <w:rPr>
          <w:sz w:val="20"/>
          <w:szCs w:val="20"/>
          <w:color w:val="auto"/>
        </w:rPr>
      </w:pPr>
      <w:r>
        <w:rPr>
          <w:rFonts w:ascii="Arial" w:cs="Arial" w:eastAsia="Arial" w:hAnsi="Arial"/>
          <w:sz w:val="18"/>
          <w:szCs w:val="18"/>
          <w:color w:val="auto"/>
        </w:rPr>
        <w:t>1-866-292-460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 w:hanging="3"/>
        <w:spacing w:after="0" w:line="211" w:lineRule="auto"/>
        <w:tabs>
          <w:tab w:leader="none" w:pos="78" w:val="left"/>
        </w:tabs>
        <w:numPr>
          <w:ilvl w:val="0"/>
          <w:numId w:val="57"/>
        </w:numPr>
        <w:rPr>
          <w:rFonts w:ascii="Arial" w:cs="Arial" w:eastAsia="Arial" w:hAnsi="Arial"/>
          <w:sz w:val="23"/>
          <w:szCs w:val="23"/>
          <w:color w:val="auto"/>
          <w:vertAlign w:val="superscript"/>
        </w:rPr>
      </w:pPr>
      <w:r>
        <w:rPr>
          <w:rFonts w:ascii="Arial" w:cs="Arial" w:eastAsia="Arial" w:hAnsi="Arial"/>
          <w:sz w:val="18"/>
          <w:szCs w:val="18"/>
          <w:color w:val="auto"/>
        </w:rPr>
        <w:t>There is no assurance that these timelines will be met. Anticipated timelines regarding drug development are based on reasonable assumptions informed by current knowledge and information available to the Company</w:t>
      </w:r>
    </w:p>
    <w:sectPr>
      <w:pgSz w:w="11900" w:h="16838" w:orient="portrait"/>
      <w:cols w:equalWidth="0" w:num="1">
        <w:col w:w="10323"/>
      </w:cols>
      <w:pgMar w:left="317" w:top="1321" w:right="1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901D82"/>
    <w:multiLevelType w:val="hybridMultilevel"/>
    <w:lvl w:ilvl="0">
      <w:lvlJc w:val="left"/>
      <w:lvlText w:val="%1."/>
      <w:numFmt w:val="decimal"/>
      <w:start w:val="7"/>
    </w:lvl>
  </w:abstractNum>
  <w:abstractNum w:abstractNumId="1">
    <w:nsid w:val="3A95F874"/>
    <w:multiLevelType w:val="hybridMultilevel"/>
    <w:lvl w:ilvl="0">
      <w:lvlJc w:val="left"/>
      <w:lvlText w:val="%1)"/>
      <w:numFmt w:val="lowerLetter"/>
      <w:start w:val="1"/>
    </w:lvl>
  </w:abstractNum>
  <w:abstractNum w:abstractNumId="2">
    <w:nsid w:val="8138641"/>
    <w:multiLevelType w:val="hybridMultilevel"/>
    <w:lvl w:ilvl="0">
      <w:lvlJc w:val="left"/>
      <w:lvlText w:val="%1)"/>
      <w:numFmt w:val="lowerLetter"/>
      <w:start w:val="2"/>
    </w:lvl>
  </w:abstractNum>
  <w:abstractNum w:abstractNumId="3">
    <w:nsid w:val="1E7FF521"/>
    <w:multiLevelType w:val="hybridMultilevel"/>
    <w:lvl w:ilvl="0">
      <w:lvlJc w:val="left"/>
      <w:lvlText w:val="(%1)"/>
      <w:numFmt w:val="decimal"/>
      <w:start w:val="1"/>
    </w:lvl>
  </w:abstractNum>
  <w:abstractNum w:abstractNumId="4">
    <w:nsid w:val="7C3DBD3D"/>
    <w:multiLevelType w:val="hybridMultilevel"/>
    <w:lvl w:ilvl="0">
      <w:lvlJc w:val="left"/>
      <w:lvlText w:val="%1)"/>
      <w:numFmt w:val="lowerLetter"/>
      <w:start w:val="4"/>
    </w:lvl>
  </w:abstractNum>
  <w:abstractNum w:abstractNumId="5">
    <w:nsid w:val="737B8DDC"/>
    <w:multiLevelType w:val="hybridMultilevel"/>
    <w:lvl w:ilvl="0">
      <w:lvlJc w:val="left"/>
      <w:lvlText w:val="%1"/>
      <w:numFmt w:val="decimal"/>
      <w:start w:val="1"/>
    </w:lvl>
    <w:lvl w:ilvl="1">
      <w:lvlJc w:val="left"/>
      <w:lvlText w:val="(%2)"/>
      <w:numFmt w:val="decimal"/>
      <w:start w:val="1"/>
    </w:lvl>
  </w:abstractNum>
  <w:abstractNum w:abstractNumId="6">
    <w:nsid w:val="6CEAF087"/>
    <w:multiLevelType w:val="hybridMultilevel"/>
    <w:lvl w:ilvl="0">
      <w:lvlJc w:val="left"/>
      <w:lvlText w:val="%1."/>
      <w:numFmt w:val="decimal"/>
      <w:start w:val="10"/>
    </w:lvl>
    <w:lvl w:ilvl="1">
      <w:lvlJc w:val="left"/>
      <w:lvlText w:val="%2"/>
      <w:numFmt w:val="decimal"/>
      <w:start w:val="1"/>
    </w:lvl>
  </w:abstractNum>
  <w:abstractNum w:abstractNumId="7">
    <w:nsid w:val="22221A70"/>
    <w:multiLevelType w:val="hybridMultilevel"/>
    <w:lvl w:ilvl="0">
      <w:lvlJc w:val="left"/>
      <w:lvlText w:val="%1."/>
      <w:numFmt w:val="decimal"/>
      <w:start w:val="16"/>
    </w:lvl>
    <w:lvl w:ilvl="1">
      <w:lvlJc w:val="left"/>
      <w:lvlText w:val="(%2)"/>
      <w:numFmt w:val="lowerLetter"/>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
      <w:numFmt w:val="bullet"/>
      <w:start w:val="1"/>
    </w:lvl>
  </w:abstractNum>
  <w:abstractNum w:abstractNumId="13">
    <w:nsid w:val="440BADFC"/>
    <w:multiLevelType w:val="hybridMultilevel"/>
    <w:lvl w:ilvl="0">
      <w:lvlJc w:val="left"/>
      <w:lvlText w:val="•"/>
      <w:numFmt w:val="bullet"/>
      <w:start w:val="1"/>
    </w:lvl>
  </w:abstractNum>
  <w:abstractNum w:abstractNumId="14">
    <w:nsid w:val="5072367"/>
    <w:multiLevelType w:val="hybridMultilevel"/>
    <w:lvl w:ilvl="0">
      <w:lvlJc w:val="left"/>
      <w:lvlText w:val="1"/>
      <w:numFmt w:val="bullet"/>
      <w:start w:val="1"/>
    </w:lvl>
  </w:abstractNum>
  <w:abstractNum w:abstractNumId="15">
    <w:nsid w:val="3804823E"/>
    <w:multiLevelType w:val="hybridMultilevel"/>
    <w:lvl w:ilvl="0">
      <w:lvlJc w:val="left"/>
      <w:lvlText w:val="2"/>
      <w:numFmt w:val="bullet"/>
      <w:start w:val="1"/>
    </w:lvl>
  </w:abstractNum>
  <w:abstractNum w:abstractNumId="16">
    <w:nsid w:val="77465F01"/>
    <w:multiLevelType w:val="hybridMultilevel"/>
    <w:lvl w:ilvl="0">
      <w:lvlJc w:val="left"/>
      <w:lvlText w:val="6"/>
      <w:numFmt w:val="bullet"/>
      <w:start w:val="1"/>
    </w:lvl>
  </w:abstractNum>
  <w:abstractNum w:abstractNumId="17">
    <w:nsid w:val="7724C67E"/>
    <w:multiLevelType w:val="hybridMultilevel"/>
    <w:lvl w:ilvl="0">
      <w:lvlJc w:val="left"/>
      <w:lvlText w:val="7"/>
      <w:numFmt w:val="bullet"/>
      <w:start w:val="1"/>
    </w:lvl>
  </w:abstractNum>
  <w:abstractNum w:abstractNumId="18">
    <w:nsid w:val="5C482A97"/>
    <w:multiLevelType w:val="hybridMultilevel"/>
    <w:lvl w:ilvl="0">
      <w:lvlJc w:val="left"/>
      <w:lvlText w:val="8"/>
      <w:numFmt w:val="bullet"/>
      <w:start w:val="1"/>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9"/>
      <w:numFmt w:val="bullet"/>
      <w:start w:val="1"/>
    </w:lvl>
  </w:abstractNum>
  <w:abstractNum w:abstractNumId="21">
    <w:nsid w:val="51EAD36B"/>
    <w:multiLevelType w:val="hybridMultilevel"/>
    <w:lvl w:ilvl="0">
      <w:lvlJc w:val="left"/>
      <w:lvlText w:val="•"/>
      <w:numFmt w:val="bullet"/>
      <w:start w:val="1"/>
    </w:lvl>
  </w:abstractNum>
  <w:abstractNum w:abstractNumId="22">
    <w:nsid w:val="2D517796"/>
    <w:multiLevelType w:val="hybridMultilevel"/>
    <w:lvl w:ilvl="0">
      <w:lvlJc w:val="left"/>
      <w:lvlText w:val="%1"/>
      <w:numFmt w:val="decimal"/>
      <w:start w:val="11"/>
    </w:lvl>
  </w:abstractNum>
  <w:abstractNum w:abstractNumId="23">
    <w:nsid w:val="580BD78F"/>
    <w:multiLevelType w:val="hybridMultilevel"/>
    <w:lvl w:ilvl="0">
      <w:lvlJc w:val="left"/>
      <w:lvlText w:val="•"/>
      <w:numFmt w:val="bullet"/>
      <w:start w:val="1"/>
    </w:lvl>
  </w:abstractNum>
  <w:abstractNum w:abstractNumId="24">
    <w:nsid w:val="153EA438"/>
    <w:multiLevelType w:val="hybridMultilevel"/>
    <w:lvl w:ilvl="0">
      <w:lvlJc w:val="left"/>
      <w:lvlText w:val="•"/>
      <w:numFmt w:val="bullet"/>
      <w:start w:val="1"/>
    </w:lvl>
  </w:abstractNum>
  <w:abstractNum w:abstractNumId="25">
    <w:nsid w:val="3855585C"/>
    <w:multiLevelType w:val="hybridMultilevel"/>
    <w:lvl w:ilvl="0">
      <w:lvlJc w:val="left"/>
      <w:lvlText w:val="%1"/>
      <w:numFmt w:val="decimal"/>
      <w:start w:val="12"/>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1"/>
      <w:numFmt w:val="decimal"/>
      <w:start w:val="16"/>
    </w:lvl>
  </w:abstractNum>
  <w:abstractNum w:abstractNumId="28">
    <w:nsid w:val="2A487CB0"/>
    <w:multiLevelType w:val="hybridMultilevel"/>
    <w:lvl w:ilvl="0">
      <w:lvlJc w:val="left"/>
      <w:lvlText w:val="%1"/>
      <w:numFmt w:val="decimal"/>
      <w:start w:val="21"/>
    </w:lvl>
  </w:abstractNum>
  <w:abstractNum w:abstractNumId="29">
    <w:nsid w:val="1D4ED43B"/>
    <w:multiLevelType w:val="hybridMultilevel"/>
    <w:lvl w:ilvl="0">
      <w:lvlJc w:val="left"/>
      <w:lvlText w:val="%1"/>
      <w:numFmt w:val="decimal"/>
      <w:start w:val="23"/>
    </w:lvl>
  </w:abstractNum>
  <w:abstractNum w:abstractNumId="30">
    <w:nsid w:val="725A06FB"/>
    <w:multiLevelType w:val="hybridMultilevel"/>
    <w:lvl w:ilvl="0">
      <w:lvlJc w:val="left"/>
      <w:lvlText w:val="%1"/>
      <w:numFmt w:val="decimal"/>
      <w:start w:val="24"/>
    </w:lvl>
  </w:abstractNum>
  <w:abstractNum w:abstractNumId="31">
    <w:nsid w:val="2CD89A32"/>
    <w:multiLevelType w:val="hybridMultilevel"/>
    <w:lvl w:ilvl="0">
      <w:lvlJc w:val="left"/>
      <w:lvlText w:val="%1"/>
      <w:numFmt w:val="decimal"/>
      <w:start w:val="25"/>
    </w:lvl>
  </w:abstractNum>
  <w:abstractNum w:abstractNumId="32">
    <w:nsid w:val="57E4CCAF"/>
    <w:multiLevelType w:val="hybridMultilevel"/>
    <w:lvl w:ilvl="0">
      <w:lvlJc w:val="left"/>
      <w:lvlText w:val="•"/>
      <w:numFmt w:val="bullet"/>
      <w:start w:val="1"/>
    </w:lvl>
  </w:abstractNum>
  <w:abstractNum w:abstractNumId="33">
    <w:nsid w:val="7A6D8D3C"/>
    <w:multiLevelType w:val="hybridMultilevel"/>
    <w:lvl w:ilvl="0">
      <w:lvlJc w:val="left"/>
      <w:lvlText w:val="%1"/>
      <w:numFmt w:val="decimal"/>
      <w:start w:val="26"/>
    </w:lvl>
  </w:abstractNum>
  <w:abstractNum w:abstractNumId="34">
    <w:nsid w:val="4B588F54"/>
    <w:multiLevelType w:val="hybridMultilevel"/>
    <w:lvl w:ilvl="0">
      <w:lvlJc w:val="left"/>
      <w:lvlText w:val="•"/>
      <w:numFmt w:val="bullet"/>
      <w:start w:val="1"/>
    </w:lvl>
  </w:abstractNum>
  <w:abstractNum w:abstractNumId="35">
    <w:nsid w:val="542289EC"/>
    <w:multiLevelType w:val="hybridMultilevel"/>
    <w:lvl w:ilvl="0">
      <w:lvlJc w:val="left"/>
      <w:lvlText w:val="•"/>
      <w:numFmt w:val="bullet"/>
      <w:start w:val="1"/>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1)"/>
      <w:numFmt w:val="decimal"/>
      <w:start w:val="1"/>
    </w:lvl>
  </w:abstractNum>
  <w:abstractNum w:abstractNumId="38">
    <w:nsid w:val="7644A45C"/>
    <w:multiLevelType w:val="hybridMultilevel"/>
    <w:lvl w:ilvl="0">
      <w:lvlJc w:val="left"/>
      <w:lvlText w:val="•"/>
      <w:numFmt w:val="bullet"/>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
      <w:numFmt w:val="bullet"/>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4">
    <w:nsid w:val="1BA026FA"/>
    <w:multiLevelType w:val="hybridMultilevel"/>
    <w:lvl w:ilvl="0">
      <w:lvlJc w:val="left"/>
      <w:lvlText w:val="%1."/>
      <w:numFmt w:val="decimal"/>
      <w:start w:val="6"/>
    </w:lvl>
  </w:abstractNum>
  <w:abstractNum w:abstractNumId="45">
    <w:nsid w:val="79A1DEAA"/>
    <w:multiLevelType w:val="hybridMultilevel"/>
    <w:lvl w:ilvl="0">
      <w:lvlJc w:val="left"/>
      <w:lvlText w:val="(%1)"/>
      <w:numFmt w:val="lowerLetter"/>
      <w:start w:val="19"/>
    </w:lvl>
  </w:abstractNum>
  <w:abstractNum w:abstractNumId="46">
    <w:nsid w:val="75C6C33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7">
    <w:nsid w:val="12E685FB"/>
    <w:multiLevelType w:val="hybridMultilevel"/>
    <w:lvl w:ilvl="0">
      <w:lvlJc w:val="left"/>
      <w:lvlText w:val="%1."/>
      <w:numFmt w:val="decimal"/>
      <w:start w:val="6"/>
    </w:lvl>
  </w:abstractNum>
  <w:abstractNum w:abstractNumId="48">
    <w:nsid w:val="70C6A529"/>
    <w:multiLevelType w:val="hybridMultilevel"/>
    <w:lvl w:ilvl="0">
      <w:lvlJc w:val="left"/>
      <w:lvlText w:val="(%1)"/>
      <w:numFmt w:val="lowerLetter"/>
      <w:start w:val="19"/>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
      <w:numFmt w:val="bullet"/>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
      <w:numFmt w:val="bullet"/>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
      <w:numFmt w:val="bullet"/>
      <w:start w:val="1"/>
    </w:lvl>
  </w:abstractNum>
  <w:abstractNum w:abstractNumId="56">
    <w:nsid w:val="1CF10FD8"/>
    <w:multiLevelType w:val="hybridMultilevel"/>
    <w:lvl w:ilvl="0">
      <w:lvlJc w:val="left"/>
      <w:lvlText w:val="i"/>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2023-02-14T06:37:17Z</dcterms:created>
  <dcterms:modified xsi:type="dcterms:W3CDTF">2023-02-14T06:37:17Z</dcterms:modified>
</cp:coreProperties>
</file>