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SCHEDULE 13G/A</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(Amendment No. 2)*</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Cybin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10795</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(Name of Issuer)</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23256X407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ind w:left="1000" w:hanging="360"/>
        <w:spacing w:after="0"/>
        <w:tabs>
          <w:tab w:leader="none" w:pos="1000"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13d-1(b)</w:t>
      </w:r>
    </w:p>
    <w:p>
      <w:pPr>
        <w:spacing w:after="0" w:line="21" w:lineRule="exact"/>
        <w:rPr>
          <w:rFonts w:ascii="MS PGothic" w:cs="MS PGothic" w:eastAsia="MS PGothic" w:hAnsi="MS PGothic"/>
          <w:sz w:val="20"/>
          <w:szCs w:val="20"/>
          <w:color w:val="auto"/>
        </w:rPr>
      </w:pPr>
    </w:p>
    <w:p>
      <w:pPr>
        <w:ind w:left="1000" w:hanging="361"/>
        <w:spacing w:after="0" w:line="238" w:lineRule="auto"/>
        <w:tabs>
          <w:tab w:leader="none" w:pos="1000" w:val="left"/>
        </w:tabs>
        <w:numPr>
          <w:ilvl w:val="0"/>
          <w:numId w:val="1"/>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Rule 13d-1(c)</w:t>
      </w:r>
    </w:p>
    <w:p>
      <w:pPr>
        <w:ind w:left="1000" w:hanging="360"/>
        <w:spacing w:after="0"/>
        <w:tabs>
          <w:tab w:leader="none" w:pos="1000"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13d-1(d)</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9" w:lineRule="exact"/>
        <w:rPr>
          <w:sz w:val="24"/>
          <w:szCs w:val="24"/>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40"/>
          </w:cols>
          <w:pgMar w:left="320" w:top="454" w:right="339" w:bottom="1440" w:gutter="0" w:footer="0" w:header="0"/>
        </w:sectPr>
      </w:pPr>
    </w:p>
    <w:bookmarkStart w:id="1" w:name="page2"/>
    <w:bookmarkEnd w:id="1"/>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23256X407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2 of 7 Pages</w:t>
      </w:r>
    </w:p>
    <w:p>
      <w:pPr>
        <w:ind w:left="1700" w:hanging="967"/>
        <w:spacing w:after="0" w:line="227" w:lineRule="auto"/>
        <w:tabs>
          <w:tab w:leader="none" w:pos="1700" w:val="left"/>
        </w:tabs>
        <w:numPr>
          <w:ilvl w:val="0"/>
          <w:numId w:val="2"/>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4766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766310"/>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280" w:type="dxa"/>
            <w:vAlign w:val="bottom"/>
          </w:tcPr>
          <w:p>
            <w:pPr>
              <w:spacing w:after="0"/>
              <w:rPr>
                <w:sz w:val="22"/>
                <w:szCs w:val="22"/>
                <w:color w:val="auto"/>
              </w:rPr>
            </w:pPr>
          </w:p>
        </w:tc>
        <w:tc>
          <w:tcPr>
            <w:tcW w:w="69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Point72 Asset Management, L.P.</w:t>
            </w: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280" w:type="dxa"/>
            <w:vAlign w:val="bottom"/>
            <w:tcBorders>
              <w:bottom w:val="single" w:sz="8" w:color="auto"/>
            </w:tcBorders>
          </w:tcPr>
          <w:p>
            <w:pPr>
              <w:spacing w:after="0"/>
              <w:rPr>
                <w:sz w:val="8"/>
                <w:szCs w:val="8"/>
                <w:color w:val="auto"/>
              </w:rPr>
            </w:pPr>
          </w:p>
        </w:tc>
        <w:tc>
          <w:tcPr>
            <w:tcW w:w="6920" w:type="dxa"/>
            <w:vAlign w:val="bottom"/>
            <w:tcBorders>
              <w:bottom w:val="single" w:sz="8" w:color="auto"/>
            </w:tcBorders>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28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rPr>
              <w:t>2</w:t>
            </w:r>
          </w:p>
        </w:tc>
        <w:tc>
          <w:tcPr>
            <w:tcW w:w="69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40" w:type="dxa"/>
            <w:vAlign w:val="bottom"/>
            <w:vMerge w:val="restart"/>
          </w:tcPr>
          <w:p>
            <w:pPr>
              <w:ind w:left="2020"/>
              <w:spacing w:after="0" w:line="322"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39"/>
        </w:trPr>
        <w:tc>
          <w:tcPr>
            <w:tcW w:w="1280" w:type="dxa"/>
            <w:vAlign w:val="bottom"/>
            <w:vMerge w:val="continue"/>
          </w:tcPr>
          <w:p>
            <w:pPr>
              <w:spacing w:after="0"/>
              <w:rPr>
                <w:sz w:val="12"/>
                <w:szCs w:val="12"/>
                <w:color w:val="auto"/>
              </w:rPr>
            </w:pPr>
          </w:p>
        </w:tc>
        <w:tc>
          <w:tcPr>
            <w:tcW w:w="6920" w:type="dxa"/>
            <w:vAlign w:val="bottom"/>
          </w:tcPr>
          <w:p>
            <w:pPr>
              <w:spacing w:after="0"/>
              <w:rPr>
                <w:sz w:val="12"/>
                <w:szCs w:val="12"/>
                <w:color w:val="auto"/>
              </w:rPr>
            </w:pPr>
          </w:p>
        </w:tc>
        <w:tc>
          <w:tcPr>
            <w:tcW w:w="3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128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040" w:type="dxa"/>
            <w:vAlign w:val="bottom"/>
          </w:tcPr>
          <w:p>
            <w:pPr>
              <w:ind w:left="2020"/>
              <w:spacing w:after="0" w:line="318" w:lineRule="exact"/>
              <w:rPr>
                <w:sz w:val="20"/>
                <w:szCs w:val="20"/>
                <w:color w:val="auto"/>
              </w:rPr>
            </w:pPr>
            <w:r>
              <w:rPr>
                <w:rFonts w:ascii="Times New Roman" w:cs="Times New Roman" w:eastAsia="Times New Roman" w:hAnsi="Times New Roman"/>
                <w:sz w:val="20"/>
                <w:szCs w:val="20"/>
                <w:color w:val="auto"/>
              </w:rPr>
              <w:t xml:space="preserve">(b) </w:t>
            </w:r>
            <w:r>
              <w:rPr>
                <w:rFonts w:ascii="Wingdings" w:cs="Wingdings" w:eastAsia="Wingdings" w:hAnsi="Wingdings"/>
                <w:sz w:val="28"/>
                <w:szCs w:val="28"/>
                <w:b w:val="1"/>
                <w:bCs w:val="1"/>
                <w:color w:val="auto"/>
              </w:rPr>
              <w:t>x</w:t>
            </w:r>
          </w:p>
        </w:tc>
        <w:tc>
          <w:tcPr>
            <w:tcW w:w="0" w:type="dxa"/>
            <w:vAlign w:val="bottom"/>
          </w:tcPr>
          <w:p>
            <w:pPr>
              <w:spacing w:after="0"/>
              <w:rPr>
                <w:sz w:val="1"/>
                <w:szCs w:val="1"/>
                <w:color w:val="auto"/>
              </w:rPr>
            </w:pPr>
          </w:p>
        </w:tc>
      </w:tr>
    </w:tbl>
    <w:p>
      <w:pPr>
        <w:ind w:left="1700" w:hanging="967"/>
        <w:spacing w:after="0" w:line="185" w:lineRule="auto"/>
        <w:tabs>
          <w:tab w:leader="none" w:pos="1700" w:val="left"/>
        </w:tabs>
        <w:numPr>
          <w:ilvl w:val="0"/>
          <w:numId w:val="3"/>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9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Delaware</w:t>
            </w:r>
          </w:p>
        </w:tc>
        <w:tc>
          <w:tcPr>
            <w:tcW w:w="66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6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580" w:type="dxa"/>
            <w:vAlign w:val="bottom"/>
          </w:tcPr>
          <w:p>
            <w:pPr>
              <w:spacing w:after="0"/>
              <w:rPr>
                <w:sz w:val="21"/>
                <w:szCs w:val="21"/>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5</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66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640" w:type="dxa"/>
            <w:vAlign w:val="bottom"/>
            <w:vMerge w:val="continue"/>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260" w:type="dxa"/>
            <w:vAlign w:val="bottom"/>
            <w:tcBorders>
              <w:bottom w:val="single" w:sz="8" w:color="auto"/>
              <w:right w:val="single" w:sz="8" w:color="auto"/>
            </w:tcBorders>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580" w:type="dxa"/>
            <w:vAlign w:val="bottom"/>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6</w:t>
            </w:r>
          </w:p>
        </w:tc>
        <w:tc>
          <w:tcPr>
            <w:tcW w:w="6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260" w:type="dxa"/>
            <w:vAlign w:val="bottom"/>
            <w:tcBorders>
              <w:right w:val="single" w:sz="8" w:color="auto"/>
            </w:tcBorders>
            <w:vMerge w:val="continue"/>
          </w:tcPr>
          <w:p>
            <w:pPr>
              <w:spacing w:after="0"/>
              <w:rPr>
                <w:sz w:val="10"/>
                <w:szCs w:val="10"/>
                <w:color w:val="auto"/>
              </w:rPr>
            </w:pPr>
          </w:p>
        </w:tc>
        <w:tc>
          <w:tcPr>
            <w:tcW w:w="664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6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292,397 shares of common stock issuable upon exercise of warrants</w:t>
            </w: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260" w:type="dxa"/>
            <w:vAlign w:val="bottom"/>
            <w:tcBorders>
              <w:right w:val="single" w:sz="8" w:color="auto"/>
            </w:tcBorders>
          </w:tcPr>
          <w:p>
            <w:pPr>
              <w:spacing w:after="0"/>
              <w:rPr>
                <w:sz w:val="17"/>
                <w:szCs w:val="17"/>
                <w:color w:val="auto"/>
              </w:rPr>
            </w:pPr>
          </w:p>
        </w:tc>
        <w:tc>
          <w:tcPr>
            <w:tcW w:w="664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260" w:type="dxa"/>
            <w:vAlign w:val="bottom"/>
            <w:tcBorders>
              <w:bottom w:val="single" w:sz="8" w:color="auto"/>
              <w:right w:val="single" w:sz="8" w:color="auto"/>
            </w:tcBorders>
          </w:tcPr>
          <w:p>
            <w:pPr>
              <w:spacing w:after="0"/>
              <w:rPr>
                <w:sz w:val="7"/>
                <w:szCs w:val="7"/>
                <w:color w:val="auto"/>
              </w:rPr>
            </w:pPr>
          </w:p>
        </w:tc>
        <w:tc>
          <w:tcPr>
            <w:tcW w:w="66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580" w:type="dxa"/>
            <w:vAlign w:val="bottom"/>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7</w:t>
            </w:r>
          </w:p>
        </w:tc>
        <w:tc>
          <w:tcPr>
            <w:tcW w:w="6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260" w:type="dxa"/>
            <w:vAlign w:val="bottom"/>
            <w:tcBorders>
              <w:right w:val="single" w:sz="8" w:color="auto"/>
            </w:tcBorders>
            <w:vMerge w:val="continue"/>
          </w:tcPr>
          <w:p>
            <w:pPr>
              <w:spacing w:after="0"/>
              <w:rPr>
                <w:sz w:val="10"/>
                <w:szCs w:val="10"/>
                <w:color w:val="auto"/>
              </w:rPr>
            </w:pPr>
          </w:p>
        </w:tc>
        <w:tc>
          <w:tcPr>
            <w:tcW w:w="664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6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260" w:type="dxa"/>
            <w:vAlign w:val="bottom"/>
            <w:tcBorders>
              <w:right w:val="single" w:sz="8" w:color="auto"/>
            </w:tcBorders>
          </w:tcPr>
          <w:p>
            <w:pPr>
              <w:spacing w:after="0"/>
              <w:rPr>
                <w:sz w:val="17"/>
                <w:szCs w:val="17"/>
                <w:color w:val="auto"/>
              </w:rPr>
            </w:pPr>
          </w:p>
        </w:tc>
        <w:tc>
          <w:tcPr>
            <w:tcW w:w="664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260" w:type="dxa"/>
            <w:vAlign w:val="bottom"/>
            <w:tcBorders>
              <w:bottom w:val="single" w:sz="8" w:color="auto"/>
              <w:right w:val="single" w:sz="8" w:color="auto"/>
            </w:tcBorders>
          </w:tcPr>
          <w:p>
            <w:pPr>
              <w:spacing w:after="0"/>
              <w:rPr>
                <w:sz w:val="7"/>
                <w:szCs w:val="7"/>
                <w:color w:val="auto"/>
              </w:rPr>
            </w:pPr>
          </w:p>
        </w:tc>
        <w:tc>
          <w:tcPr>
            <w:tcW w:w="66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8</w:t>
            </w:r>
          </w:p>
        </w:tc>
        <w:tc>
          <w:tcPr>
            <w:tcW w:w="6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58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664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580" w:type="dxa"/>
            <w:vAlign w:val="bottom"/>
          </w:tcPr>
          <w:p>
            <w:pPr>
              <w:spacing w:after="0"/>
              <w:rPr>
                <w:sz w:val="15"/>
                <w:szCs w:val="15"/>
                <w:color w:val="auto"/>
              </w:rPr>
            </w:pPr>
          </w:p>
        </w:tc>
        <w:tc>
          <w:tcPr>
            <w:tcW w:w="1260" w:type="dxa"/>
            <w:vAlign w:val="bottom"/>
            <w:tcBorders>
              <w:right w:val="single" w:sz="8" w:color="auto"/>
            </w:tcBorders>
            <w:vMerge w:val="continue"/>
          </w:tcPr>
          <w:p>
            <w:pPr>
              <w:spacing w:after="0"/>
              <w:rPr>
                <w:sz w:val="15"/>
                <w:szCs w:val="15"/>
                <w:color w:val="auto"/>
              </w:rPr>
            </w:pPr>
          </w:p>
        </w:tc>
        <w:tc>
          <w:tcPr>
            <w:tcW w:w="66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292,397 shares of common stock issuable upon exercise of warrants</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640" w:type="dxa"/>
            <w:vAlign w:val="bottom"/>
            <w:vMerge w:val="continue"/>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9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790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292,397 shares of common stock issuable upon exercise of warrants</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790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1760" w:type="dxa"/>
            <w:vAlign w:val="bottom"/>
          </w:tcPr>
          <w:p>
            <w:pPr>
              <w:ind w:left="84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7900" w:type="dxa"/>
            <w:vAlign w:val="bottom"/>
            <w:gridSpan w:val="2"/>
            <w:vMerge w:val="continue"/>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66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79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1.4%</w:t>
            </w:r>
          </w:p>
        </w:tc>
        <w:tc>
          <w:tcPr>
            <w:tcW w:w="66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6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79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PN</w:t>
            </w:r>
          </w:p>
        </w:tc>
        <w:tc>
          <w:tcPr>
            <w:tcW w:w="66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6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2" w:name="page3"/>
    <w:bookmarkEnd w:id="2"/>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23256X407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3 of 7 Pages</w:t>
      </w:r>
    </w:p>
    <w:p>
      <w:pPr>
        <w:spacing w:after="0" w:line="195" w:lineRule="exact"/>
        <w:rPr>
          <w:sz w:val="20"/>
          <w:szCs w:val="20"/>
          <w:color w:val="auto"/>
        </w:rPr>
      </w:pPr>
    </w:p>
    <w:p>
      <w:pPr>
        <w:ind w:left="1700" w:hanging="967"/>
        <w:spacing w:after="0"/>
        <w:tabs>
          <w:tab w:leader="none" w:pos="1700" w:val="left"/>
        </w:tabs>
        <w:numPr>
          <w:ilvl w:val="0"/>
          <w:numId w:val="4"/>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47663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76631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280" w:type="dxa"/>
            <w:vAlign w:val="bottom"/>
          </w:tcPr>
          <w:p>
            <w:pPr>
              <w:spacing w:after="0"/>
              <w:rPr>
                <w:sz w:val="22"/>
                <w:szCs w:val="22"/>
                <w:color w:val="auto"/>
              </w:rPr>
            </w:pPr>
          </w:p>
        </w:tc>
        <w:tc>
          <w:tcPr>
            <w:tcW w:w="69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Point72 Capital Advisors, Inc.</w:t>
            </w: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280" w:type="dxa"/>
            <w:vAlign w:val="bottom"/>
            <w:tcBorders>
              <w:bottom w:val="single" w:sz="8" w:color="auto"/>
            </w:tcBorders>
          </w:tcPr>
          <w:p>
            <w:pPr>
              <w:spacing w:after="0"/>
              <w:rPr>
                <w:sz w:val="8"/>
                <w:szCs w:val="8"/>
                <w:color w:val="auto"/>
              </w:rPr>
            </w:pPr>
          </w:p>
        </w:tc>
        <w:tc>
          <w:tcPr>
            <w:tcW w:w="6920" w:type="dxa"/>
            <w:vAlign w:val="bottom"/>
            <w:tcBorders>
              <w:bottom w:val="single" w:sz="8" w:color="auto"/>
            </w:tcBorders>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28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rPr>
              <w:t>2</w:t>
            </w:r>
          </w:p>
        </w:tc>
        <w:tc>
          <w:tcPr>
            <w:tcW w:w="69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40" w:type="dxa"/>
            <w:vAlign w:val="bottom"/>
            <w:vMerge w:val="restart"/>
          </w:tcPr>
          <w:p>
            <w:pPr>
              <w:ind w:left="2020"/>
              <w:spacing w:after="0" w:line="322"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39"/>
        </w:trPr>
        <w:tc>
          <w:tcPr>
            <w:tcW w:w="1280" w:type="dxa"/>
            <w:vAlign w:val="bottom"/>
            <w:vMerge w:val="continue"/>
          </w:tcPr>
          <w:p>
            <w:pPr>
              <w:spacing w:after="0"/>
              <w:rPr>
                <w:sz w:val="12"/>
                <w:szCs w:val="12"/>
                <w:color w:val="auto"/>
              </w:rPr>
            </w:pPr>
          </w:p>
        </w:tc>
        <w:tc>
          <w:tcPr>
            <w:tcW w:w="6920" w:type="dxa"/>
            <w:vAlign w:val="bottom"/>
          </w:tcPr>
          <w:p>
            <w:pPr>
              <w:spacing w:after="0"/>
              <w:rPr>
                <w:sz w:val="12"/>
                <w:szCs w:val="12"/>
                <w:color w:val="auto"/>
              </w:rPr>
            </w:pPr>
          </w:p>
        </w:tc>
        <w:tc>
          <w:tcPr>
            <w:tcW w:w="3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128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040" w:type="dxa"/>
            <w:vAlign w:val="bottom"/>
          </w:tcPr>
          <w:p>
            <w:pPr>
              <w:ind w:left="2020"/>
              <w:spacing w:after="0" w:line="318" w:lineRule="exact"/>
              <w:rPr>
                <w:sz w:val="20"/>
                <w:szCs w:val="20"/>
                <w:color w:val="auto"/>
              </w:rPr>
            </w:pPr>
            <w:r>
              <w:rPr>
                <w:rFonts w:ascii="Times New Roman" w:cs="Times New Roman" w:eastAsia="Times New Roman" w:hAnsi="Times New Roman"/>
                <w:sz w:val="20"/>
                <w:szCs w:val="20"/>
                <w:color w:val="auto"/>
              </w:rPr>
              <w:t xml:space="preserve">(b) </w:t>
            </w:r>
            <w:r>
              <w:rPr>
                <w:rFonts w:ascii="Wingdings" w:cs="Wingdings" w:eastAsia="Wingdings" w:hAnsi="Wingdings"/>
                <w:sz w:val="28"/>
                <w:szCs w:val="28"/>
                <w:b w:val="1"/>
                <w:bCs w:val="1"/>
                <w:color w:val="auto"/>
              </w:rPr>
              <w:t>x</w:t>
            </w:r>
          </w:p>
        </w:tc>
        <w:tc>
          <w:tcPr>
            <w:tcW w:w="0" w:type="dxa"/>
            <w:vAlign w:val="bottom"/>
          </w:tcPr>
          <w:p>
            <w:pPr>
              <w:spacing w:after="0"/>
              <w:rPr>
                <w:sz w:val="1"/>
                <w:szCs w:val="1"/>
                <w:color w:val="auto"/>
              </w:rPr>
            </w:pPr>
          </w:p>
        </w:tc>
      </w:tr>
    </w:tbl>
    <w:p>
      <w:pPr>
        <w:ind w:left="1700" w:hanging="967"/>
        <w:spacing w:after="0" w:line="185" w:lineRule="auto"/>
        <w:tabs>
          <w:tab w:leader="none" w:pos="1700" w:val="left"/>
        </w:tabs>
        <w:numPr>
          <w:ilvl w:val="0"/>
          <w:numId w:val="5"/>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9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Delaware</w:t>
            </w:r>
          </w:p>
        </w:tc>
        <w:tc>
          <w:tcPr>
            <w:tcW w:w="66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6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580" w:type="dxa"/>
            <w:vAlign w:val="bottom"/>
          </w:tcPr>
          <w:p>
            <w:pPr>
              <w:spacing w:after="0"/>
              <w:rPr>
                <w:sz w:val="21"/>
                <w:szCs w:val="21"/>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5</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66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640" w:type="dxa"/>
            <w:vAlign w:val="bottom"/>
            <w:vMerge w:val="continue"/>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260" w:type="dxa"/>
            <w:vAlign w:val="bottom"/>
            <w:tcBorders>
              <w:bottom w:val="single" w:sz="8" w:color="auto"/>
              <w:right w:val="single" w:sz="8" w:color="auto"/>
            </w:tcBorders>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580" w:type="dxa"/>
            <w:vAlign w:val="bottom"/>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6</w:t>
            </w:r>
          </w:p>
        </w:tc>
        <w:tc>
          <w:tcPr>
            <w:tcW w:w="6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260" w:type="dxa"/>
            <w:vAlign w:val="bottom"/>
            <w:tcBorders>
              <w:right w:val="single" w:sz="8" w:color="auto"/>
            </w:tcBorders>
            <w:vMerge w:val="continue"/>
          </w:tcPr>
          <w:p>
            <w:pPr>
              <w:spacing w:after="0"/>
              <w:rPr>
                <w:sz w:val="10"/>
                <w:szCs w:val="10"/>
                <w:color w:val="auto"/>
              </w:rPr>
            </w:pPr>
          </w:p>
        </w:tc>
        <w:tc>
          <w:tcPr>
            <w:tcW w:w="664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6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292,397 shares of common stock issuable upon exercise of warrants</w:t>
            </w: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260" w:type="dxa"/>
            <w:vAlign w:val="bottom"/>
            <w:tcBorders>
              <w:right w:val="single" w:sz="8" w:color="auto"/>
            </w:tcBorders>
          </w:tcPr>
          <w:p>
            <w:pPr>
              <w:spacing w:after="0"/>
              <w:rPr>
                <w:sz w:val="17"/>
                <w:szCs w:val="17"/>
                <w:color w:val="auto"/>
              </w:rPr>
            </w:pPr>
          </w:p>
        </w:tc>
        <w:tc>
          <w:tcPr>
            <w:tcW w:w="664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260" w:type="dxa"/>
            <w:vAlign w:val="bottom"/>
            <w:tcBorders>
              <w:bottom w:val="single" w:sz="8" w:color="auto"/>
              <w:right w:val="single" w:sz="8" w:color="auto"/>
            </w:tcBorders>
          </w:tcPr>
          <w:p>
            <w:pPr>
              <w:spacing w:after="0"/>
              <w:rPr>
                <w:sz w:val="7"/>
                <w:szCs w:val="7"/>
                <w:color w:val="auto"/>
              </w:rPr>
            </w:pPr>
          </w:p>
        </w:tc>
        <w:tc>
          <w:tcPr>
            <w:tcW w:w="66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580" w:type="dxa"/>
            <w:vAlign w:val="bottom"/>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7</w:t>
            </w:r>
          </w:p>
        </w:tc>
        <w:tc>
          <w:tcPr>
            <w:tcW w:w="6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260" w:type="dxa"/>
            <w:vAlign w:val="bottom"/>
            <w:tcBorders>
              <w:right w:val="single" w:sz="8" w:color="auto"/>
            </w:tcBorders>
            <w:vMerge w:val="continue"/>
          </w:tcPr>
          <w:p>
            <w:pPr>
              <w:spacing w:after="0"/>
              <w:rPr>
                <w:sz w:val="10"/>
                <w:szCs w:val="10"/>
                <w:color w:val="auto"/>
              </w:rPr>
            </w:pPr>
          </w:p>
        </w:tc>
        <w:tc>
          <w:tcPr>
            <w:tcW w:w="664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6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260" w:type="dxa"/>
            <w:vAlign w:val="bottom"/>
            <w:tcBorders>
              <w:right w:val="single" w:sz="8" w:color="auto"/>
            </w:tcBorders>
          </w:tcPr>
          <w:p>
            <w:pPr>
              <w:spacing w:after="0"/>
              <w:rPr>
                <w:sz w:val="17"/>
                <w:szCs w:val="17"/>
                <w:color w:val="auto"/>
              </w:rPr>
            </w:pPr>
          </w:p>
        </w:tc>
        <w:tc>
          <w:tcPr>
            <w:tcW w:w="664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260" w:type="dxa"/>
            <w:vAlign w:val="bottom"/>
            <w:tcBorders>
              <w:bottom w:val="single" w:sz="8" w:color="auto"/>
              <w:right w:val="single" w:sz="8" w:color="auto"/>
            </w:tcBorders>
          </w:tcPr>
          <w:p>
            <w:pPr>
              <w:spacing w:after="0"/>
              <w:rPr>
                <w:sz w:val="7"/>
                <w:szCs w:val="7"/>
                <w:color w:val="auto"/>
              </w:rPr>
            </w:pPr>
          </w:p>
        </w:tc>
        <w:tc>
          <w:tcPr>
            <w:tcW w:w="66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8</w:t>
            </w:r>
          </w:p>
        </w:tc>
        <w:tc>
          <w:tcPr>
            <w:tcW w:w="6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58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664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580" w:type="dxa"/>
            <w:vAlign w:val="bottom"/>
          </w:tcPr>
          <w:p>
            <w:pPr>
              <w:spacing w:after="0"/>
              <w:rPr>
                <w:sz w:val="15"/>
                <w:szCs w:val="15"/>
                <w:color w:val="auto"/>
              </w:rPr>
            </w:pPr>
          </w:p>
        </w:tc>
        <w:tc>
          <w:tcPr>
            <w:tcW w:w="1260" w:type="dxa"/>
            <w:vAlign w:val="bottom"/>
            <w:tcBorders>
              <w:right w:val="single" w:sz="8" w:color="auto"/>
            </w:tcBorders>
            <w:vMerge w:val="continue"/>
          </w:tcPr>
          <w:p>
            <w:pPr>
              <w:spacing w:after="0"/>
              <w:rPr>
                <w:sz w:val="15"/>
                <w:szCs w:val="15"/>
                <w:color w:val="auto"/>
              </w:rPr>
            </w:pPr>
          </w:p>
        </w:tc>
        <w:tc>
          <w:tcPr>
            <w:tcW w:w="66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292,397 shares of common stock issuable upon exercise of warrants</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640" w:type="dxa"/>
            <w:vAlign w:val="bottom"/>
            <w:vMerge w:val="continue"/>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9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790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292,397 shares of common stock issuable upon exercise of warrants</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790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1760" w:type="dxa"/>
            <w:vAlign w:val="bottom"/>
          </w:tcPr>
          <w:p>
            <w:pPr>
              <w:ind w:left="84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7900" w:type="dxa"/>
            <w:vAlign w:val="bottom"/>
            <w:gridSpan w:val="2"/>
            <w:vMerge w:val="continue"/>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66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79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1.4%</w:t>
            </w:r>
          </w:p>
        </w:tc>
        <w:tc>
          <w:tcPr>
            <w:tcW w:w="66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6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79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CO</w:t>
            </w:r>
          </w:p>
        </w:tc>
        <w:tc>
          <w:tcPr>
            <w:tcW w:w="66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6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3" w:name="page4"/>
    <w:bookmarkEnd w:id="3"/>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23256X407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7 Pages</w:t>
      </w:r>
    </w:p>
    <w:p>
      <w:pPr>
        <w:spacing w:after="0" w:line="195" w:lineRule="exact"/>
        <w:rPr>
          <w:sz w:val="20"/>
          <w:szCs w:val="20"/>
          <w:color w:val="auto"/>
        </w:rPr>
      </w:pPr>
    </w:p>
    <w:p>
      <w:pPr>
        <w:ind w:left="1700" w:hanging="967"/>
        <w:spacing w:after="0"/>
        <w:tabs>
          <w:tab w:leader="none" w:pos="1700" w:val="left"/>
        </w:tabs>
        <w:numPr>
          <w:ilvl w:val="0"/>
          <w:numId w:val="6"/>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4766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76631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280" w:type="dxa"/>
            <w:vAlign w:val="bottom"/>
          </w:tcPr>
          <w:p>
            <w:pPr>
              <w:spacing w:after="0"/>
              <w:rPr>
                <w:sz w:val="22"/>
                <w:szCs w:val="22"/>
                <w:color w:val="auto"/>
              </w:rPr>
            </w:pPr>
          </w:p>
        </w:tc>
        <w:tc>
          <w:tcPr>
            <w:tcW w:w="69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Steven A. Cohen</w:t>
            </w: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280" w:type="dxa"/>
            <w:vAlign w:val="bottom"/>
            <w:tcBorders>
              <w:bottom w:val="single" w:sz="8" w:color="auto"/>
            </w:tcBorders>
          </w:tcPr>
          <w:p>
            <w:pPr>
              <w:spacing w:after="0"/>
              <w:rPr>
                <w:sz w:val="8"/>
                <w:szCs w:val="8"/>
                <w:color w:val="auto"/>
              </w:rPr>
            </w:pPr>
          </w:p>
        </w:tc>
        <w:tc>
          <w:tcPr>
            <w:tcW w:w="6920" w:type="dxa"/>
            <w:vAlign w:val="bottom"/>
            <w:tcBorders>
              <w:bottom w:val="single" w:sz="8" w:color="auto"/>
            </w:tcBorders>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28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rPr>
              <w:t>2</w:t>
            </w:r>
          </w:p>
        </w:tc>
        <w:tc>
          <w:tcPr>
            <w:tcW w:w="69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40" w:type="dxa"/>
            <w:vAlign w:val="bottom"/>
            <w:vMerge w:val="restart"/>
          </w:tcPr>
          <w:p>
            <w:pPr>
              <w:ind w:left="2020"/>
              <w:spacing w:after="0" w:line="322"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39"/>
        </w:trPr>
        <w:tc>
          <w:tcPr>
            <w:tcW w:w="1280" w:type="dxa"/>
            <w:vAlign w:val="bottom"/>
            <w:vMerge w:val="continue"/>
          </w:tcPr>
          <w:p>
            <w:pPr>
              <w:spacing w:after="0"/>
              <w:rPr>
                <w:sz w:val="12"/>
                <w:szCs w:val="12"/>
                <w:color w:val="auto"/>
              </w:rPr>
            </w:pPr>
          </w:p>
        </w:tc>
        <w:tc>
          <w:tcPr>
            <w:tcW w:w="6920" w:type="dxa"/>
            <w:vAlign w:val="bottom"/>
          </w:tcPr>
          <w:p>
            <w:pPr>
              <w:spacing w:after="0"/>
              <w:rPr>
                <w:sz w:val="12"/>
                <w:szCs w:val="12"/>
                <w:color w:val="auto"/>
              </w:rPr>
            </w:pPr>
          </w:p>
        </w:tc>
        <w:tc>
          <w:tcPr>
            <w:tcW w:w="3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128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040" w:type="dxa"/>
            <w:vAlign w:val="bottom"/>
          </w:tcPr>
          <w:p>
            <w:pPr>
              <w:ind w:left="2020"/>
              <w:spacing w:after="0" w:line="318" w:lineRule="exact"/>
              <w:rPr>
                <w:sz w:val="20"/>
                <w:szCs w:val="20"/>
                <w:color w:val="auto"/>
              </w:rPr>
            </w:pPr>
            <w:r>
              <w:rPr>
                <w:rFonts w:ascii="Times New Roman" w:cs="Times New Roman" w:eastAsia="Times New Roman" w:hAnsi="Times New Roman"/>
                <w:sz w:val="20"/>
                <w:szCs w:val="20"/>
                <w:color w:val="auto"/>
              </w:rPr>
              <w:t xml:space="preserve">(b) </w:t>
            </w:r>
            <w:r>
              <w:rPr>
                <w:rFonts w:ascii="Wingdings" w:cs="Wingdings" w:eastAsia="Wingdings" w:hAnsi="Wingdings"/>
                <w:sz w:val="28"/>
                <w:szCs w:val="28"/>
                <w:b w:val="1"/>
                <w:bCs w:val="1"/>
                <w:color w:val="auto"/>
              </w:rPr>
              <w:t>x</w:t>
            </w:r>
          </w:p>
        </w:tc>
        <w:tc>
          <w:tcPr>
            <w:tcW w:w="0" w:type="dxa"/>
            <w:vAlign w:val="bottom"/>
          </w:tcPr>
          <w:p>
            <w:pPr>
              <w:spacing w:after="0"/>
              <w:rPr>
                <w:sz w:val="1"/>
                <w:szCs w:val="1"/>
                <w:color w:val="auto"/>
              </w:rPr>
            </w:pPr>
          </w:p>
        </w:tc>
      </w:tr>
    </w:tbl>
    <w:p>
      <w:pPr>
        <w:ind w:left="1700" w:hanging="967"/>
        <w:spacing w:after="0" w:line="185" w:lineRule="auto"/>
        <w:tabs>
          <w:tab w:leader="none" w:pos="1700" w:val="left"/>
        </w:tabs>
        <w:numPr>
          <w:ilvl w:val="0"/>
          <w:numId w:val="7"/>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9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790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United States</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790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tcPr>
          <w:p>
            <w:pPr>
              <w:spacing w:after="0"/>
              <w:rPr>
                <w:sz w:val="19"/>
                <w:szCs w:val="1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5</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tcPr>
          <w:p>
            <w:pPr>
              <w:spacing w:after="0"/>
              <w:rPr>
                <w:sz w:val="15"/>
                <w:szCs w:val="15"/>
                <w:color w:val="auto"/>
              </w:rPr>
            </w:pPr>
          </w:p>
        </w:tc>
        <w:tc>
          <w:tcPr>
            <w:tcW w:w="1260" w:type="dxa"/>
            <w:vAlign w:val="bottom"/>
            <w:tcBorders>
              <w:right w:val="single" w:sz="8" w:color="auto"/>
            </w:tcBorders>
            <w:vMerge w:val="continue"/>
          </w:tcPr>
          <w:p>
            <w:pPr>
              <w:spacing w:after="0"/>
              <w:rPr>
                <w:sz w:val="15"/>
                <w:szCs w:val="15"/>
                <w:color w:val="auto"/>
              </w:rPr>
            </w:pPr>
          </w:p>
        </w:tc>
        <w:tc>
          <w:tcPr>
            <w:tcW w:w="66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640" w:type="dxa"/>
            <w:vAlign w:val="bottom"/>
            <w:vMerge w:val="continue"/>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260" w:type="dxa"/>
            <w:vAlign w:val="bottom"/>
            <w:tcBorders>
              <w:bottom w:val="single" w:sz="8" w:color="auto"/>
              <w:right w:val="single" w:sz="8" w:color="auto"/>
            </w:tcBorders>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580" w:type="dxa"/>
            <w:vAlign w:val="bottom"/>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6</w:t>
            </w:r>
          </w:p>
        </w:tc>
        <w:tc>
          <w:tcPr>
            <w:tcW w:w="6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260" w:type="dxa"/>
            <w:vAlign w:val="bottom"/>
            <w:tcBorders>
              <w:right w:val="single" w:sz="8" w:color="auto"/>
            </w:tcBorders>
            <w:vMerge w:val="continue"/>
          </w:tcPr>
          <w:p>
            <w:pPr>
              <w:spacing w:after="0"/>
              <w:rPr>
                <w:sz w:val="10"/>
                <w:szCs w:val="10"/>
                <w:color w:val="auto"/>
              </w:rPr>
            </w:pPr>
          </w:p>
        </w:tc>
        <w:tc>
          <w:tcPr>
            <w:tcW w:w="664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6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292,397 shares of common stock issuable upon exercise of warrants</w:t>
            </w: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260" w:type="dxa"/>
            <w:vAlign w:val="bottom"/>
            <w:tcBorders>
              <w:right w:val="single" w:sz="8" w:color="auto"/>
            </w:tcBorders>
          </w:tcPr>
          <w:p>
            <w:pPr>
              <w:spacing w:after="0"/>
              <w:rPr>
                <w:sz w:val="17"/>
                <w:szCs w:val="17"/>
                <w:color w:val="auto"/>
              </w:rPr>
            </w:pPr>
          </w:p>
        </w:tc>
        <w:tc>
          <w:tcPr>
            <w:tcW w:w="664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260" w:type="dxa"/>
            <w:vAlign w:val="bottom"/>
            <w:tcBorders>
              <w:bottom w:val="single" w:sz="8" w:color="auto"/>
              <w:right w:val="single" w:sz="8" w:color="auto"/>
            </w:tcBorders>
          </w:tcPr>
          <w:p>
            <w:pPr>
              <w:spacing w:after="0"/>
              <w:rPr>
                <w:sz w:val="7"/>
                <w:szCs w:val="7"/>
                <w:color w:val="auto"/>
              </w:rPr>
            </w:pPr>
          </w:p>
        </w:tc>
        <w:tc>
          <w:tcPr>
            <w:tcW w:w="66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580" w:type="dxa"/>
            <w:vAlign w:val="bottom"/>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7</w:t>
            </w:r>
          </w:p>
        </w:tc>
        <w:tc>
          <w:tcPr>
            <w:tcW w:w="6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260" w:type="dxa"/>
            <w:vAlign w:val="bottom"/>
            <w:tcBorders>
              <w:right w:val="single" w:sz="8" w:color="auto"/>
            </w:tcBorders>
            <w:vMerge w:val="continue"/>
          </w:tcPr>
          <w:p>
            <w:pPr>
              <w:spacing w:after="0"/>
              <w:rPr>
                <w:sz w:val="10"/>
                <w:szCs w:val="10"/>
                <w:color w:val="auto"/>
              </w:rPr>
            </w:pPr>
          </w:p>
        </w:tc>
        <w:tc>
          <w:tcPr>
            <w:tcW w:w="664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6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260" w:type="dxa"/>
            <w:vAlign w:val="bottom"/>
            <w:tcBorders>
              <w:right w:val="single" w:sz="8" w:color="auto"/>
            </w:tcBorders>
          </w:tcPr>
          <w:p>
            <w:pPr>
              <w:spacing w:after="0"/>
              <w:rPr>
                <w:sz w:val="17"/>
                <w:szCs w:val="17"/>
                <w:color w:val="auto"/>
              </w:rPr>
            </w:pPr>
          </w:p>
        </w:tc>
        <w:tc>
          <w:tcPr>
            <w:tcW w:w="664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260" w:type="dxa"/>
            <w:vAlign w:val="bottom"/>
            <w:tcBorders>
              <w:bottom w:val="single" w:sz="8" w:color="auto"/>
              <w:right w:val="single" w:sz="8" w:color="auto"/>
            </w:tcBorders>
          </w:tcPr>
          <w:p>
            <w:pPr>
              <w:spacing w:after="0"/>
              <w:rPr>
                <w:sz w:val="7"/>
                <w:szCs w:val="7"/>
                <w:color w:val="auto"/>
              </w:rPr>
            </w:pPr>
          </w:p>
        </w:tc>
        <w:tc>
          <w:tcPr>
            <w:tcW w:w="66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8</w:t>
            </w:r>
          </w:p>
        </w:tc>
        <w:tc>
          <w:tcPr>
            <w:tcW w:w="6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58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664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580" w:type="dxa"/>
            <w:vAlign w:val="bottom"/>
          </w:tcPr>
          <w:p>
            <w:pPr>
              <w:spacing w:after="0"/>
              <w:rPr>
                <w:sz w:val="15"/>
                <w:szCs w:val="15"/>
                <w:color w:val="auto"/>
              </w:rPr>
            </w:pPr>
          </w:p>
        </w:tc>
        <w:tc>
          <w:tcPr>
            <w:tcW w:w="1260" w:type="dxa"/>
            <w:vAlign w:val="bottom"/>
            <w:tcBorders>
              <w:right w:val="single" w:sz="8" w:color="auto"/>
            </w:tcBorders>
            <w:vMerge w:val="continue"/>
          </w:tcPr>
          <w:p>
            <w:pPr>
              <w:spacing w:after="0"/>
              <w:rPr>
                <w:sz w:val="15"/>
                <w:szCs w:val="15"/>
                <w:color w:val="auto"/>
              </w:rPr>
            </w:pPr>
          </w:p>
        </w:tc>
        <w:tc>
          <w:tcPr>
            <w:tcW w:w="66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292,397 shares of common stock issuable upon exercise of warrants</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640" w:type="dxa"/>
            <w:vAlign w:val="bottom"/>
            <w:vMerge w:val="continue"/>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9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790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292,397 shares of common stock issuable upon exercise of warrants</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790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1760" w:type="dxa"/>
            <w:vAlign w:val="bottom"/>
          </w:tcPr>
          <w:p>
            <w:pPr>
              <w:ind w:left="84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7900" w:type="dxa"/>
            <w:vAlign w:val="bottom"/>
            <w:gridSpan w:val="2"/>
            <w:vMerge w:val="continue"/>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66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79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1.4%</w:t>
            </w:r>
          </w:p>
        </w:tc>
        <w:tc>
          <w:tcPr>
            <w:tcW w:w="66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6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64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79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vMerge w:val="continue"/>
          </w:tcPr>
          <w:p>
            <w:pPr>
              <w:spacing w:after="0"/>
              <w:rPr>
                <w:sz w:val="15"/>
                <w:szCs w:val="15"/>
                <w:color w:val="auto"/>
              </w:rPr>
            </w:pPr>
          </w:p>
        </w:tc>
        <w:tc>
          <w:tcPr>
            <w:tcW w:w="12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IN</w:t>
            </w:r>
          </w:p>
        </w:tc>
        <w:tc>
          <w:tcPr>
            <w:tcW w:w="66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6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4" w:name="page5"/>
    <w:bookmarkEnd w:id="4"/>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23256X407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7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Issuer.</w:t>
            </w:r>
          </w:p>
        </w:tc>
      </w:tr>
      <w:tr>
        <w:trPr>
          <w:trHeight w:val="212"/>
        </w:trPr>
        <w:tc>
          <w:tcPr>
            <w:tcW w:w="1260" w:type="dxa"/>
            <w:vAlign w:val="bottom"/>
          </w:tcPr>
          <w:p>
            <w:pPr>
              <w:spacing w:after="0"/>
              <w:rPr>
                <w:sz w:val="18"/>
                <w:szCs w:val="18"/>
                <w:color w:val="auto"/>
              </w:rPr>
            </w:pPr>
          </w:p>
        </w:tc>
        <w:tc>
          <w:tcPr>
            <w:tcW w:w="9780" w:type="dxa"/>
            <w:vAlign w:val="bottom"/>
            <w:gridSpan w:val="11"/>
          </w:tcPr>
          <w:p>
            <w:pPr>
              <w:ind w:left="440"/>
              <w:spacing w:after="0" w:line="212" w:lineRule="exact"/>
              <w:rPr>
                <w:sz w:val="20"/>
                <w:szCs w:val="20"/>
                <w:color w:val="auto"/>
              </w:rPr>
            </w:pPr>
            <w:r>
              <w:rPr>
                <w:rFonts w:ascii="Times New Roman" w:cs="Times New Roman" w:eastAsia="Times New Roman" w:hAnsi="Times New Roman"/>
                <w:sz w:val="20"/>
                <w:szCs w:val="20"/>
                <w:color w:val="auto"/>
              </w:rPr>
              <w:t>Cybin Inc. (the “Issuer”).</w:t>
            </w:r>
          </w:p>
        </w:tc>
      </w:tr>
      <w:tr>
        <w:trPr>
          <w:trHeight w:val="20"/>
        </w:trPr>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43"/>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r>
      <w:tr>
        <w:trPr>
          <w:trHeight w:val="258"/>
        </w:trPr>
        <w:tc>
          <w:tcPr>
            <w:tcW w:w="1260" w:type="dxa"/>
            <w:vAlign w:val="bottom"/>
          </w:tcPr>
          <w:p>
            <w:pPr>
              <w:spacing w:after="0"/>
              <w:rPr>
                <w:sz w:val="22"/>
                <w:szCs w:val="22"/>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100 King Street West, Suite 5600, Toronto, Ontario, Canada M5X 1C9.</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r>
      <w:tr>
        <w:trPr>
          <w:trHeight w:val="212"/>
        </w:trPr>
        <w:tc>
          <w:tcPr>
            <w:tcW w:w="1260" w:type="dxa"/>
            <w:vAlign w:val="bottom"/>
          </w:tcPr>
          <w:p>
            <w:pPr>
              <w:spacing w:after="0"/>
              <w:rPr>
                <w:sz w:val="18"/>
                <w:szCs w:val="18"/>
                <w:color w:val="auto"/>
              </w:rPr>
            </w:pPr>
          </w:p>
        </w:tc>
        <w:tc>
          <w:tcPr>
            <w:tcW w:w="9780" w:type="dxa"/>
            <w:vAlign w:val="bottom"/>
            <w:gridSpan w:val="11"/>
          </w:tcPr>
          <w:p>
            <w:pPr>
              <w:ind w:left="440"/>
              <w:spacing w:after="0" w:line="212" w:lineRule="exact"/>
              <w:rPr>
                <w:sz w:val="20"/>
                <w:szCs w:val="20"/>
                <w:color w:val="auto"/>
              </w:rPr>
            </w:pPr>
            <w:r>
              <w:rPr>
                <w:rFonts w:ascii="Times New Roman" w:cs="Times New Roman" w:eastAsia="Times New Roman" w:hAnsi="Times New Roman"/>
                <w:sz w:val="20"/>
                <w:szCs w:val="20"/>
                <w:color w:val="auto"/>
                <w:w w:val="99"/>
              </w:rPr>
              <w:t>This statement is filed by: (i) Point72 Asset Management, L.P. (“Point72 Asset Management”) with respect to shares</w:t>
            </w:r>
          </w:p>
        </w:tc>
      </w:tr>
      <w:tr>
        <w:trPr>
          <w:trHeight w:val="20"/>
        </w:trPr>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9780" w:type="dxa"/>
            <w:vAlign w:val="bottom"/>
            <w:gridSpan w:val="11"/>
          </w:tcPr>
          <w:p>
            <w:pPr>
              <w:ind w:left="440"/>
              <w:spacing w:after="0" w:line="209" w:lineRule="exact"/>
              <w:rPr>
                <w:sz w:val="20"/>
                <w:szCs w:val="20"/>
                <w:color w:val="auto"/>
              </w:rPr>
            </w:pPr>
            <w:r>
              <w:rPr>
                <w:rFonts w:ascii="Times New Roman" w:cs="Times New Roman" w:eastAsia="Times New Roman" w:hAnsi="Times New Roman"/>
                <w:sz w:val="20"/>
                <w:szCs w:val="20"/>
                <w:color w:val="auto"/>
              </w:rPr>
              <w:t>of common shares, no par value (“Shares”), of the Issuer held by (and underlying warrants held by) an investment</w:t>
            </w:r>
          </w:p>
        </w:tc>
      </w:tr>
      <w:tr>
        <w:trPr>
          <w:trHeight w:val="20"/>
        </w:trPr>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9780" w:type="dxa"/>
            <w:vAlign w:val="bottom"/>
            <w:gridSpan w:val="11"/>
          </w:tcPr>
          <w:p>
            <w:pPr>
              <w:ind w:left="440"/>
              <w:spacing w:after="0" w:line="209" w:lineRule="exact"/>
              <w:rPr>
                <w:sz w:val="20"/>
                <w:szCs w:val="20"/>
                <w:color w:val="auto"/>
              </w:rPr>
            </w:pPr>
            <w:r>
              <w:rPr>
                <w:rFonts w:ascii="Times New Roman" w:cs="Times New Roman" w:eastAsia="Times New Roman" w:hAnsi="Times New Roman"/>
                <w:sz w:val="20"/>
                <w:szCs w:val="20"/>
                <w:color w:val="auto"/>
              </w:rPr>
              <w:t>fund it manages; (ii) Point72 Capital Advisors, Inc. (“Point72 Capital Advisors Inc.”) with respect to Shares held by</w:t>
            </w:r>
          </w:p>
        </w:tc>
      </w:tr>
      <w:tr>
        <w:trPr>
          <w:trHeight w:val="20"/>
        </w:trPr>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2320" w:type="dxa"/>
            <w:vAlign w:val="bottom"/>
            <w:gridSpan w:val="2"/>
            <w:shd w:val="clear" w:color="auto" w:fill="000000"/>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r>
      <w:tr>
        <w:trPr>
          <w:trHeight w:val="227"/>
        </w:trPr>
        <w:tc>
          <w:tcPr>
            <w:tcW w:w="1260" w:type="dxa"/>
            <w:vAlign w:val="bottom"/>
          </w:tcPr>
          <w:p>
            <w:pPr>
              <w:spacing w:after="0"/>
              <w:rPr>
                <w:sz w:val="19"/>
                <w:szCs w:val="19"/>
                <w:color w:val="auto"/>
              </w:rPr>
            </w:pPr>
          </w:p>
        </w:tc>
        <w:tc>
          <w:tcPr>
            <w:tcW w:w="9780" w:type="dxa"/>
            <w:vAlign w:val="bottom"/>
            <w:gridSpan w:val="11"/>
          </w:tcPr>
          <w:p>
            <w:pPr>
              <w:ind w:left="440"/>
              <w:spacing w:after="0" w:line="228" w:lineRule="exact"/>
              <w:rPr>
                <w:sz w:val="20"/>
                <w:szCs w:val="20"/>
                <w:color w:val="auto"/>
              </w:rPr>
            </w:pPr>
            <w:r>
              <w:rPr>
                <w:rFonts w:ascii="Times New Roman" w:cs="Times New Roman" w:eastAsia="Times New Roman" w:hAnsi="Times New Roman"/>
                <w:sz w:val="20"/>
                <w:szCs w:val="20"/>
                <w:color w:val="auto"/>
              </w:rPr>
              <w:t>(and underlying warrants held by) an investment fund managed by Point72 Asset Management; and (iii) Steven A.</w:t>
            </w:r>
          </w:p>
        </w:tc>
      </w:tr>
      <w:tr>
        <w:trPr>
          <w:trHeight w:val="212"/>
        </w:trPr>
        <w:tc>
          <w:tcPr>
            <w:tcW w:w="1260" w:type="dxa"/>
            <w:vAlign w:val="bottom"/>
          </w:tcPr>
          <w:p>
            <w:pPr>
              <w:spacing w:after="0"/>
              <w:rPr>
                <w:sz w:val="18"/>
                <w:szCs w:val="18"/>
                <w:color w:val="auto"/>
              </w:rPr>
            </w:pPr>
          </w:p>
        </w:tc>
        <w:tc>
          <w:tcPr>
            <w:tcW w:w="9780" w:type="dxa"/>
            <w:vAlign w:val="bottom"/>
            <w:gridSpan w:val="11"/>
          </w:tcPr>
          <w:p>
            <w:pPr>
              <w:ind w:left="440"/>
              <w:spacing w:after="0" w:line="212" w:lineRule="exact"/>
              <w:rPr>
                <w:sz w:val="20"/>
                <w:szCs w:val="20"/>
                <w:color w:val="auto"/>
              </w:rPr>
            </w:pPr>
            <w:r>
              <w:rPr>
                <w:rFonts w:ascii="Times New Roman" w:cs="Times New Roman" w:eastAsia="Times New Roman" w:hAnsi="Times New Roman"/>
                <w:sz w:val="20"/>
                <w:szCs w:val="20"/>
                <w:color w:val="auto"/>
              </w:rPr>
              <w:t>Cohen (“Mr. Cohen”) with respect to Shares beneficially owned by Point72 Asset Management and Point72 Capital</w:t>
            </w:r>
          </w:p>
        </w:tc>
      </w:tr>
      <w:tr>
        <w:trPr>
          <w:trHeight w:val="20"/>
        </w:trPr>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7780" w:type="dxa"/>
            <w:vAlign w:val="bottom"/>
            <w:gridSpan w:val="8"/>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Advisors Inc.</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w:t>
            </w:r>
          </w:p>
        </w:tc>
      </w:tr>
      <w:tr>
        <w:trPr>
          <w:trHeight w:val="229"/>
        </w:trPr>
        <w:tc>
          <w:tcPr>
            <w:tcW w:w="1260" w:type="dxa"/>
            <w:vAlign w:val="bottom"/>
          </w:tcPr>
          <w:p>
            <w:pPr>
              <w:spacing w:after="0"/>
              <w:rPr>
                <w:sz w:val="19"/>
                <w:szCs w:val="19"/>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The address of the principal business office of Point72 Asset Management, Point72 Capital Advisors Inc., and Mr.</w:t>
            </w:r>
          </w:p>
        </w:tc>
      </w:tr>
      <w:tr>
        <w:trPr>
          <w:trHeight w:val="258"/>
        </w:trPr>
        <w:tc>
          <w:tcPr>
            <w:tcW w:w="1260" w:type="dxa"/>
            <w:vAlign w:val="bottom"/>
          </w:tcPr>
          <w:p>
            <w:pPr>
              <w:spacing w:after="0"/>
              <w:rPr>
                <w:sz w:val="22"/>
                <w:szCs w:val="22"/>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Cohen is 72 Cummings Point Road, Stamford, CT 06902.</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Place of Organization.</w:t>
            </w:r>
          </w:p>
        </w:tc>
      </w:tr>
      <w:tr>
        <w:trPr>
          <w:trHeight w:val="230"/>
        </w:trPr>
        <w:tc>
          <w:tcPr>
            <w:tcW w:w="1260" w:type="dxa"/>
            <w:vAlign w:val="bottom"/>
          </w:tcPr>
          <w:p>
            <w:pPr>
              <w:spacing w:after="0"/>
              <w:rPr>
                <w:sz w:val="19"/>
                <w:szCs w:val="19"/>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Point72 Asset Management is a Delaware limited partnership. Point72 Capital Advisors Inc. is a Delaware</w:t>
            </w:r>
          </w:p>
        </w:tc>
      </w:tr>
      <w:tr>
        <w:trPr>
          <w:trHeight w:val="258"/>
        </w:trPr>
        <w:tc>
          <w:tcPr>
            <w:tcW w:w="1260" w:type="dxa"/>
            <w:vAlign w:val="bottom"/>
          </w:tcPr>
          <w:p>
            <w:pPr>
              <w:spacing w:after="0"/>
              <w:rPr>
                <w:sz w:val="22"/>
                <w:szCs w:val="22"/>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corporation. Mr. Cohen is a United States citizen.</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258"/>
        </w:trPr>
        <w:tc>
          <w:tcPr>
            <w:tcW w:w="1260" w:type="dxa"/>
            <w:vAlign w:val="bottom"/>
          </w:tcPr>
          <w:p>
            <w:pPr>
              <w:spacing w:after="0"/>
              <w:rPr>
                <w:sz w:val="22"/>
                <w:szCs w:val="22"/>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Common Shares, no par value.</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2(e).</w:t>
            </w: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CUSIP Number.</w:t>
            </w:r>
          </w:p>
        </w:tc>
      </w:tr>
      <w:tr>
        <w:trPr>
          <w:trHeight w:val="258"/>
        </w:trPr>
        <w:tc>
          <w:tcPr>
            <w:tcW w:w="1260" w:type="dxa"/>
            <w:vAlign w:val="bottom"/>
          </w:tcPr>
          <w:p>
            <w:pPr>
              <w:spacing w:after="0"/>
              <w:rPr>
                <w:sz w:val="22"/>
                <w:szCs w:val="22"/>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23256X407</w:t>
            </w:r>
          </w:p>
        </w:tc>
      </w:tr>
      <w:tr>
        <w:trPr>
          <w:trHeight w:val="426"/>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3.</w:t>
            </w: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If this Statement is Filed Pursuant to §§ 240.13d-1(b) or 240.13d-2(b), or (c), check whether the Person Filing</w:t>
            </w:r>
          </w:p>
        </w:tc>
      </w:tr>
      <w:tr>
        <w:trPr>
          <w:trHeight w:val="233"/>
        </w:trPr>
        <w:tc>
          <w:tcPr>
            <w:tcW w:w="1260" w:type="dxa"/>
            <w:vAlign w:val="bottom"/>
          </w:tcPr>
          <w:p>
            <w:pPr>
              <w:spacing w:after="0"/>
              <w:rPr>
                <w:sz w:val="20"/>
                <w:szCs w:val="20"/>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is a:</w:t>
            </w:r>
          </w:p>
        </w:tc>
      </w:tr>
      <w:tr>
        <w:trPr>
          <w:trHeight w:val="258"/>
        </w:trPr>
        <w:tc>
          <w:tcPr>
            <w:tcW w:w="1260" w:type="dxa"/>
            <w:vAlign w:val="bottom"/>
          </w:tcPr>
          <w:p>
            <w:pPr>
              <w:spacing w:after="0"/>
              <w:rPr>
                <w:sz w:val="22"/>
                <w:szCs w:val="22"/>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Not applicable.</w:t>
            </w: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4.</w:t>
            </w: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Ownership.</w:t>
            </w:r>
          </w:p>
        </w:tc>
      </w:tr>
      <w:tr>
        <w:trPr>
          <w:trHeight w:val="430"/>
        </w:trPr>
        <w:tc>
          <w:tcPr>
            <w:tcW w:w="1260" w:type="dxa"/>
            <w:vAlign w:val="bottom"/>
          </w:tcPr>
          <w:p>
            <w:pPr>
              <w:spacing w:after="0"/>
              <w:rPr>
                <w:sz w:val="24"/>
                <w:szCs w:val="24"/>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Reporting</w:t>
            </w:r>
          </w:p>
        </w:tc>
      </w:tr>
      <w:tr>
        <w:trPr>
          <w:trHeight w:val="229"/>
        </w:trPr>
        <w:tc>
          <w:tcPr>
            <w:tcW w:w="1260" w:type="dxa"/>
            <w:vAlign w:val="bottom"/>
          </w:tcPr>
          <w:p>
            <w:pPr>
              <w:spacing w:after="0"/>
              <w:rPr>
                <w:sz w:val="19"/>
                <w:szCs w:val="19"/>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Person hereto and is incorporated herein by reference for each Reporting Person. Such information is as of the close</w:t>
            </w:r>
          </w:p>
        </w:tc>
      </w:tr>
      <w:tr>
        <w:trPr>
          <w:trHeight w:val="258"/>
        </w:trPr>
        <w:tc>
          <w:tcPr>
            <w:tcW w:w="1260" w:type="dxa"/>
            <w:vAlign w:val="bottom"/>
          </w:tcPr>
          <w:p>
            <w:pPr>
              <w:spacing w:after="0"/>
              <w:rPr>
                <w:sz w:val="22"/>
                <w:szCs w:val="22"/>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of business on September 30, 2024.</w:t>
            </w:r>
          </w:p>
        </w:tc>
      </w:tr>
      <w:tr>
        <w:trPr>
          <w:trHeight w:val="430"/>
        </w:trPr>
        <w:tc>
          <w:tcPr>
            <w:tcW w:w="1260" w:type="dxa"/>
            <w:vAlign w:val="bottom"/>
          </w:tcPr>
          <w:p>
            <w:pPr>
              <w:spacing w:after="0"/>
              <w:rPr>
                <w:sz w:val="24"/>
                <w:szCs w:val="24"/>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Point72 Asset Management, Point72 Capital Advisors Inc., and Mr. Cohen own directly no Shares. Pursuant to an</w:t>
            </w:r>
          </w:p>
        </w:tc>
      </w:tr>
      <w:tr>
        <w:trPr>
          <w:trHeight w:val="229"/>
        </w:trPr>
        <w:tc>
          <w:tcPr>
            <w:tcW w:w="1260" w:type="dxa"/>
            <w:vAlign w:val="bottom"/>
          </w:tcPr>
          <w:p>
            <w:pPr>
              <w:spacing w:after="0"/>
              <w:rPr>
                <w:sz w:val="19"/>
                <w:szCs w:val="19"/>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w w:val="99"/>
              </w:rPr>
              <w:t>investment management agreement, Point72 Asset Management maintains investment and voting power with respect</w:t>
            </w:r>
          </w:p>
        </w:tc>
      </w:tr>
      <w:tr>
        <w:trPr>
          <w:trHeight w:val="230"/>
        </w:trPr>
        <w:tc>
          <w:tcPr>
            <w:tcW w:w="1260" w:type="dxa"/>
            <w:vAlign w:val="bottom"/>
          </w:tcPr>
          <w:p>
            <w:pPr>
              <w:spacing w:after="0"/>
              <w:rPr>
                <w:sz w:val="19"/>
                <w:szCs w:val="19"/>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to the securities held by an investment fund it manages. Point72 Capital Advisors Inc. is the general partner of</w:t>
            </w:r>
          </w:p>
        </w:tc>
      </w:tr>
      <w:tr>
        <w:trPr>
          <w:trHeight w:val="230"/>
        </w:trPr>
        <w:tc>
          <w:tcPr>
            <w:tcW w:w="1260" w:type="dxa"/>
            <w:vAlign w:val="bottom"/>
          </w:tcPr>
          <w:p>
            <w:pPr>
              <w:spacing w:after="0"/>
              <w:rPr>
                <w:sz w:val="19"/>
                <w:szCs w:val="19"/>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Point72 Asset Management. Mr. Cohen controls each of Point72 Asset Management and Point72 Capital Advisors</w:t>
            </w:r>
          </w:p>
        </w:tc>
      </w:tr>
      <w:tr>
        <w:trPr>
          <w:trHeight w:val="230"/>
        </w:trPr>
        <w:tc>
          <w:tcPr>
            <w:tcW w:w="1260" w:type="dxa"/>
            <w:vAlign w:val="bottom"/>
          </w:tcPr>
          <w:p>
            <w:pPr>
              <w:spacing w:after="0"/>
              <w:rPr>
                <w:sz w:val="19"/>
                <w:szCs w:val="19"/>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Inc. The filing of this statement should not be construed as an admission that any of the foregoing persons or any</w:t>
            </w:r>
          </w:p>
        </w:tc>
      </w:tr>
      <w:tr>
        <w:trPr>
          <w:trHeight w:val="258"/>
        </w:trPr>
        <w:tc>
          <w:tcPr>
            <w:tcW w:w="1260" w:type="dxa"/>
            <w:vAlign w:val="bottom"/>
          </w:tcPr>
          <w:p>
            <w:pPr>
              <w:spacing w:after="0"/>
              <w:rPr>
                <w:sz w:val="22"/>
                <w:szCs w:val="22"/>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Reporting Person is, for the purposes of Section 13 of the Act, the beneficial owner of the Shares reported herein.</w:t>
            </w:r>
          </w:p>
        </w:tc>
      </w:tr>
    </w:tbl>
    <w:p>
      <w:pPr>
        <w:sectPr>
          <w:pgSz w:w="11900" w:h="16838" w:orient="portrait"/>
          <w:cols w:equalWidth="0" w:num="1">
            <w:col w:w="11240"/>
          </w:cols>
          <w:pgMar w:left="320" w:top="225" w:right="339" w:bottom="1440" w:gutter="0" w:footer="0" w:header="0"/>
          <w:type w:val="continuous"/>
        </w:sectPr>
      </w:pPr>
    </w:p>
    <w:bookmarkStart w:id="5" w:name="page6"/>
    <w:bookmarkEnd w:id="5"/>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23256X407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7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The aggregate percentage of the Shares reported to be beneficially owned by each Reporting Person is based on</w:t>
      </w:r>
    </w:p>
    <w:p>
      <w:pPr>
        <w:spacing w:after="0" w:line="2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20,284,304 Shares outstanding, which is the sum of: (i) 19,991,907 Shares outstanding, as reported in Exhibit 99.2</w:t>
      </w:r>
    </w:p>
    <w:p>
      <w:pPr>
        <w:ind w:left="1800"/>
        <w:spacing w:after="0"/>
        <w:rPr>
          <w:sz w:val="20"/>
          <w:szCs w:val="20"/>
          <w:color w:val="auto"/>
        </w:rPr>
      </w:pPr>
      <w:r>
        <w:rPr>
          <w:rFonts w:ascii="Times New Roman" w:cs="Times New Roman" w:eastAsia="Times New Roman" w:hAnsi="Times New Roman"/>
          <w:sz w:val="20"/>
          <w:szCs w:val="20"/>
          <w:color w:val="auto"/>
        </w:rPr>
        <w:t>attached to the Issuer’s Current Report on Form 6-K filed with the Securities and Exchange Commission on</w:t>
      </w:r>
    </w:p>
    <w:p>
      <w:pPr>
        <w:ind w:left="1800"/>
        <w:spacing w:after="0"/>
        <w:rPr>
          <w:sz w:val="20"/>
          <w:szCs w:val="20"/>
          <w:color w:val="auto"/>
        </w:rPr>
      </w:pPr>
      <w:r>
        <w:rPr>
          <w:rFonts w:ascii="Times New Roman" w:cs="Times New Roman" w:eastAsia="Times New Roman" w:hAnsi="Times New Roman"/>
          <w:sz w:val="20"/>
          <w:szCs w:val="20"/>
          <w:color w:val="auto"/>
        </w:rPr>
        <w:t>September 20, 2024; and (ii) 292,397 warrant shares exercised as reported herein.</w:t>
      </w:r>
    </w:p>
    <w:p>
      <w:pPr>
        <w:spacing w:after="0" w:line="203"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6" w:lineRule="exact"/>
        <w:rPr>
          <w:sz w:val="20"/>
          <w:szCs w:val="20"/>
          <w:color w:val="auto"/>
        </w:rPr>
      </w:pPr>
    </w:p>
    <w:p>
      <w:pPr>
        <w:ind w:left="1800" w:right="100"/>
        <w:spacing w:after="0" w:line="246" w:lineRule="auto"/>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Persons have ceased to be the beneficial owner of more than 5 percent of the class of securities, check the following [X].</w:t>
      </w:r>
    </w:p>
    <w:p>
      <w:pPr>
        <w:spacing w:after="0" w:line="191"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See Item 2(a).</w:t>
      </w:r>
    </w:p>
    <w:p>
      <w:pPr>
        <w:spacing w:after="0" w:line="203"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Identification and Classification of the Subsidiary Which Acquired the Security Being Reported on by the</w:t>
      </w:r>
    </w:p>
    <w:p>
      <w:pPr>
        <w:spacing w:after="0" w:line="2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Parent Holding Company or Control Person.</w:t>
      </w: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By signing below each Reporting Person certifies that, to the best of its knowledge and belief, the securities referred</w:t>
      </w:r>
    </w:p>
    <w:p>
      <w:pPr>
        <w:ind w:left="1800"/>
        <w:spacing w:after="0"/>
        <w:rPr>
          <w:sz w:val="20"/>
          <w:szCs w:val="20"/>
          <w:color w:val="auto"/>
        </w:rPr>
      </w:pPr>
      <w:r>
        <w:rPr>
          <w:rFonts w:ascii="Times New Roman" w:cs="Times New Roman" w:eastAsia="Times New Roman" w:hAnsi="Times New Roman"/>
          <w:sz w:val="20"/>
          <w:szCs w:val="20"/>
          <w:color w:val="auto"/>
        </w:rPr>
        <w:t>to above were not acquired and are not held for the purpose of or with the effect of changing or influencing the</w:t>
      </w:r>
    </w:p>
    <w:p>
      <w:pPr>
        <w:jc w:val="right"/>
        <w:ind w:right="100"/>
        <w:spacing w:after="0"/>
        <w:rPr>
          <w:sz w:val="20"/>
          <w:szCs w:val="20"/>
          <w:color w:val="auto"/>
        </w:rPr>
      </w:pPr>
      <w:r>
        <w:rPr>
          <w:rFonts w:ascii="Times New Roman" w:cs="Times New Roman" w:eastAsia="Times New Roman" w:hAnsi="Times New Roman"/>
          <w:sz w:val="20"/>
          <w:szCs w:val="20"/>
          <w:color w:val="auto"/>
        </w:rPr>
        <w:t>control of the issuer of the securities and were not acquired and are not held in connection with or as a participant in</w:t>
      </w:r>
    </w:p>
    <w:p>
      <w:pPr>
        <w:ind w:left="1800"/>
        <w:spacing w:after="0"/>
        <w:rPr>
          <w:sz w:val="20"/>
          <w:szCs w:val="20"/>
          <w:color w:val="auto"/>
        </w:rPr>
      </w:pPr>
      <w:r>
        <w:rPr>
          <w:rFonts w:ascii="Times New Roman" w:cs="Times New Roman" w:eastAsia="Times New Roman" w:hAnsi="Times New Roman"/>
          <w:sz w:val="20"/>
          <w:szCs w:val="20"/>
          <w:color w:val="auto"/>
        </w:rPr>
        <w:t>any transaction having that purpose or effect.</w:t>
      </w:r>
    </w:p>
    <w:p>
      <w:pPr>
        <w:sectPr>
          <w:pgSz w:w="11900" w:h="16838" w:orient="portrait"/>
          <w:cols w:equalWidth="0" w:num="1">
            <w:col w:w="11240"/>
          </w:cols>
          <w:pgMar w:left="320" w:top="225" w:right="339" w:bottom="1440" w:gutter="0" w:footer="0" w:header="0"/>
          <w:type w:val="continuous"/>
        </w:sectPr>
      </w:pPr>
    </w:p>
    <w:bookmarkStart w:id="6" w:name="page7"/>
    <w:bookmarkEnd w:id="6"/>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23256X407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SIGNATURE</w:t>
      </w:r>
    </w:p>
    <w:p>
      <w:pPr>
        <w:spacing w:after="0" w:line="220"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each of the undersigned certifies that the information set forth in this statement is true, complete and correct.</w:t>
      </w:r>
    </w:p>
    <w:p>
      <w:pPr>
        <w:spacing w:after="0" w:line="1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Date: November 14, 2024</w:t>
      </w:r>
    </w:p>
    <w:p>
      <w:pPr>
        <w:spacing w:after="0" w:line="2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POINT72 ASSET MANAGEMENT, L.P.</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Jason M. Colombo</w:t>
      </w:r>
    </w:p>
    <w:p>
      <w:pPr>
        <w:spacing w:after="0" w:line="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Name: Jason M. Colombo</w:t>
      </w:r>
    </w:p>
    <w:p>
      <w:pPr>
        <w:ind w:left="550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3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POINT72 CAPITAL ADVISORS, INC.</w:t>
      </w:r>
    </w:p>
    <w:p>
      <w:pPr>
        <w:spacing w:after="0" w:line="23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Jason M. Colombo</w:t>
      </w:r>
    </w:p>
    <w:p>
      <w:pPr>
        <w:spacing w:after="0" w:line="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Name: Jason M. Colombo</w:t>
      </w:r>
    </w:p>
    <w:p>
      <w:pPr>
        <w:ind w:left="5500"/>
        <w:spacing w:after="0"/>
        <w:tabs>
          <w:tab w:leader="none" w:pos="61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Person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STEVEN A. COHEN</w:t>
      </w:r>
    </w:p>
    <w:p>
      <w:pPr>
        <w:spacing w:after="0" w:line="23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Jason M. Colombo</w:t>
      </w:r>
    </w:p>
    <w:p>
      <w:pPr>
        <w:spacing w:after="0" w:line="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Name: Jason M. Colombo</w:t>
      </w:r>
    </w:p>
    <w:p>
      <w:pPr>
        <w:ind w:left="5500"/>
        <w:spacing w:after="0"/>
        <w:tabs>
          <w:tab w:leader="none" w:pos="61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Person</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ý"/>
      <w:numFmt w:val="bullet"/>
      <w:start w:val="1"/>
    </w:lvl>
    <w:lvl w:ilvl="1">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1"/>
      <w:numFmt w:val="bullet"/>
      <w:start w:val="1"/>
    </w:lvl>
  </w:abstractNum>
  <w:abstractNum w:abstractNumId="4">
    <w:nsid w:val="507ED7AB"/>
    <w:multiLevelType w:val="hybridMultilevel"/>
    <w:lvl w:ilvl="0">
      <w:lvlJc w:val="left"/>
      <w:lvlText w:val="3"/>
      <w:numFmt w:val="bullet"/>
      <w:start w:val="1"/>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2024-11-14T18:59:57Z</dcterms:created>
  <dcterms:modified xsi:type="dcterms:W3CDTF">2024-11-14T18:59:57Z</dcterms:modified>
</cp:coreProperties>
</file>