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23256X407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2,391,505.00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2,391,505.00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2,391,505.00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2,391,505.00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2,391,505.00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2,391,505.00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4.74 %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23256X407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2,391,505.00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2,391,505.00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2,391,505.00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CYBIN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779"/>
        <w:spacing w:after="0"/>
        <w:rPr>
          <w:sz w:val="20"/>
          <w:szCs w:val="20"/>
          <w:color w:val="auto"/>
        </w:rPr>
      </w:pPr>
      <w:r>
        <w:rPr>
          <w:rFonts w:ascii="Times New Roman" w:cs="Times New Roman" w:eastAsia="Times New Roman" w:hAnsi="Times New Roman"/>
          <w:sz w:val="22"/>
          <w:szCs w:val="22"/>
          <w:color w:val="auto"/>
        </w:rPr>
        <w:t>100 King Street West, Suite 5600, Toronto, Ontario, M5X IC9</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920"/>
        <w:spacing w:after="0" w:line="286"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562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23256X407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2,391,505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8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2,391,505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96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2,391,505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0980"/>
          </w:cols>
          <w:pgMar w:left="360" w:top="112" w:right="559" w:bottom="0" w:gutter="0" w:footer="0" w:header="0"/>
        </w:sectPr>
      </w:pPr>
    </w:p>
    <w:bookmarkStart w:id="4" w:name="page5"/>
    <w:bookmarkEnd w:id="4"/>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December 31, 2025, is incorporated by reference to items (5) - (9) and (11) of the cover page of the respective Reporting Person. The amount beneficially owned by each Reporting Person is determined using 50,431,381 shares, calculated using 49,894,131 Common Stock outstanding as of December 19, 2025, according to the issuer's F-10 filed with the SEC on December 19, 2025 and 537,250 Warrants that would be converted to Common Stock by the Reporting Person up to the Maximum Percentage. The beneficially owned shares include 537,250 Warrants exercisable to common stock, subject to a 9.99% Maximum Percentage exercise limitation. The Issuer shall not effect the exercise of any portion of the Warrants, to the extent that after giving effect to such exercise, the holder collectively would beneficially own in excess of 9.99% (the "Maximum Percentage") of the number of Common Stock outstanding immediately after giving effect to such exercise. 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February 13, 2026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40"/>
      </w:cols>
      <w:pgMar w:left="360" w:top="139"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2026-02-13T07:54:30Z</dcterms:created>
  <dcterms:modified xsi:type="dcterms:W3CDTF">2026-02-13T07:54:30Z</dcterms:modified>
</cp:coreProperties>
</file>