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6ka.htm"/>
      <w:bookmarkStart w:id="1" w:name="ksform6ka"/>
      <w:bookmarkStart w:id="2" w:name="form6ka.htm"/>
      <w:bookmarkStart w:id="3" w:name="ksform6ka"/>
      <w:bookmarkEnd w:id="2"/>
      <w:bookmarkEnd w:id="3"/>
    </w:p>
    <w:p>
      <w:pPr>
        <w:pStyle w:val="TextBody"/>
        <w:bidi w:val="0"/>
        <w:spacing w:before="0" w:after="0"/>
        <w:jc w:val="center"/>
        <w:rPr/>
      </w:pPr>
      <w:bookmarkStart w:id="4" w:name="page_1"/>
      <w:bookmarkEnd w:id="4"/>
      <w:r>
        <w:rPr>
          <w:b/>
          <w:sz w:val="36"/>
        </w:rPr>
        <w:t>UNITED STATES</w:t>
      </w:r>
      <w:r>
        <w:rPr/>
        <w:br/>
      </w:r>
      <w:r>
        <w:rPr>
          <w:b/>
          <w:sz w:val="36"/>
        </w:rPr>
        <w:t>SECURITIES AND EXCHANGE COMMISSION</w:t>
      </w:r>
      <w:r>
        <w:rPr/>
        <w:br/>
      </w:r>
      <w:r>
        <w:rPr>
          <w:b/>
        </w:rPr>
        <w:t>Washington, D.C. 20549</w:t>
      </w:r>
      <w:r>
        <w:rPr/>
        <w:br/>
        <w:br/>
      </w:r>
      <w:r>
        <w:rPr>
          <w:b/>
          <w:sz w:val="36"/>
        </w:rPr>
        <w:t>Form 6-K/A</w:t>
      </w:r>
    </w:p>
    <w:p>
      <w:pPr>
        <w:pStyle w:val="TextBody"/>
        <w:bidi w:val="0"/>
        <w:spacing w:before="0" w:after="283"/>
        <w:jc w:val="center"/>
        <w:rPr/>
      </w:pPr>
      <w:r>
        <w:rPr>
          <w:b/>
        </w:rPr>
        <w:t>Amendment No. 1</w:t>
      </w:r>
      <w:r>
        <w:rPr/>
        <w:br/>
        <w:br/>
      </w:r>
      <w:r>
        <w:rPr>
          <w:b/>
        </w:rPr>
        <w:t>REPORT OF FOREIGN PRIVATE ISSUER PURSUANT TO RULE 13a-16 OR 15d-16</w:t>
      </w:r>
      <w:r>
        <w:rPr/>
        <w:br/>
      </w:r>
      <w:r>
        <w:rPr>
          <w:b/>
        </w:rPr>
        <w:t>UNDER THE SECURITIES EXCHANGE ACT OF 1934</w:t>
      </w:r>
    </w:p>
    <w:p>
      <w:pPr>
        <w:pStyle w:val="TextBody"/>
        <w:bidi w:val="0"/>
        <w:jc w:val="both"/>
        <w:rPr/>
      </w:pPr>
      <w:r>
        <w:rPr/>
        <w:t xml:space="preserve">For the month of </w:t>
      </w:r>
      <w:r>
        <w:rPr>
          <w:b/>
          <w:u w:val="single"/>
        </w:rPr>
        <w:t>October 2023</w:t>
      </w:r>
      <w:r>
        <w:rPr/>
        <w:t>.</w:t>
      </w:r>
    </w:p>
    <w:p>
      <w:pPr>
        <w:pStyle w:val="TextBody"/>
        <w:bidi w:val="0"/>
        <w:spacing w:before="0" w:after="0"/>
        <w:jc w:val="both"/>
        <w:rPr/>
      </w:pPr>
      <w:r>
        <w:rPr/>
        <w:t xml:space="preserve">Commission File Number: </w:t>
      </w:r>
      <w:r>
        <w:rPr>
          <w:b/>
          <w:u w:val="single"/>
        </w:rPr>
        <w:t>001-40673</w:t>
      </w:r>
    </w:p>
    <w:p>
      <w:pPr>
        <w:pStyle w:val="TextBody"/>
        <w:bidi w:val="0"/>
        <w:spacing w:before="0" w:after="0"/>
        <w:jc w:val="center"/>
        <w:rPr/>
      </w:pPr>
      <w:r>
        <w:rPr/>
        <w:br/>
        <w:br/>
      </w:r>
      <w:r>
        <w:rPr>
          <w:b/>
          <w:sz w:val="36"/>
          <w:u w:val="single"/>
        </w:rPr>
        <w:t>Cybin Inc.</w:t>
      </w:r>
      <w:r>
        <w:rPr/>
        <w:br/>
        <w:t>(Exact Name of Registrant as Specified in Charter)</w:t>
        <w:br/>
        <w:br/>
      </w:r>
      <w:r>
        <w:rPr>
          <w:b/>
          <w:u w:val="single"/>
        </w:rPr>
        <w:t>100 King Street West, Suite 5600, Toronto, Ontario, M5X 1C9</w:t>
      </w:r>
      <w:r>
        <w:rPr>
          <w:b/>
        </w:rPr>
        <w:t xml:space="preserve"> </w:t>
      </w:r>
    </w:p>
    <w:p>
      <w:pPr>
        <w:pStyle w:val="TextBody"/>
        <w:bidi w:val="0"/>
        <w:spacing w:before="0" w:after="283"/>
        <w:jc w:val="center"/>
        <w:rPr/>
      </w:pPr>
      <w:r>
        <w:rPr/>
        <w:t>(Address of principal executive offices)</w:t>
      </w:r>
    </w:p>
    <w:p>
      <w:pPr>
        <w:pStyle w:val="TextBody"/>
        <w:bidi w:val="0"/>
        <w:spacing w:before="0" w:after="0"/>
        <w:jc w:val="both"/>
        <w:rPr/>
      </w:pPr>
      <w:r>
        <w:rPr/>
        <w:t>Indicate by check mark whether the registrant files or will file annual reports under cover Form 20-F or Form 40-F.</w:t>
      </w:r>
    </w:p>
    <w:p>
      <w:pPr>
        <w:pStyle w:val="TextBody"/>
        <w:bidi w:val="0"/>
        <w:spacing w:before="0" w:after="283"/>
        <w:jc w:val="both"/>
        <w:rPr/>
      </w:pPr>
      <w:r>
        <w:rPr/>
        <w:t>Form 20-F  □  Form 40-F ⊠</w:t>
      </w:r>
    </w:p>
    <w:p>
      <w:pPr>
        <w:pStyle w:val="TextBody"/>
        <w:bidi w:val="0"/>
        <w:spacing w:before="0" w:after="0"/>
        <w:jc w:val="center"/>
        <w:rPr>
          <w:b/>
        </w:rPr>
      </w:pPr>
      <w:r>
        <w:rPr>
          <w:b/>
        </w:rPr>
        <w:t>EXPLANATORY NOTE</w:t>
      </w:r>
    </w:p>
    <w:p>
      <w:pPr>
        <w:pStyle w:val="TextBody"/>
        <w:bidi w:val="0"/>
        <w:spacing w:before="0" w:after="283"/>
        <w:jc w:val="both"/>
        <w:rPr/>
      </w:pPr>
      <w:r>
        <w:rPr/>
        <w:br/>
        <w:t xml:space="preserve">Cybin Inc. (the "Company") is filing this Amendment No. 1 on Form 6-K/A (the "Amendment") solely to make certain corrections by adding Exhibits 99.2 through 99.4 to the version originally filed with the Securities and Exchange Commission on </w:t>
      </w:r>
      <w:hyperlink r:id="rId2">
        <w:r>
          <w:rPr>
            <w:rStyle w:val="InternetLink"/>
            <w:u w:val="single"/>
          </w:rPr>
          <w:t>October 27, 2023.</w:t>
        </w:r>
      </w:hyperlink>
    </w:p>
    <w:p>
      <w:pPr>
        <w:pStyle w:val="TextBody"/>
        <w:bidi w:val="0"/>
        <w:spacing w:before="0" w:after="0"/>
        <w:jc w:val="center"/>
        <w:rPr>
          <w:b/>
        </w:rPr>
      </w:pPr>
      <w:r>
        <w:rPr>
          <w:b/>
        </w:rPr>
        <w:t>INCORPORATION BY REFERENCE</w:t>
      </w:r>
    </w:p>
    <w:p>
      <w:pPr>
        <w:pStyle w:val="TextBody"/>
        <w:bidi w:val="0"/>
        <w:spacing w:before="0" w:after="283"/>
        <w:jc w:val="both"/>
        <w:rPr/>
      </w:pPr>
      <w:r>
        <w:rPr/>
        <w:br/>
        <w:t xml:space="preserve">Exhibits 99.2 through 99.4 of this Amendment of the Company are hereby incorporated by reference into the </w:t>
      </w:r>
      <w:hyperlink r:id="rId3">
        <w:r>
          <w:rPr>
            <w:rStyle w:val="InternetLink"/>
            <w:u w:val="single"/>
          </w:rPr>
          <w:t>Registration Statement on Form F-10 (File No. 333-272706)</w:t>
        </w:r>
      </w:hyperlink>
      <w:r>
        <w:rPr/>
        <w:t xml:space="preserve"> of the Company, as amended or supplemented.</w:t>
      </w:r>
    </w:p>
    <w:p>
      <w:pPr>
        <w:pStyle w:val="HorizontalLine"/>
        <w:pBdr>
          <w:bottom w:val="single" w:sz="30" w:space="0" w:color="000000"/>
        </w:pBdr>
        <w:bidi w:val="0"/>
        <w:jc w:val="left"/>
        <w:rPr/>
      </w:pPr>
      <w:r>
        <w:rPr/>
      </w:r>
    </w:p>
    <w:p>
      <w:pPr>
        <w:pStyle w:val="TextBody"/>
        <w:bidi w:val="0"/>
        <w:jc w:val="center"/>
        <w:rPr>
          <w:b/>
        </w:rPr>
      </w:pPr>
      <w:bookmarkStart w:id="5" w:name="page_2"/>
      <w:bookmarkEnd w:id="5"/>
      <w:r>
        <w:rPr>
          <w:b/>
        </w:rPr>
        <w:t>SIGNATURE</w:t>
      </w:r>
    </w:p>
    <w:p>
      <w:pPr>
        <w:pStyle w:val="TextBody"/>
        <w:bidi w:val="0"/>
        <w:ind w:left="0" w:right="0" w:firstLine="720"/>
        <w:jc w:val="both"/>
        <w:rPr/>
      </w:pPr>
      <w:r>
        <w:rPr/>
        <w:t>Pursuant to the requirements of the Securities Exchange Act of 1934, the registrant has duly caused this report to be signed on its behalf by the undersigned, thereunto duly authorized.</w:t>
      </w:r>
    </w:p>
    <w:tbl>
      <w:tblPr>
        <w:tblW w:w="5420" w:type="dxa"/>
        <w:jc w:val="left"/>
        <w:tblInd w:w="0" w:type="dxa"/>
        <w:tblLayout w:type="fixed"/>
        <w:tblCellMar>
          <w:top w:w="0" w:type="dxa"/>
          <w:left w:w="0" w:type="dxa"/>
          <w:bottom w:w="0" w:type="dxa"/>
          <w:right w:w="0" w:type="dxa"/>
        </w:tblCellMar>
      </w:tblPr>
      <w:tblGrid>
        <w:gridCol w:w="545"/>
        <w:gridCol w:w="1925"/>
        <w:gridCol w:w="650"/>
        <w:gridCol w:w="2300"/>
      </w:tblGrid>
      <w:tr>
        <w:trPr/>
        <w:tc>
          <w:tcPr>
            <w:tcW w:w="545"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pPr>
            <w:r>
              <w:rPr/>
              <w:t> </w:t>
            </w:r>
          </w:p>
        </w:tc>
        <w:tc>
          <w:tcPr>
            <w:tcW w:w="2950" w:type="dxa"/>
            <w:gridSpan w:val="2"/>
            <w:tcBorders/>
            <w:vAlign w:val="center"/>
          </w:tcPr>
          <w:p>
            <w:pPr>
              <w:pStyle w:val="TableContents"/>
              <w:bidi w:val="0"/>
              <w:spacing w:before="0" w:after="0"/>
              <w:jc w:val="left"/>
              <w:rPr>
                <w:b/>
              </w:rPr>
            </w:pPr>
            <w:r>
              <w:rPr>
                <w:b/>
              </w:rPr>
              <w:t>CYBIN INC.</w:t>
            </w:r>
          </w:p>
        </w:tc>
      </w:tr>
      <w:tr>
        <w:trPr/>
        <w:tc>
          <w:tcPr>
            <w:tcW w:w="545"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pPr>
            <w:r>
              <w:rPr/>
              <w:t> </w:t>
            </w:r>
          </w:p>
        </w:tc>
        <w:tc>
          <w:tcPr>
            <w:tcW w:w="2950" w:type="dxa"/>
            <w:gridSpan w:val="2"/>
            <w:tcBorders/>
            <w:vAlign w:val="center"/>
          </w:tcPr>
          <w:p>
            <w:pPr>
              <w:pStyle w:val="TableContents"/>
              <w:bidi w:val="0"/>
              <w:spacing w:before="0" w:after="0"/>
              <w:jc w:val="left"/>
              <w:rPr/>
            </w:pPr>
            <w:r>
              <w:rPr/>
              <w:t>(Registrant)</w:t>
            </w:r>
          </w:p>
        </w:tc>
      </w:tr>
      <w:tr>
        <w:trPr/>
        <w:tc>
          <w:tcPr>
            <w:tcW w:w="545"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0"/>
              <w:jc w:val="left"/>
              <w:rPr/>
            </w:pPr>
            <w:r>
              <w:rPr/>
              <w:t> </w:t>
            </w:r>
          </w:p>
        </w:tc>
      </w:tr>
      <w:tr>
        <w:trPr/>
        <w:tc>
          <w:tcPr>
            <w:tcW w:w="545" w:type="dxa"/>
            <w:tcBorders/>
            <w:vAlign w:val="center"/>
          </w:tcPr>
          <w:p>
            <w:pPr>
              <w:pStyle w:val="TableContents"/>
              <w:bidi w:val="0"/>
              <w:spacing w:before="0" w:after="0"/>
              <w:jc w:val="left"/>
              <w:rPr/>
            </w:pPr>
            <w:r>
              <w:rPr/>
              <w:t>Date:</w:t>
            </w:r>
          </w:p>
        </w:tc>
        <w:tc>
          <w:tcPr>
            <w:tcW w:w="1925" w:type="dxa"/>
            <w:tcBorders/>
            <w:vAlign w:val="center"/>
          </w:tcPr>
          <w:p>
            <w:pPr>
              <w:pStyle w:val="TableContents"/>
              <w:bidi w:val="0"/>
              <w:spacing w:before="0" w:after="0"/>
              <w:jc w:val="left"/>
              <w:rPr/>
            </w:pPr>
            <w:r>
              <w:rPr/>
              <w:t>November 13, 2023</w:t>
            </w:r>
          </w:p>
        </w:tc>
        <w:tc>
          <w:tcPr>
            <w:tcW w:w="650" w:type="dxa"/>
            <w:tcBorders/>
            <w:vAlign w:val="center"/>
          </w:tcPr>
          <w:p>
            <w:pPr>
              <w:pStyle w:val="TableContents"/>
              <w:bidi w:val="0"/>
              <w:spacing w:before="0" w:after="0"/>
              <w:jc w:val="left"/>
              <w:rPr/>
            </w:pPr>
            <w:r>
              <w:rPr/>
              <w:t>By:</w:t>
            </w:r>
          </w:p>
        </w:tc>
        <w:tc>
          <w:tcPr>
            <w:tcW w:w="2300" w:type="dxa"/>
            <w:tcBorders>
              <w:bottom w:val="single" w:sz="6" w:space="0" w:color="000000"/>
            </w:tcBorders>
            <w:tcMar>
              <w:bottom w:w="28" w:type="dxa"/>
            </w:tcMar>
            <w:vAlign w:val="center"/>
          </w:tcPr>
          <w:p>
            <w:pPr>
              <w:pStyle w:val="TableContents"/>
              <w:bidi w:val="0"/>
              <w:spacing w:before="0" w:after="0"/>
              <w:jc w:val="left"/>
              <w:rPr>
                <w:i/>
              </w:rPr>
            </w:pPr>
            <w:r>
              <w:rPr>
                <w:i/>
              </w:rPr>
              <w:t>/s/ Doug Drysdale</w:t>
            </w:r>
          </w:p>
        </w:tc>
      </w:tr>
      <w:tr>
        <w:trPr/>
        <w:tc>
          <w:tcPr>
            <w:tcW w:w="545"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Name:</w:t>
            </w:r>
          </w:p>
        </w:tc>
        <w:tc>
          <w:tcPr>
            <w:tcW w:w="2300" w:type="dxa"/>
            <w:tcBorders/>
            <w:vAlign w:val="center"/>
          </w:tcPr>
          <w:p>
            <w:pPr>
              <w:pStyle w:val="TableContents"/>
              <w:bidi w:val="0"/>
              <w:spacing w:before="0" w:after="0"/>
              <w:jc w:val="left"/>
              <w:rPr/>
            </w:pPr>
            <w:r>
              <w:rPr/>
              <w:t>Doug Drysdale</w:t>
            </w:r>
          </w:p>
        </w:tc>
      </w:tr>
      <w:tr>
        <w:trPr/>
        <w:tc>
          <w:tcPr>
            <w:tcW w:w="545"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Title:</w:t>
            </w:r>
          </w:p>
        </w:tc>
        <w:tc>
          <w:tcPr>
            <w:tcW w:w="2300" w:type="dxa"/>
            <w:tcBorders/>
            <w:vAlign w:val="center"/>
          </w:tcPr>
          <w:p>
            <w:pPr>
              <w:pStyle w:val="TableContents"/>
              <w:bidi w:val="0"/>
              <w:spacing w:before="0" w:after="0"/>
              <w:jc w:val="left"/>
              <w:rPr/>
            </w:pPr>
            <w:r>
              <w:rPr/>
              <w:t>Chief Executive Officer</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jc w:val="center"/>
        <w:rPr>
          <w:b/>
          <w:u w:val="single"/>
        </w:rPr>
      </w:pPr>
      <w:bookmarkStart w:id="6" w:name="page_3"/>
      <w:bookmarkEnd w:id="6"/>
      <w:r>
        <w:rPr>
          <w:b/>
          <w:u w:val="single"/>
        </w:rPr>
        <w:t>EXHIBIT INDEX</w:t>
      </w:r>
    </w:p>
    <w:tbl>
      <w:tblPr>
        <w:tblW w:w="10205" w:type="dxa"/>
        <w:jc w:val="left"/>
        <w:tblInd w:w="0" w:type="dxa"/>
        <w:tblLayout w:type="fixed"/>
        <w:tblCellMar>
          <w:top w:w="0" w:type="dxa"/>
          <w:left w:w="0" w:type="dxa"/>
          <w:bottom w:w="0" w:type="dxa"/>
          <w:right w:w="0" w:type="dxa"/>
        </w:tblCellMar>
      </w:tblPr>
      <w:tblGrid>
        <w:gridCol w:w="539"/>
        <w:gridCol w:w="9666"/>
      </w:tblGrid>
      <w:tr>
        <w:trPr/>
        <w:tc>
          <w:tcPr>
            <w:tcW w:w="539" w:type="dxa"/>
            <w:tcBorders/>
            <w:shd w:fill="EEEEEE" w:val="clear"/>
            <w:vAlign w:val="center"/>
          </w:tcPr>
          <w:p>
            <w:pPr>
              <w:pStyle w:val="TableContents"/>
              <w:bidi w:val="0"/>
              <w:spacing w:before="0" w:after="0"/>
              <w:jc w:val="left"/>
              <w:rPr/>
            </w:pPr>
            <w:hyperlink r:id="rId4">
              <w:r>
                <w:rPr>
                  <w:rStyle w:val="InternetLink"/>
                </w:rPr>
                <w:t>99.1*</w:t>
              </w:r>
            </w:hyperlink>
          </w:p>
        </w:tc>
        <w:tc>
          <w:tcPr>
            <w:tcW w:w="9666" w:type="dxa"/>
            <w:tcBorders/>
            <w:shd w:fill="EEEEEE" w:val="clear"/>
            <w:vAlign w:val="center"/>
          </w:tcPr>
          <w:p>
            <w:pPr>
              <w:pStyle w:val="TableContents"/>
              <w:bidi w:val="0"/>
              <w:spacing w:before="0" w:after="0"/>
              <w:jc w:val="left"/>
              <w:rPr/>
            </w:pPr>
            <w:hyperlink r:id="rId5">
              <w:r>
                <w:rPr>
                  <w:rStyle w:val="InternetLink"/>
                  <w:u w:val="single"/>
                </w:rPr>
                <w:t>Cybin</w:t>
              </w:r>
            </w:hyperlink>
            <w:hyperlink r:id="rId6">
              <w:r>
                <w:rPr>
                  <w:rStyle w:val="InternetLink"/>
                </w:rPr>
                <w:t xml:space="preserve"> Business Acquisition Report</w:t>
              </w:r>
            </w:hyperlink>
          </w:p>
        </w:tc>
      </w:tr>
      <w:tr>
        <w:trPr/>
        <w:tc>
          <w:tcPr>
            <w:tcW w:w="539" w:type="dxa"/>
            <w:tcBorders/>
            <w:vAlign w:val="center"/>
          </w:tcPr>
          <w:p>
            <w:pPr>
              <w:pStyle w:val="TableContents"/>
              <w:bidi w:val="0"/>
              <w:spacing w:before="0" w:after="0"/>
              <w:jc w:val="left"/>
              <w:rPr/>
            </w:pPr>
            <w:hyperlink w:anchor="exhibit99-2.htm">
              <w:r>
                <w:rPr>
                  <w:rStyle w:val="InternetLink"/>
                </w:rPr>
                <w:t>99.2</w:t>
              </w:r>
            </w:hyperlink>
          </w:p>
        </w:tc>
        <w:tc>
          <w:tcPr>
            <w:tcW w:w="9666" w:type="dxa"/>
            <w:tcBorders/>
            <w:vAlign w:val="center"/>
          </w:tcPr>
          <w:p>
            <w:pPr>
              <w:pStyle w:val="TableContents"/>
              <w:bidi w:val="0"/>
              <w:spacing w:before="0" w:after="0"/>
              <w:jc w:val="left"/>
              <w:rPr/>
            </w:pPr>
            <w:hyperlink w:anchor="exhibit99-2.htm">
              <w:r>
                <w:rPr>
                  <w:rStyle w:val="InternetLink"/>
                </w:rPr>
                <w:t>Audited Consolidated Financial Statements of Small Pharma Inc. for the financial years ended February 28, 2023 and 2022</w:t>
              </w:r>
            </w:hyperlink>
          </w:p>
        </w:tc>
      </w:tr>
      <w:tr>
        <w:trPr/>
        <w:tc>
          <w:tcPr>
            <w:tcW w:w="539" w:type="dxa"/>
            <w:tcBorders/>
            <w:shd w:fill="EEEEEE" w:val="clear"/>
            <w:vAlign w:val="center"/>
          </w:tcPr>
          <w:p>
            <w:pPr>
              <w:pStyle w:val="TableContents"/>
              <w:bidi w:val="0"/>
              <w:spacing w:before="0" w:after="0"/>
              <w:jc w:val="left"/>
              <w:rPr/>
            </w:pPr>
            <w:hyperlink w:anchor="exhibit99-3.htm">
              <w:r>
                <w:rPr>
                  <w:rStyle w:val="InternetLink"/>
                </w:rPr>
                <w:t>99.3</w:t>
              </w:r>
            </w:hyperlink>
          </w:p>
        </w:tc>
        <w:tc>
          <w:tcPr>
            <w:tcW w:w="9666" w:type="dxa"/>
            <w:tcBorders/>
            <w:shd w:fill="EEEEEE" w:val="clear"/>
            <w:vAlign w:val="center"/>
          </w:tcPr>
          <w:p>
            <w:pPr>
              <w:pStyle w:val="TableContents"/>
              <w:bidi w:val="0"/>
              <w:spacing w:before="0" w:after="0"/>
              <w:jc w:val="left"/>
              <w:rPr/>
            </w:pPr>
            <w:hyperlink w:anchor="exhibit99-3.htm">
              <w:r>
                <w:rPr>
                  <w:rStyle w:val="InternetLink"/>
                </w:rPr>
                <w:t>Unaudited Interim Condensed Consolidated Financial Statements of Small Pharma Inc. for the three months ended May 31, 2023 and 2022</w:t>
              </w:r>
            </w:hyperlink>
          </w:p>
        </w:tc>
      </w:tr>
      <w:tr>
        <w:trPr/>
        <w:tc>
          <w:tcPr>
            <w:tcW w:w="539" w:type="dxa"/>
            <w:tcBorders/>
            <w:vAlign w:val="center"/>
          </w:tcPr>
          <w:p>
            <w:pPr>
              <w:pStyle w:val="TableContents"/>
              <w:bidi w:val="0"/>
              <w:spacing w:before="0" w:after="0"/>
              <w:jc w:val="left"/>
              <w:rPr/>
            </w:pPr>
            <w:hyperlink w:anchor="exhibit99-4.htm">
              <w:r>
                <w:rPr>
                  <w:rStyle w:val="InternetLink"/>
                </w:rPr>
                <w:t>99.4</w:t>
              </w:r>
            </w:hyperlink>
          </w:p>
        </w:tc>
        <w:tc>
          <w:tcPr>
            <w:tcW w:w="9666" w:type="dxa"/>
            <w:tcBorders/>
            <w:vAlign w:val="center"/>
          </w:tcPr>
          <w:p>
            <w:pPr>
              <w:pStyle w:val="TableContents"/>
              <w:bidi w:val="0"/>
              <w:spacing w:before="0" w:after="0"/>
              <w:jc w:val="left"/>
              <w:rPr/>
            </w:pPr>
            <w:hyperlink w:anchor="exhibit99-4.htm">
              <w:r>
                <w:rPr>
                  <w:rStyle w:val="InternetLink"/>
                </w:rPr>
                <w:t>Consent of MNP LLP</w:t>
              </w:r>
            </w:hyperlink>
          </w:p>
        </w:tc>
      </w:tr>
      <w:tr>
        <w:trPr/>
        <w:tc>
          <w:tcPr>
            <w:tcW w:w="539" w:type="dxa"/>
            <w:tcBorders/>
            <w:vAlign w:val="center"/>
          </w:tcPr>
          <w:p>
            <w:pPr>
              <w:pStyle w:val="TableContents"/>
              <w:bidi w:val="0"/>
              <w:spacing w:before="0" w:after="283"/>
              <w:jc w:val="right"/>
              <w:rPr/>
            </w:pPr>
            <w:r>
              <w:rPr/>
              <w:t>*</w:t>
            </w:r>
          </w:p>
        </w:tc>
        <w:tc>
          <w:tcPr>
            <w:tcW w:w="9666" w:type="dxa"/>
            <w:tcBorders/>
            <w:vAlign w:val="center"/>
          </w:tcPr>
          <w:p>
            <w:pPr>
              <w:pStyle w:val="TableContents"/>
              <w:bidi w:val="0"/>
              <w:spacing w:before="0" w:after="0"/>
              <w:jc w:val="left"/>
              <w:rPr/>
            </w:pPr>
            <w:r>
              <w:rPr/>
              <w:t>Previously filed.</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7" w:name="exhibit99-2.htm"/>
      <w:bookmarkStart w:id="8" w:name="ksexhibit992"/>
      <w:bookmarkStart w:id="9" w:name="exhibit99-2.htm"/>
      <w:bookmarkStart w:id="10" w:name="ksexhibit992"/>
      <w:bookmarkEnd w:id="9"/>
      <w:bookmarkEnd w:id="10"/>
      <w:r>
        <w:br w:type="page"/>
      </w:r>
    </w:p>
    <w:p>
      <w:pPr>
        <w:pStyle w:val="TextBody"/>
        <w:bidi w:val="0"/>
        <w:jc w:val="center"/>
        <w:rPr/>
      </w:pPr>
      <w:bookmarkStart w:id="11" w:name="page_11"/>
      <w:bookmarkEnd w:id="11"/>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b/>
          <w:sz w:val="28"/>
        </w:rPr>
      </w:pPr>
      <w:r>
        <w:rPr>
          <w:b/>
          <w:sz w:val="28"/>
        </w:rPr>
        <w:t>SMALL PHARMA INC.</w:t>
      </w:r>
    </w:p>
    <w:p>
      <w:pPr>
        <w:pStyle w:val="TextBody"/>
        <w:bidi w:val="0"/>
        <w:jc w:val="center"/>
        <w:rPr/>
      </w:pPr>
      <w:r>
        <w:rPr/>
        <w:t>(formerly, Unilock Capital Corp.)</w:t>
      </w:r>
    </w:p>
    <w:p>
      <w:pPr>
        <w:pStyle w:val="TextBody"/>
        <w:bidi w:val="0"/>
        <w:jc w:val="center"/>
        <w:rPr/>
      </w:pPr>
      <w:r>
        <w:rPr/>
        <w:t>Consolidated Financial Statements</w:t>
      </w:r>
    </w:p>
    <w:p>
      <w:pPr>
        <w:pStyle w:val="TextBody"/>
        <w:bidi w:val="0"/>
        <w:jc w:val="center"/>
        <w:rPr/>
      </w:pPr>
      <w:r>
        <w:rPr/>
        <w:t>Years ended February 28, 2023 and 2022</w:t>
      </w:r>
    </w:p>
    <w:p>
      <w:pPr>
        <w:pStyle w:val="TextBody"/>
        <w:bidi w:val="0"/>
        <w:jc w:val="center"/>
        <w:rPr/>
      </w:pPr>
      <w:r>
        <w:rPr/>
        <w:t>(Expressed in Canadian Dollars)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single" w:sz="30" w:space="0" w:color="000000"/>
        </w:pBdr>
        <w:bidi w:val="0"/>
        <w:jc w:val="left"/>
        <w:rPr/>
      </w:pPr>
      <w:r>
        <w:rPr/>
      </w:r>
    </w:p>
    <w:p>
      <w:pPr>
        <w:pStyle w:val="TextBody"/>
        <w:bidi w:val="0"/>
        <w:jc w:val="center"/>
        <w:rPr>
          <w:b/>
        </w:rPr>
      </w:pPr>
      <w:bookmarkStart w:id="12" w:name="page_21"/>
      <w:bookmarkEnd w:id="12"/>
      <w:r>
        <w:rPr>
          <w:b/>
        </w:rPr>
        <w:t>SMALL PHARMA INC.</w:t>
      </w:r>
    </w:p>
    <w:p>
      <w:pPr>
        <w:pStyle w:val="TextBody"/>
        <w:bidi w:val="0"/>
        <w:jc w:val="center"/>
        <w:rPr/>
      </w:pPr>
      <w:r>
        <w:rPr/>
        <w:t>(formerly, Unilock Capital Corp.)</w:t>
      </w:r>
    </w:p>
    <w:p>
      <w:pPr>
        <w:pStyle w:val="TextBody"/>
        <w:bidi w:val="0"/>
        <w:jc w:val="center"/>
        <w:rPr/>
      </w:pPr>
      <w:r>
        <w:rPr/>
        <w:t>Contents</w:t>
      </w:r>
    </w:p>
    <w:tbl>
      <w:tblPr>
        <w:tblW w:w="6730" w:type="dxa"/>
        <w:jc w:val="left"/>
        <w:tblInd w:w="0" w:type="dxa"/>
        <w:tblLayout w:type="fixed"/>
        <w:tblCellMar>
          <w:top w:w="0" w:type="dxa"/>
          <w:left w:w="0" w:type="dxa"/>
          <w:bottom w:w="0" w:type="dxa"/>
          <w:right w:w="0" w:type="dxa"/>
        </w:tblCellMar>
      </w:tblPr>
      <w:tblGrid>
        <w:gridCol w:w="6170"/>
        <w:gridCol w:w="560"/>
      </w:tblGrid>
      <w:tr>
        <w:trPr/>
        <w:tc>
          <w:tcPr>
            <w:tcW w:w="61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Page </w:t>
            </w:r>
          </w:p>
        </w:tc>
      </w:tr>
      <w:tr>
        <w:trPr/>
        <w:tc>
          <w:tcPr>
            <w:tcW w:w="61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170" w:type="dxa"/>
            <w:tcBorders/>
            <w:shd w:fill="EEEEEE" w:val="clear"/>
            <w:vAlign w:val="center"/>
          </w:tcPr>
          <w:p>
            <w:pPr>
              <w:pStyle w:val="TableContents"/>
              <w:bidi w:val="0"/>
              <w:spacing w:before="0" w:after="283"/>
              <w:jc w:val="left"/>
              <w:rPr/>
            </w:pPr>
            <w:hyperlink w:anchor="page_3">
              <w:r>
                <w:rPr>
                  <w:rStyle w:val="InternetLink"/>
                </w:rPr>
                <w:t>Independent Auditor's Report</w:t>
              </w:r>
            </w:hyperlink>
          </w:p>
        </w:tc>
        <w:tc>
          <w:tcPr>
            <w:tcW w:w="560" w:type="dxa"/>
            <w:tcBorders/>
            <w:shd w:fill="EEEEEE" w:val="clear"/>
            <w:vAlign w:val="center"/>
          </w:tcPr>
          <w:p>
            <w:pPr>
              <w:pStyle w:val="TableContents"/>
              <w:bidi w:val="0"/>
              <w:spacing w:before="0" w:after="283"/>
              <w:jc w:val="left"/>
              <w:rPr/>
            </w:pPr>
            <w:hyperlink w:anchor="page_3">
              <w:r>
                <w:rPr>
                  <w:rStyle w:val="InternetLink"/>
                </w:rPr>
                <w:t>1</w:t>
              </w:r>
            </w:hyperlink>
          </w:p>
        </w:tc>
      </w:tr>
      <w:tr>
        <w:trPr/>
        <w:tc>
          <w:tcPr>
            <w:tcW w:w="61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170" w:type="dxa"/>
            <w:tcBorders/>
            <w:shd w:fill="EEEEEE" w:val="clear"/>
            <w:vAlign w:val="center"/>
          </w:tcPr>
          <w:p>
            <w:pPr>
              <w:pStyle w:val="TableContents"/>
              <w:bidi w:val="0"/>
              <w:spacing w:before="0" w:after="283"/>
              <w:jc w:val="left"/>
              <w:rPr/>
            </w:pPr>
            <w:hyperlink w:anchor="page_6">
              <w:r>
                <w:rPr>
                  <w:rStyle w:val="InternetLink"/>
                </w:rPr>
                <w:t>Consolidated Statements of Financial Position</w:t>
              </w:r>
            </w:hyperlink>
          </w:p>
        </w:tc>
        <w:tc>
          <w:tcPr>
            <w:tcW w:w="560" w:type="dxa"/>
            <w:tcBorders/>
            <w:shd w:fill="EEEEEE" w:val="clear"/>
            <w:vAlign w:val="center"/>
          </w:tcPr>
          <w:p>
            <w:pPr>
              <w:pStyle w:val="TableContents"/>
              <w:bidi w:val="0"/>
              <w:spacing w:before="0" w:after="283"/>
              <w:jc w:val="left"/>
              <w:rPr/>
            </w:pPr>
            <w:hyperlink w:anchor="page_6">
              <w:r>
                <w:rPr>
                  <w:rStyle w:val="InternetLink"/>
                </w:rPr>
                <w:t>4</w:t>
              </w:r>
            </w:hyperlink>
          </w:p>
        </w:tc>
      </w:tr>
      <w:tr>
        <w:trPr/>
        <w:tc>
          <w:tcPr>
            <w:tcW w:w="61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170" w:type="dxa"/>
            <w:tcBorders/>
            <w:shd w:fill="EEEEEE" w:val="clear"/>
            <w:vAlign w:val="center"/>
          </w:tcPr>
          <w:p>
            <w:pPr>
              <w:pStyle w:val="TableContents"/>
              <w:bidi w:val="0"/>
              <w:spacing w:before="0" w:after="283"/>
              <w:jc w:val="left"/>
              <w:rPr/>
            </w:pPr>
            <w:hyperlink w:anchor="page_7">
              <w:r>
                <w:rPr>
                  <w:rStyle w:val="InternetLink"/>
                </w:rPr>
                <w:t>Consolidated Statements of Operations and Comprehensive Loss</w:t>
              </w:r>
            </w:hyperlink>
          </w:p>
        </w:tc>
        <w:tc>
          <w:tcPr>
            <w:tcW w:w="560" w:type="dxa"/>
            <w:tcBorders/>
            <w:shd w:fill="EEEEEE" w:val="clear"/>
            <w:vAlign w:val="center"/>
          </w:tcPr>
          <w:p>
            <w:pPr>
              <w:pStyle w:val="TableContents"/>
              <w:bidi w:val="0"/>
              <w:spacing w:before="0" w:after="283"/>
              <w:jc w:val="left"/>
              <w:rPr/>
            </w:pPr>
            <w:hyperlink w:anchor="page_7">
              <w:r>
                <w:rPr>
                  <w:rStyle w:val="InternetLink"/>
                </w:rPr>
                <w:t>5</w:t>
              </w:r>
            </w:hyperlink>
          </w:p>
        </w:tc>
      </w:tr>
      <w:tr>
        <w:trPr/>
        <w:tc>
          <w:tcPr>
            <w:tcW w:w="61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170" w:type="dxa"/>
            <w:tcBorders/>
            <w:shd w:fill="EEEEEE" w:val="clear"/>
            <w:vAlign w:val="center"/>
          </w:tcPr>
          <w:p>
            <w:pPr>
              <w:pStyle w:val="TableContents"/>
              <w:bidi w:val="0"/>
              <w:spacing w:before="0" w:after="283"/>
              <w:jc w:val="left"/>
              <w:rPr/>
            </w:pPr>
            <w:hyperlink w:anchor="page_8">
              <w:r>
                <w:rPr>
                  <w:rStyle w:val="InternetLink"/>
                </w:rPr>
                <w:t>Consolidated Statements of Changes in Equity (Deficit)</w:t>
              </w:r>
            </w:hyperlink>
          </w:p>
        </w:tc>
        <w:tc>
          <w:tcPr>
            <w:tcW w:w="560" w:type="dxa"/>
            <w:tcBorders/>
            <w:shd w:fill="EEEEEE" w:val="clear"/>
            <w:vAlign w:val="center"/>
          </w:tcPr>
          <w:p>
            <w:pPr>
              <w:pStyle w:val="TableContents"/>
              <w:bidi w:val="0"/>
              <w:spacing w:before="0" w:after="283"/>
              <w:jc w:val="left"/>
              <w:rPr/>
            </w:pPr>
            <w:hyperlink w:anchor="page_8">
              <w:r>
                <w:rPr>
                  <w:rStyle w:val="InternetLink"/>
                </w:rPr>
                <w:t>6</w:t>
              </w:r>
            </w:hyperlink>
          </w:p>
        </w:tc>
      </w:tr>
      <w:tr>
        <w:trPr/>
        <w:tc>
          <w:tcPr>
            <w:tcW w:w="61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170" w:type="dxa"/>
            <w:tcBorders/>
            <w:shd w:fill="EEEEEE" w:val="clear"/>
            <w:vAlign w:val="center"/>
          </w:tcPr>
          <w:p>
            <w:pPr>
              <w:pStyle w:val="TableContents"/>
              <w:bidi w:val="0"/>
              <w:spacing w:before="0" w:after="283"/>
              <w:jc w:val="left"/>
              <w:rPr/>
            </w:pPr>
            <w:hyperlink w:anchor="page_10">
              <w:r>
                <w:rPr>
                  <w:rStyle w:val="InternetLink"/>
                </w:rPr>
                <w:t>Consolidated Statements of Cash Flows</w:t>
              </w:r>
            </w:hyperlink>
          </w:p>
        </w:tc>
        <w:tc>
          <w:tcPr>
            <w:tcW w:w="560" w:type="dxa"/>
            <w:tcBorders/>
            <w:shd w:fill="EEEEEE" w:val="clear"/>
            <w:vAlign w:val="center"/>
          </w:tcPr>
          <w:p>
            <w:pPr>
              <w:pStyle w:val="TableContents"/>
              <w:bidi w:val="0"/>
              <w:spacing w:before="0" w:after="283"/>
              <w:jc w:val="left"/>
              <w:rPr/>
            </w:pPr>
            <w:hyperlink w:anchor="page_10">
              <w:r>
                <w:rPr>
                  <w:rStyle w:val="InternetLink"/>
                </w:rPr>
                <w:t>8</w:t>
              </w:r>
            </w:hyperlink>
          </w:p>
        </w:tc>
      </w:tr>
      <w:tr>
        <w:trPr/>
        <w:tc>
          <w:tcPr>
            <w:tcW w:w="61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170" w:type="dxa"/>
            <w:tcBorders/>
            <w:shd w:fill="EEEEEE" w:val="clear"/>
            <w:vAlign w:val="center"/>
          </w:tcPr>
          <w:p>
            <w:pPr>
              <w:pStyle w:val="TableContents"/>
              <w:bidi w:val="0"/>
              <w:spacing w:before="0" w:after="283"/>
              <w:jc w:val="left"/>
              <w:rPr/>
            </w:pPr>
            <w:hyperlink w:anchor="page_11">
              <w:r>
                <w:rPr>
                  <w:rStyle w:val="InternetLink"/>
                </w:rPr>
                <w:t>Notes to the Consolidated Financial Statements</w:t>
              </w:r>
            </w:hyperlink>
          </w:p>
        </w:tc>
        <w:tc>
          <w:tcPr>
            <w:tcW w:w="560" w:type="dxa"/>
            <w:tcBorders/>
            <w:shd w:fill="EEEEEE" w:val="clear"/>
            <w:vAlign w:val="center"/>
          </w:tcPr>
          <w:p>
            <w:pPr>
              <w:pStyle w:val="TableContents"/>
              <w:bidi w:val="0"/>
              <w:spacing w:before="0" w:after="283"/>
              <w:jc w:val="left"/>
              <w:rPr/>
            </w:pPr>
            <w:hyperlink w:anchor="page_11">
              <w:r>
                <w:rPr>
                  <w:rStyle w:val="InternetLink"/>
                </w:rPr>
                <w:t>9</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0" w:after="0"/>
        <w:jc w:val="left"/>
        <w:rPr/>
      </w:pPr>
      <w:r>
        <w:rPr/>
      </w:r>
      <w:bookmarkStart w:id="13" w:name="page_31"/>
      <w:bookmarkStart w:id="14" w:name="page_31"/>
      <w:bookmarkEnd w:id="14"/>
    </w:p>
    <w:tbl>
      <w:tblPr>
        <w:tblW w:w="3110" w:type="dxa"/>
        <w:jc w:val="left"/>
        <w:tblInd w:w="0" w:type="dxa"/>
        <w:tblLayout w:type="fixed"/>
        <w:tblCellMar>
          <w:top w:w="0" w:type="dxa"/>
          <w:left w:w="0" w:type="dxa"/>
          <w:bottom w:w="0" w:type="dxa"/>
          <w:right w:w="0" w:type="dxa"/>
        </w:tblCellMar>
      </w:tblPr>
      <w:tblGrid>
        <w:gridCol w:w="3110"/>
      </w:tblGrid>
      <w:tr>
        <w:trPr/>
        <w:tc>
          <w:tcPr>
            <w:tcW w:w="3110" w:type="dxa"/>
            <w:tcBorders/>
            <w:vAlign w:val="center"/>
          </w:tcPr>
          <w:p>
            <w:pPr>
              <w:pStyle w:val="TableContents"/>
              <w:bidi w:val="0"/>
              <w:spacing w:before="0" w:after="283"/>
              <w:jc w:val="right"/>
              <w:rPr/>
            </w:pPr>
            <w:r>
              <w:rPr/>
              <w:drawing>
                <wp:inline distT="0" distB="0" distL="0" distR="0">
                  <wp:extent cx="130492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1304925" cy="419100"/>
                          </a:xfrm>
                          <a:prstGeom prst="rect">
                            <a:avLst/>
                          </a:prstGeom>
                        </pic:spPr>
                      </pic:pic>
                    </a:graphicData>
                  </a:graphic>
                </wp:inline>
              </w:drawing>
            </w:r>
          </w:p>
        </w:tc>
      </w:tr>
      <w:tr>
        <w:trPr/>
        <w:tc>
          <w:tcPr>
            <w:tcW w:w="311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b/>
                <w:sz w:val="24"/>
              </w:rPr>
            </w:pPr>
            <w:r>
              <w:rPr>
                <w:b/>
                <w:sz w:val="24"/>
              </w:rPr>
              <w:t>Independent Auditor's Report</w:t>
            </w:r>
          </w:p>
        </w:tc>
      </w:tr>
      <w:tr>
        <w:trPr/>
        <w:tc>
          <w:tcPr>
            <w:tcW w:w="3110"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jc w:val="both"/>
        <w:rPr/>
      </w:pPr>
      <w:r>
        <w:rPr/>
        <w:t>To the Shareholders of Small Pharma Inc. (formerly, Unilock Capital Corp.):</w:t>
      </w:r>
    </w:p>
    <w:p>
      <w:pPr>
        <w:pStyle w:val="TextBody"/>
        <w:bidi w:val="0"/>
        <w:jc w:val="both"/>
        <w:rPr>
          <w:b/>
          <w:color w:val="035542"/>
        </w:rPr>
      </w:pPr>
      <w:r>
        <w:rPr>
          <w:b/>
          <w:color w:val="035542"/>
        </w:rPr>
        <w:t>Opinion</w:t>
      </w:r>
    </w:p>
    <w:p>
      <w:pPr>
        <w:pStyle w:val="TextBody"/>
        <w:bidi w:val="0"/>
        <w:jc w:val="both"/>
        <w:rPr/>
      </w:pPr>
      <w:r>
        <w:rPr/>
        <w:t>We have audited the consolidated financial statements of Small Pharma Inc. (formerly, Unilock Capital Corp.) and its subsidiaries (the "Company"), which comprise the consolidated statements of financial position as at February 28, 2023 and February 28, 2022, and the consolidated statements of operations and comprehensive loss, changes in equity (deficit) and cash flows for the years then ended, and notes to the consolidated financial statements, including a summary of significant accounting policies.</w:t>
      </w:r>
    </w:p>
    <w:p>
      <w:pPr>
        <w:pStyle w:val="TextBody"/>
        <w:bidi w:val="0"/>
        <w:jc w:val="both"/>
        <w:rPr/>
      </w:pPr>
      <w:r>
        <w:rPr/>
        <w:t>In our opinion, the accompanying consolidated financial statements present fairly, in all material respects, the consolidated financial position of the Company as at February 28, 2023 and February 28, 2022, and its consolidated financial performance and its consolidated cash flows for the years then ended in accordance with International Financial Reporting Standards.</w:t>
      </w:r>
    </w:p>
    <w:p>
      <w:pPr>
        <w:pStyle w:val="TextBody"/>
        <w:bidi w:val="0"/>
        <w:jc w:val="both"/>
        <w:rPr>
          <w:b/>
          <w:color w:val="035542"/>
        </w:rPr>
      </w:pPr>
      <w:r>
        <w:rPr>
          <w:b/>
          <w:color w:val="035542"/>
        </w:rPr>
        <w:t>Basis for Opinion</w:t>
      </w:r>
    </w:p>
    <w:p>
      <w:pPr>
        <w:pStyle w:val="TextBody"/>
        <w:bidi w:val="0"/>
        <w:jc w:val="both"/>
        <w:rPr/>
      </w:pPr>
      <w:r>
        <w:rPr/>
        <w:t>We conducted our audits in accordance with Canadian generally accepted auditing standards. Our responsibilities under those standards are further described in the Auditor's Responsibilities for the Audit of the Consolidated Financial Statements section of our report. We are independent of the Company in accordance with the ethical requirements that are relevant to our audits of the consolidated financial statements in Canada, and we have fulfilled our other ethical responsibilities in accordance with these requirements. We believe that the audit evidence we have obtained is sufficient and appropriate to provide a basis for our opinion.</w:t>
      </w:r>
    </w:p>
    <w:p>
      <w:pPr>
        <w:pStyle w:val="TextBody"/>
        <w:bidi w:val="0"/>
        <w:jc w:val="both"/>
        <w:rPr>
          <w:b/>
          <w:color w:val="035542"/>
        </w:rPr>
      </w:pPr>
      <w:r>
        <w:rPr>
          <w:b/>
          <w:color w:val="035542"/>
        </w:rPr>
        <w:t>Key Audit Matters</w:t>
      </w:r>
    </w:p>
    <w:p>
      <w:pPr>
        <w:pStyle w:val="TextBody"/>
        <w:bidi w:val="0"/>
        <w:jc w:val="both"/>
        <w:rPr/>
      </w:pPr>
      <w:r>
        <w:rPr/>
        <w:t>Key audit matters are those matters that, in our professional judgment, were of most significance in our audit of the consolidated financial statements of the current period. We have determined that there are no key audit matters to communicate in our report.</w:t>
      </w:r>
    </w:p>
    <w:p>
      <w:pPr>
        <w:pStyle w:val="TextBody"/>
        <w:bidi w:val="0"/>
        <w:jc w:val="both"/>
        <w:rPr>
          <w:b/>
          <w:color w:val="035542"/>
        </w:rPr>
      </w:pPr>
      <w:r>
        <w:rPr>
          <w:b/>
          <w:color w:val="035542"/>
        </w:rPr>
        <w:t>Other Information</w:t>
      </w:r>
    </w:p>
    <w:p>
      <w:pPr>
        <w:pStyle w:val="TextBody"/>
        <w:bidi w:val="0"/>
        <w:jc w:val="both"/>
        <w:rPr/>
      </w:pPr>
      <w:r>
        <w:rPr/>
        <w:t>Management is responsible for the other information. The other information comprises Management's Discussion and Analysis.</w:t>
      </w:r>
    </w:p>
    <w:p>
      <w:pPr>
        <w:pStyle w:val="TextBody"/>
        <w:bidi w:val="0"/>
        <w:jc w:val="both"/>
        <w:rPr/>
      </w:pPr>
      <w:r>
        <w:rPr/>
        <w:t>Our opinion on the consolidated financial statements does not cover the other information and we do not express any form of assurance conclusion thereon.</w:t>
      </w:r>
    </w:p>
    <w:p>
      <w:pPr>
        <w:pStyle w:val="TextBody"/>
        <w:bidi w:val="0"/>
        <w:jc w:val="both"/>
        <w:rPr/>
      </w:pPr>
      <w:r>
        <w:rPr/>
        <w:t>In connection with our audits of the consolidated financial statements, our responsibility is to read the other information and, in doing so, consider whether the other information is materially inconsistent with the consolidated financial statements or our knowledge obtained in the audits or otherwise appears to be materially misstated. We obtained Management's Discussion and Analysis prior to the date of this auditor's report. If, based on the work we have performed on this other information, we conclude that there is a material misstatement of this other information, we are required to report that fact. We have nothing to report in this regard.</w:t>
      </w:r>
    </w:p>
    <w:tbl>
      <w:tblPr>
        <w:tblW w:w="10205" w:type="dxa"/>
        <w:jc w:val="left"/>
        <w:tblInd w:w="0" w:type="dxa"/>
        <w:tblLayout w:type="fixed"/>
        <w:tblCellMar>
          <w:top w:w="0" w:type="dxa"/>
          <w:left w:w="0" w:type="dxa"/>
          <w:bottom w:w="0" w:type="dxa"/>
          <w:right w:w="0" w:type="dxa"/>
        </w:tblCellMar>
      </w:tblPr>
      <w:tblGrid>
        <w:gridCol w:w="5505"/>
        <w:gridCol w:w="4700"/>
      </w:tblGrid>
      <w:tr>
        <w:trPr/>
        <w:tc>
          <w:tcPr>
            <w:tcW w:w="5505" w:type="dxa"/>
            <w:tcBorders/>
            <w:vAlign w:val="center"/>
          </w:tcPr>
          <w:p>
            <w:pPr>
              <w:pStyle w:val="TableContents"/>
              <w:bidi w:val="0"/>
              <w:spacing w:before="0" w:after="283"/>
              <w:jc w:val="left"/>
              <w:rPr/>
            </w:pPr>
            <w:r>
              <w:rPr/>
              <w:t>MNP LLP</w:t>
            </w:r>
          </w:p>
        </w:tc>
        <w:tc>
          <w:tcPr>
            <w:tcW w:w="4700" w:type="dxa"/>
            <w:tcBorders/>
            <w:vAlign w:val="center"/>
          </w:tcPr>
          <w:p>
            <w:pPr>
              <w:pStyle w:val="TableContents"/>
              <w:bidi w:val="0"/>
              <w:spacing w:before="0" w:after="283"/>
              <w:jc w:val="left"/>
              <w:rPr/>
            </w:pPr>
            <w:r>
              <w:rPr/>
              <w:t> </w:t>
            </w:r>
          </w:p>
        </w:tc>
      </w:tr>
      <w:tr>
        <w:trPr/>
        <w:tc>
          <w:tcPr>
            <w:tcW w:w="5505" w:type="dxa"/>
            <w:tcBorders/>
            <w:vAlign w:val="center"/>
          </w:tcPr>
          <w:p>
            <w:pPr>
              <w:pStyle w:val="TableContents"/>
              <w:bidi w:val="0"/>
              <w:spacing w:before="0" w:after="283"/>
              <w:jc w:val="left"/>
              <w:rPr/>
            </w:pPr>
            <w:r>
              <w:rPr/>
              <w:t>1 Adelaide Street East, Suite 1900, Toronto ON, M5C 2V9</w:t>
            </w:r>
          </w:p>
        </w:tc>
        <w:tc>
          <w:tcPr>
            <w:tcW w:w="4700" w:type="dxa"/>
            <w:tcBorders/>
            <w:vAlign w:val="center"/>
          </w:tcPr>
          <w:p>
            <w:pPr>
              <w:pStyle w:val="TableContents"/>
              <w:bidi w:val="0"/>
              <w:spacing w:before="0" w:after="283"/>
              <w:jc w:val="right"/>
              <w:rPr/>
            </w:pPr>
            <w:r>
              <w:rPr/>
              <w:t>1.877.251.2922 T: 416.596.1711 F: 416.596.7894</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jc w:val="both"/>
        <w:rPr>
          <w:b/>
          <w:color w:val="035542"/>
        </w:rPr>
      </w:pPr>
      <w:bookmarkStart w:id="15" w:name="page_4"/>
      <w:bookmarkEnd w:id="15"/>
      <w:r>
        <w:rPr>
          <w:b/>
          <w:color w:val="035542"/>
        </w:rPr>
        <w:t>Responsibilities of Management and Those Charged with Governance for the Consolidated Financial Statements</w:t>
      </w:r>
    </w:p>
    <w:p>
      <w:pPr>
        <w:pStyle w:val="TextBody"/>
        <w:bidi w:val="0"/>
        <w:jc w:val="both"/>
        <w:rPr/>
      </w:pPr>
      <w:r>
        <w:rPr/>
        <w:t>Management is responsible for the preparation and fair presentation of the consolidated financial statements in accordance with International Financial Reporting Standards as issued by the International Accounting Standards Board, and for such internal control as management determines is necessary to enable the preparation of consolidated financial statements that are free from material misstatement, whether due to fraud or error.</w:t>
      </w:r>
    </w:p>
    <w:p>
      <w:pPr>
        <w:pStyle w:val="TextBody"/>
        <w:bidi w:val="0"/>
        <w:jc w:val="both"/>
        <w:rPr/>
      </w:pPr>
      <w:r>
        <w:rPr/>
        <w:t>In preparing the consolidated financial statements, management is responsible for assessing the Company's ability to continue as a going concern, disclosing, as applicable, matters related to going concern and using the going concern basis of accounting unless management either intends to liquidate the Company or to cease operations, or has no realistic alternative but to do so.</w:t>
      </w:r>
    </w:p>
    <w:p>
      <w:pPr>
        <w:pStyle w:val="TextBody"/>
        <w:bidi w:val="0"/>
        <w:jc w:val="both"/>
        <w:rPr/>
      </w:pPr>
      <w:r>
        <w:rPr/>
        <w:t>Those charged with governance are responsible for overseeing the Company's financial reporting process.</w:t>
      </w:r>
    </w:p>
    <w:p>
      <w:pPr>
        <w:pStyle w:val="TextBody"/>
        <w:bidi w:val="0"/>
        <w:jc w:val="both"/>
        <w:rPr>
          <w:b/>
          <w:color w:val="035542"/>
        </w:rPr>
      </w:pPr>
      <w:r>
        <w:rPr>
          <w:b/>
          <w:color w:val="035542"/>
        </w:rPr>
        <w:t>Auditor's Responsibilities for the Audit of the Consolidated Financial Statements</w:t>
      </w:r>
    </w:p>
    <w:p>
      <w:pPr>
        <w:pStyle w:val="TextBody"/>
        <w:bidi w:val="0"/>
        <w:jc w:val="both"/>
        <w:rPr/>
      </w:pPr>
      <w:r>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with Canadian generally accepted auditing standards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w:t>
      </w:r>
    </w:p>
    <w:p>
      <w:pPr>
        <w:pStyle w:val="TextBody"/>
        <w:bidi w:val="0"/>
        <w:jc w:val="both"/>
        <w:rPr/>
      </w:pPr>
      <w:r>
        <w:rPr/>
        <w:t>As part of an audit in accordance with Canadian generally accepted auditing standards, we exercise professional judgment and maintain professional skepticism throughout the audit. We also:</w:t>
      </w:r>
    </w:p>
    <w:p>
      <w:pPr>
        <w:pStyle w:val="TextBody"/>
        <w:numPr>
          <w:ilvl w:val="0"/>
          <w:numId w:val="2"/>
        </w:numPr>
        <w:pBdr/>
        <w:tabs>
          <w:tab w:val="clear" w:pos="1134"/>
          <w:tab w:val="left" w:pos="1189" w:leader="none"/>
        </w:tabs>
        <w:bidi w:val="0"/>
        <w:spacing w:before="0" w:after="0"/>
        <w:ind w:left="1189" w:right="0" w:hanging="283"/>
        <w:jc w:val="both"/>
        <w:rPr/>
      </w:pPr>
      <w:r>
        <w:rPr/>
        <w:t xml:space="preserve">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 </w:t>
      </w:r>
    </w:p>
    <w:p>
      <w:pPr>
        <w:pStyle w:val="TextBody"/>
        <w:numPr>
          <w:ilvl w:val="0"/>
          <w:numId w:val="2"/>
        </w:numPr>
        <w:pBdr/>
        <w:tabs>
          <w:tab w:val="clear" w:pos="1134"/>
          <w:tab w:val="left" w:pos="1189" w:leader="none"/>
        </w:tabs>
        <w:bidi w:val="0"/>
        <w:spacing w:before="0" w:after="0"/>
        <w:ind w:left="1189" w:right="0" w:hanging="283"/>
        <w:jc w:val="both"/>
        <w:rPr/>
      </w:pPr>
      <w:r>
        <w:rPr/>
        <w:t xml:space="preserve">Obtain an understanding of internal control relevant to the audit in order to design audit procedures that are appropriate in the circumstances, but not for the purpose of expressing an opinion on the effectiveness of the Company's internal control. </w:t>
      </w:r>
    </w:p>
    <w:p>
      <w:pPr>
        <w:pStyle w:val="TextBody"/>
        <w:numPr>
          <w:ilvl w:val="0"/>
          <w:numId w:val="2"/>
        </w:numPr>
        <w:pBdr/>
        <w:tabs>
          <w:tab w:val="clear" w:pos="1134"/>
          <w:tab w:val="left" w:pos="1189" w:leader="none"/>
        </w:tabs>
        <w:bidi w:val="0"/>
        <w:spacing w:before="0" w:after="0"/>
        <w:ind w:left="1189" w:right="0" w:hanging="283"/>
        <w:jc w:val="both"/>
        <w:rPr/>
      </w:pPr>
      <w:r>
        <w:rPr/>
        <w:t xml:space="preserve">Evaluate the appropriateness of accounting policies used and the reasonableness of accounting estimates and related disclosures made by management. </w:t>
      </w:r>
    </w:p>
    <w:p>
      <w:pPr>
        <w:pStyle w:val="TextBody"/>
        <w:numPr>
          <w:ilvl w:val="0"/>
          <w:numId w:val="2"/>
        </w:numPr>
        <w:pBdr/>
        <w:tabs>
          <w:tab w:val="clear" w:pos="1134"/>
          <w:tab w:val="left" w:pos="1189" w:leader="none"/>
        </w:tabs>
        <w:bidi w:val="0"/>
        <w:spacing w:before="0" w:after="0"/>
        <w:ind w:left="1189" w:right="0" w:hanging="283"/>
        <w:jc w:val="both"/>
        <w:rPr/>
      </w:pPr>
      <w:r>
        <w:rPr/>
        <w:t xml:space="preserve">Conclude on the appropriateness of management's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Company to cease to continue as a going concern. </w:t>
      </w:r>
    </w:p>
    <w:p>
      <w:pPr>
        <w:pStyle w:val="TextBody"/>
        <w:numPr>
          <w:ilvl w:val="0"/>
          <w:numId w:val="2"/>
        </w:numPr>
        <w:pBdr/>
        <w:tabs>
          <w:tab w:val="clear" w:pos="1134"/>
          <w:tab w:val="left" w:pos="1189" w:leader="none"/>
        </w:tabs>
        <w:bidi w:val="0"/>
        <w:spacing w:before="0" w:after="0"/>
        <w:ind w:left="1189" w:right="0" w:hanging="283"/>
        <w:jc w:val="both"/>
        <w:rPr/>
      </w:pPr>
      <w:r>
        <w:rPr/>
        <w:t xml:space="preserve">Evaluate the overall presentation, structure and content of the consolidated financial statements, including the disclosures, and whether the consolidated financial statements represent the underlying transactions and events in a manner that achieves fair presentation. </w:t>
      </w:r>
    </w:p>
    <w:p>
      <w:pPr>
        <w:pStyle w:val="TextBody"/>
        <w:numPr>
          <w:ilvl w:val="0"/>
          <w:numId w:val="2"/>
        </w:numPr>
        <w:pBdr/>
        <w:tabs>
          <w:tab w:val="clear" w:pos="1134"/>
          <w:tab w:val="left" w:pos="1189" w:leader="none"/>
        </w:tabs>
        <w:bidi w:val="0"/>
        <w:ind w:left="1189" w:right="0" w:hanging="283"/>
        <w:jc w:val="both"/>
        <w:rPr/>
      </w:pPr>
      <w:r>
        <w:rPr/>
        <w:t xml:space="preserve">Obtain sufficient appropriate audit evidence regarding the financial information of the entities or business activities within the Company to express an opinion on the consolidated financial statements. We are responsible for the direction, supervision and performance of the group audit. We remain solely responsible for our audit opinion.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7160" w:type="dxa"/>
        <w:jc w:val="left"/>
        <w:tblInd w:w="0" w:type="dxa"/>
        <w:tblLayout w:type="fixed"/>
        <w:tblCellMar>
          <w:top w:w="0" w:type="dxa"/>
          <w:left w:w="0" w:type="dxa"/>
          <w:bottom w:w="0" w:type="dxa"/>
          <w:right w:w="0" w:type="dxa"/>
        </w:tblCellMar>
      </w:tblPr>
      <w:tblGrid>
        <w:gridCol w:w="6050"/>
        <w:gridCol w:w="1110"/>
      </w:tblGrid>
      <w:tr>
        <w:trPr/>
        <w:tc>
          <w:tcPr>
            <w:tcW w:w="6050" w:type="dxa"/>
            <w:tcBorders/>
            <w:vAlign w:val="center"/>
          </w:tcPr>
          <w:p>
            <w:pPr>
              <w:pStyle w:val="TableContents"/>
              <w:bidi w:val="0"/>
              <w:spacing w:before="0" w:after="283"/>
              <w:jc w:val="left"/>
              <w:rPr>
                <w:i/>
              </w:rPr>
            </w:pPr>
            <w:r>
              <w:rPr>
                <w:i/>
              </w:rPr>
              <w:t>1 Adelaide Street East, Suite 1900, Toronto, Ontario, M5C 2V9</w:t>
            </w:r>
          </w:p>
        </w:tc>
        <w:tc>
          <w:tcPr>
            <w:tcW w:w="1110" w:type="dxa"/>
            <w:vMerge w:val="restart"/>
            <w:tcBorders/>
            <w:vAlign w:val="center"/>
          </w:tcPr>
          <w:p>
            <w:pPr>
              <w:pStyle w:val="TableContents"/>
              <w:bidi w:val="0"/>
              <w:spacing w:before="0" w:after="283"/>
              <w:jc w:val="right"/>
              <w:rPr/>
            </w:pPr>
            <w:r>
              <w:rPr/>
              <w:drawing>
                <wp:inline distT="0" distB="0" distL="0" distR="0">
                  <wp:extent cx="704850" cy="228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704850" cy="228600"/>
                          </a:xfrm>
                          <a:prstGeom prst="rect">
                            <a:avLst/>
                          </a:prstGeom>
                        </pic:spPr>
                      </pic:pic>
                    </a:graphicData>
                  </a:graphic>
                </wp:inline>
              </w:drawing>
            </w:r>
          </w:p>
        </w:tc>
      </w:tr>
      <w:tr>
        <w:trPr/>
        <w:tc>
          <w:tcPr>
            <w:tcW w:w="6050" w:type="dxa"/>
            <w:tcBorders/>
            <w:vAlign w:val="center"/>
          </w:tcPr>
          <w:p>
            <w:pPr>
              <w:pStyle w:val="TableContents"/>
              <w:bidi w:val="0"/>
              <w:spacing w:before="0" w:after="283"/>
              <w:jc w:val="left"/>
              <w:rPr>
                <w:i/>
              </w:rPr>
            </w:pPr>
            <w:r>
              <w:rPr>
                <w:i/>
              </w:rPr>
              <w:t>1.877.251.2922 T: 416.596.1711 F: 416.596.7894 MNP.ca</w:t>
            </w:r>
          </w:p>
        </w:tc>
        <w:tc>
          <w:tcPr>
            <w:tcW w:w="1110" w:type="dxa"/>
            <w:vMerge w:val="continue"/>
            <w:tcBorders/>
            <w:vAlign w:val="center"/>
          </w:tcPr>
          <w:p>
            <w:pPr>
              <w:pStyle w:val="Normal"/>
              <w:bidi w:val="0"/>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6" w:name="page_5"/>
      <w:bookmarkEnd w:id="16"/>
      <w:r>
        <w:rPr/>
        <w:t>We communicate with those charged with governance regarding, among other matters, the planned scope and timing of the audits and significant audit findings, including any significant deficiencies in internal control that we identify during our audits.</w:t>
      </w:r>
    </w:p>
    <w:p>
      <w:pPr>
        <w:pStyle w:val="TextBody"/>
        <w:bidi w:val="0"/>
        <w:jc w:val="both"/>
        <w:rPr/>
      </w:pPr>
      <w:r>
        <w:rPr/>
        <w:t>We also provide those charged with governance with a statement that we have complied with relevant ethical requirements regarding independence, and to communicate with them all relationships and other matters that may reasonably be thought to bear on our independence, and where applicable, related safeguards.</w:t>
      </w:r>
    </w:p>
    <w:p>
      <w:pPr>
        <w:pStyle w:val="TextBody"/>
        <w:bidi w:val="0"/>
        <w:jc w:val="both"/>
        <w:rPr/>
      </w:pPr>
      <w:r>
        <w:rPr/>
        <w:t>The engagement partner on the audit resulting in this independent auditor's report is Ajmer Singh Sran.</w:t>
      </w:r>
    </w:p>
    <w:p>
      <w:pPr>
        <w:pStyle w:val="TextBody"/>
        <w:bidi w:val="0"/>
        <w:jc w:val="both"/>
        <w:rPr/>
      </w:pPr>
      <w:r>
        <w:rPr/>
        <w:t> </w:t>
      </w:r>
    </w:p>
    <w:tbl>
      <w:tblPr>
        <w:tblW w:w="5035" w:type="dxa"/>
        <w:jc w:val="left"/>
        <w:tblInd w:w="0" w:type="dxa"/>
        <w:tblLayout w:type="fixed"/>
        <w:tblCellMar>
          <w:top w:w="0" w:type="dxa"/>
          <w:left w:w="0" w:type="dxa"/>
          <w:bottom w:w="0" w:type="dxa"/>
          <w:right w:w="0" w:type="dxa"/>
        </w:tblCellMar>
      </w:tblPr>
      <w:tblGrid>
        <w:gridCol w:w="1625"/>
        <w:gridCol w:w="3410"/>
      </w:tblGrid>
      <w:tr>
        <w:trPr/>
        <w:tc>
          <w:tcPr>
            <w:tcW w:w="162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i/>
              </w:rPr>
            </w:pPr>
            <w:r>
              <w:rPr>
                <w:i/>
              </w:rPr>
              <w:t>/s/ MNP LLP</w:t>
            </w:r>
          </w:p>
        </w:tc>
      </w:tr>
      <w:tr>
        <w:trPr/>
        <w:tc>
          <w:tcPr>
            <w:tcW w:w="1625" w:type="dxa"/>
            <w:tcBorders/>
            <w:vAlign w:val="center"/>
          </w:tcPr>
          <w:p>
            <w:pPr>
              <w:pStyle w:val="TableContents"/>
              <w:bidi w:val="0"/>
              <w:spacing w:before="0" w:after="283"/>
              <w:jc w:val="left"/>
              <w:rPr/>
            </w:pPr>
            <w:r>
              <w:rPr/>
              <w:t>Toronto, Ontario</w:t>
            </w:r>
          </w:p>
        </w:tc>
        <w:tc>
          <w:tcPr>
            <w:tcW w:w="3410" w:type="dxa"/>
            <w:tcBorders/>
            <w:vAlign w:val="center"/>
          </w:tcPr>
          <w:p>
            <w:pPr>
              <w:pStyle w:val="TableContents"/>
              <w:bidi w:val="0"/>
              <w:spacing w:before="0" w:after="283"/>
              <w:jc w:val="center"/>
              <w:rPr/>
            </w:pPr>
            <w:r>
              <w:rPr/>
              <w:t>Chartered Professional Accountants</w:t>
              <w:br/>
              <w:t>Licensed Public Accountants</w:t>
            </w:r>
          </w:p>
        </w:tc>
      </w:tr>
      <w:tr>
        <w:trPr/>
        <w:tc>
          <w:tcPr>
            <w:tcW w:w="1625" w:type="dxa"/>
            <w:tcBorders/>
            <w:vAlign w:val="center"/>
          </w:tcPr>
          <w:p>
            <w:pPr>
              <w:pStyle w:val="TableContents"/>
              <w:bidi w:val="0"/>
              <w:spacing w:before="0" w:after="283"/>
              <w:jc w:val="left"/>
              <w:rPr/>
            </w:pPr>
            <w:r>
              <w:rPr/>
              <w:t>June 28, 2023</w:t>
            </w:r>
          </w:p>
        </w:tc>
        <w:tc>
          <w:tcPr>
            <w:tcW w:w="341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160" w:type="dxa"/>
        <w:jc w:val="left"/>
        <w:tblInd w:w="0" w:type="dxa"/>
        <w:tblLayout w:type="fixed"/>
        <w:tblCellMar>
          <w:top w:w="0" w:type="dxa"/>
          <w:left w:w="0" w:type="dxa"/>
          <w:bottom w:w="0" w:type="dxa"/>
          <w:right w:w="0" w:type="dxa"/>
        </w:tblCellMar>
      </w:tblPr>
      <w:tblGrid>
        <w:gridCol w:w="6050"/>
        <w:gridCol w:w="1110"/>
      </w:tblGrid>
      <w:tr>
        <w:trPr/>
        <w:tc>
          <w:tcPr>
            <w:tcW w:w="6050" w:type="dxa"/>
            <w:tcBorders/>
            <w:vAlign w:val="center"/>
          </w:tcPr>
          <w:p>
            <w:pPr>
              <w:pStyle w:val="TableContents"/>
              <w:bidi w:val="0"/>
              <w:spacing w:before="0" w:after="283"/>
              <w:jc w:val="left"/>
              <w:rPr>
                <w:i/>
              </w:rPr>
            </w:pPr>
            <w:r>
              <w:rPr>
                <w:i/>
              </w:rPr>
              <w:t>1 Adelaide Street East, Suite 1900, Toronto, Ontario, M5C 2V9</w:t>
            </w:r>
          </w:p>
        </w:tc>
        <w:tc>
          <w:tcPr>
            <w:tcW w:w="1110" w:type="dxa"/>
            <w:vMerge w:val="restart"/>
            <w:tcBorders/>
            <w:vAlign w:val="center"/>
          </w:tcPr>
          <w:p>
            <w:pPr>
              <w:pStyle w:val="TableContents"/>
              <w:bidi w:val="0"/>
              <w:spacing w:before="0" w:after="283"/>
              <w:jc w:val="right"/>
              <w:rPr/>
            </w:pPr>
            <w:r>
              <w:rPr/>
              <w:drawing>
                <wp:inline distT="0" distB="0" distL="0" distR="0">
                  <wp:extent cx="704850"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704850" cy="228600"/>
                          </a:xfrm>
                          <a:prstGeom prst="rect">
                            <a:avLst/>
                          </a:prstGeom>
                        </pic:spPr>
                      </pic:pic>
                    </a:graphicData>
                  </a:graphic>
                </wp:inline>
              </w:drawing>
            </w:r>
          </w:p>
        </w:tc>
      </w:tr>
      <w:tr>
        <w:trPr/>
        <w:tc>
          <w:tcPr>
            <w:tcW w:w="6050" w:type="dxa"/>
            <w:tcBorders/>
            <w:vAlign w:val="center"/>
          </w:tcPr>
          <w:p>
            <w:pPr>
              <w:pStyle w:val="TableContents"/>
              <w:bidi w:val="0"/>
              <w:spacing w:before="0" w:after="283"/>
              <w:jc w:val="left"/>
              <w:rPr>
                <w:i/>
              </w:rPr>
            </w:pPr>
            <w:r>
              <w:rPr>
                <w:i/>
              </w:rPr>
              <w:t>1.877.251.2922 T: 416.596.1711 F: 416.596.7894 MNP.ca</w:t>
            </w:r>
          </w:p>
        </w:tc>
        <w:tc>
          <w:tcPr>
            <w:tcW w:w="1110" w:type="dxa"/>
            <w:vMerge w:val="continue"/>
            <w:tcBorders/>
            <w:vAlign w:val="center"/>
          </w:tcPr>
          <w:p>
            <w:pPr>
              <w:pStyle w:val="Normal"/>
              <w:bidi w:val="0"/>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283"/>
        <w:jc w:val="left"/>
        <w:rPr/>
      </w:pPr>
      <w:r>
        <w:rPr/>
      </w:r>
      <w:bookmarkStart w:id="17" w:name="page_6"/>
      <w:bookmarkStart w:id="18" w:name="page_6"/>
      <w:bookmarkEnd w:id="18"/>
    </w:p>
    <w:p>
      <w:pPr>
        <w:pStyle w:val="TextBody"/>
        <w:bidi w:val="0"/>
        <w:spacing w:before="0" w:after="283"/>
        <w:jc w:val="left"/>
        <w:rPr/>
      </w:pPr>
      <w:r>
        <w:rPr>
          <w:b/>
        </w:rPr>
        <w:t>SMALL PHARMA INC.</w:t>
      </w:r>
      <w:r>
        <w:rPr/>
        <w:br/>
        <w:t>(formerly, Unilock Capital Corp.)</w:t>
        <w:br/>
        <w:t>Consolidated Statements of Financial Position</w:t>
        <w:br/>
        <w:t>(Expressed in Canadian dollars)</w:t>
      </w:r>
    </w:p>
    <w:tbl>
      <w:tblPr>
        <w:tblW w:w="8980" w:type="dxa"/>
        <w:jc w:val="left"/>
        <w:tblInd w:w="0" w:type="dxa"/>
        <w:tblLayout w:type="fixed"/>
        <w:tblCellMar>
          <w:top w:w="0" w:type="dxa"/>
          <w:left w:w="0" w:type="dxa"/>
          <w:bottom w:w="0" w:type="dxa"/>
          <w:right w:w="0" w:type="dxa"/>
        </w:tblCellMar>
      </w:tblPr>
      <w:tblGrid>
        <w:gridCol w:w="6185"/>
        <w:gridCol w:w="60"/>
        <w:gridCol w:w="1235"/>
        <w:gridCol w:w="95"/>
        <w:gridCol w:w="60"/>
        <w:gridCol w:w="1235"/>
        <w:gridCol w:w="110"/>
      </w:tblGrid>
      <w:tr>
        <w:trPr/>
        <w:tc>
          <w:tcPr>
            <w:tcW w:w="6185"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February 28,</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February 28,</w:t>
            </w:r>
          </w:p>
        </w:tc>
        <w:tc>
          <w:tcPr>
            <w:tcW w:w="110" w:type="dxa"/>
            <w:tcBorders/>
            <w:vAlign w:val="center"/>
          </w:tcPr>
          <w:p>
            <w:pPr>
              <w:pStyle w:val="TableContents"/>
              <w:bidi w:val="0"/>
              <w:spacing w:before="0" w:after="283"/>
              <w:jc w:val="left"/>
              <w:rPr/>
            </w:pPr>
            <w:r>
              <w:rPr/>
              <w:t> </w:t>
            </w:r>
          </w:p>
        </w:tc>
      </w:tr>
      <w:tr>
        <w:trPr/>
        <w:tc>
          <w:tcPr>
            <w:tcW w:w="6185" w:type="dxa"/>
            <w:tcBorders>
              <w:bottom w:val="single" w:sz="6" w:space="0" w:color="000000"/>
            </w:tcBorders>
            <w:tcMar>
              <w:bottom w:w="28" w:type="dxa"/>
            </w:tcMar>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2023</w:t>
              <w:b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2022</w:t>
              <w:br/>
              <w:t>$</w:t>
            </w:r>
          </w:p>
        </w:tc>
        <w:tc>
          <w:tcPr>
            <w:tcW w:w="11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6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 </w:t>
            </w:r>
          </w:p>
        </w:tc>
      </w:tr>
      <w:tr>
        <w:trPr/>
        <w:tc>
          <w:tcPr>
            <w:tcW w:w="6185" w:type="dxa"/>
            <w:tcBorders/>
            <w:shd w:fill="E6EFFF" w:val="clear"/>
            <w:vAlign w:val="center"/>
          </w:tcPr>
          <w:p>
            <w:pPr>
              <w:pStyle w:val="TableContents"/>
              <w:bidi w:val="0"/>
              <w:spacing w:before="0" w:after="283"/>
              <w:jc w:val="left"/>
              <w:rPr/>
            </w:pPr>
            <w:r>
              <w:rPr/>
              <w:t>ASSETS</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lef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left"/>
              <w:rPr/>
            </w:pPr>
            <w:r>
              <w:rPr/>
              <w:t> </w:t>
            </w:r>
          </w:p>
        </w:tc>
        <w:tc>
          <w:tcPr>
            <w:tcW w:w="110" w:type="dxa"/>
            <w:tcBorders/>
            <w:shd w:fill="E6EFFF" w:val="clear"/>
            <w:vAlign w:val="center"/>
          </w:tcPr>
          <w:p>
            <w:pPr>
              <w:pStyle w:val="TableContents"/>
              <w:bidi w:val="0"/>
              <w:spacing w:before="0" w:after="0"/>
              <w:jc w:val="left"/>
              <w:rPr/>
            </w:pPr>
            <w:r>
              <w:rPr/>
              <w:t> </w:t>
            </w:r>
          </w:p>
        </w:tc>
      </w:tr>
      <w:tr>
        <w:trPr/>
        <w:tc>
          <w:tcPr>
            <w:tcW w:w="618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 </w:t>
            </w:r>
          </w:p>
        </w:tc>
      </w:tr>
      <w:tr>
        <w:trPr/>
        <w:tc>
          <w:tcPr>
            <w:tcW w:w="6185" w:type="dxa"/>
            <w:tcBorders/>
            <w:shd w:fill="E6EFFF" w:val="clear"/>
            <w:vAlign w:val="center"/>
          </w:tcPr>
          <w:p>
            <w:pPr>
              <w:pStyle w:val="TableContents"/>
              <w:bidi w:val="0"/>
              <w:spacing w:before="0" w:after="283"/>
              <w:jc w:val="left"/>
              <w:rPr/>
            </w:pPr>
            <w:r>
              <w:rPr/>
              <w:t>Cash</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18,536,958</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40,656,069</w:t>
            </w:r>
          </w:p>
        </w:tc>
        <w:tc>
          <w:tcPr>
            <w:tcW w:w="110" w:type="dxa"/>
            <w:tcBorders/>
            <w:shd w:fill="E6EFFF" w:val="clear"/>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pPr>
            <w:r>
              <w:rPr/>
              <w:t>Trade and other receivables (Note 13)</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800,173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1,213,906</w:t>
            </w:r>
          </w:p>
        </w:tc>
        <w:tc>
          <w:tcPr>
            <w:tcW w:w="110" w:type="dxa"/>
            <w:tcBorders/>
            <w:vAlign w:val="center"/>
          </w:tcPr>
          <w:p>
            <w:pPr>
              <w:pStyle w:val="TableContents"/>
              <w:bidi w:val="0"/>
              <w:spacing w:before="0" w:after="283"/>
              <w:jc w:val="left"/>
              <w:rPr/>
            </w:pPr>
            <w:r>
              <w:rPr/>
              <w:t> </w:t>
            </w:r>
          </w:p>
        </w:tc>
      </w:tr>
      <w:tr>
        <w:trPr/>
        <w:tc>
          <w:tcPr>
            <w:tcW w:w="6185" w:type="dxa"/>
            <w:tcBorders>
              <w:bottom w:val="single" w:sz="6" w:space="0" w:color="000000"/>
            </w:tcBorders>
            <w:shd w:fill="E6EFFF" w:val="clear"/>
            <w:tcMar>
              <w:bottom w:w="28" w:type="dxa"/>
            </w:tcMar>
            <w:vAlign w:val="center"/>
          </w:tcPr>
          <w:p>
            <w:pPr>
              <w:pStyle w:val="TableContents"/>
              <w:bidi w:val="0"/>
              <w:spacing w:before="0" w:after="283"/>
              <w:jc w:val="left"/>
              <w:rPr/>
            </w:pPr>
            <w:r>
              <w:rPr/>
              <w:t>Prepaid expenses (Note 9)</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987,114</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1,142,118</w:t>
            </w:r>
          </w:p>
        </w:tc>
        <w:tc>
          <w:tcPr>
            <w:tcW w:w="11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618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Total current assets</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20,324,245</w:t>
            </w:r>
          </w:p>
        </w:tc>
        <w:tc>
          <w:tcPr>
            <w:tcW w:w="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43,012,093</w:t>
            </w:r>
          </w:p>
        </w:tc>
        <w:tc>
          <w:tcPr>
            <w:tcW w:w="1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r>
        <w:trPr/>
        <w:tc>
          <w:tcPr>
            <w:tcW w:w="6185" w:type="dxa"/>
            <w:tcBorders>
              <w:top w:val="single" w:sz="6" w:space="0" w:color="000000"/>
            </w:tcBorders>
            <w:shd w:fill="E6EFFF" w:val="clear"/>
            <w:tcMar>
              <w:top w:w="28" w:type="dxa"/>
            </w:tcMar>
            <w:vAlign w:val="center"/>
          </w:tcPr>
          <w:p>
            <w:pPr>
              <w:pStyle w:val="TableContents"/>
              <w:bidi w:val="0"/>
              <w:spacing w:before="0" w:after="283"/>
              <w:jc w:val="left"/>
              <w:rPr/>
            </w:pPr>
            <w:r>
              <w:rPr/>
              <w:t>Non-current assets</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110" w:type="dxa"/>
            <w:tcBorders/>
            <w:shd w:fill="E6EFFF" w:val="clear"/>
            <w:vAlign w:val="center"/>
          </w:tcPr>
          <w:p>
            <w:pPr>
              <w:pStyle w:val="TableContents"/>
              <w:bidi w:val="0"/>
              <w:spacing w:before="0" w:after="0"/>
              <w:jc w:val="left"/>
              <w:rPr/>
            </w:pPr>
            <w:r>
              <w:rPr/>
              <w:t> </w:t>
            </w:r>
          </w:p>
        </w:tc>
      </w:tr>
      <w:tr>
        <w:trPr/>
        <w:tc>
          <w:tcPr>
            <w:tcW w:w="6185" w:type="dxa"/>
            <w:tcBorders/>
            <w:vAlign w:val="center"/>
          </w:tcPr>
          <w:p>
            <w:pPr>
              <w:pStyle w:val="TableContents"/>
              <w:bidi w:val="0"/>
              <w:spacing w:before="0" w:after="283"/>
              <w:jc w:val="left"/>
              <w:rPr/>
            </w:pPr>
            <w:r>
              <w:rPr/>
              <w:t>Property and equipment (Note 4)</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54,341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61,789</w:t>
            </w:r>
          </w:p>
        </w:tc>
        <w:tc>
          <w:tcPr>
            <w:tcW w:w="110" w:type="dxa"/>
            <w:tcBorders/>
            <w:vAlign w:val="center"/>
          </w:tcPr>
          <w:p>
            <w:pPr>
              <w:pStyle w:val="TableContents"/>
              <w:bidi w:val="0"/>
              <w:spacing w:before="0" w:after="283"/>
              <w:jc w:val="left"/>
              <w:rPr/>
            </w:pPr>
            <w:r>
              <w:rPr/>
              <w:t> </w:t>
            </w:r>
          </w:p>
        </w:tc>
      </w:tr>
      <w:tr>
        <w:trPr/>
        <w:tc>
          <w:tcPr>
            <w:tcW w:w="6185" w:type="dxa"/>
            <w:tcBorders/>
            <w:shd w:fill="E6EFFF" w:val="clear"/>
            <w:vAlign w:val="center"/>
          </w:tcPr>
          <w:p>
            <w:pPr>
              <w:pStyle w:val="TableContents"/>
              <w:bidi w:val="0"/>
              <w:spacing w:before="0" w:after="283"/>
              <w:jc w:val="left"/>
              <w:rPr/>
            </w:pPr>
            <w:r>
              <w:rPr/>
              <w:t>Right-of-use asset (Note 4)</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605,233</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w:t>
            </w:r>
          </w:p>
        </w:tc>
        <w:tc>
          <w:tcPr>
            <w:tcW w:w="110" w:type="dxa"/>
            <w:tcBorders/>
            <w:shd w:fill="E6EFFF" w:val="clear"/>
            <w:vAlign w:val="center"/>
          </w:tcPr>
          <w:p>
            <w:pPr>
              <w:pStyle w:val="TableContents"/>
              <w:bidi w:val="0"/>
              <w:spacing w:before="0" w:after="283"/>
              <w:jc w:val="left"/>
              <w:rPr/>
            </w:pPr>
            <w:r>
              <w:rPr/>
              <w:t> </w:t>
            </w:r>
          </w:p>
        </w:tc>
      </w:tr>
      <w:tr>
        <w:trPr/>
        <w:tc>
          <w:tcPr>
            <w:tcW w:w="6185" w:type="dxa"/>
            <w:tcBorders>
              <w:bottom w:val="single" w:sz="6" w:space="0" w:color="000000"/>
            </w:tcBorders>
            <w:tcMar>
              <w:bottom w:w="28" w:type="dxa"/>
            </w:tcMar>
            <w:vAlign w:val="center"/>
          </w:tcPr>
          <w:p>
            <w:pPr>
              <w:pStyle w:val="TableContents"/>
              <w:bidi w:val="0"/>
              <w:spacing w:before="0" w:after="283"/>
              <w:jc w:val="left"/>
              <w:rPr/>
            </w:pPr>
            <w:r>
              <w:rPr/>
              <w:t>Restricted cash (Note 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2,500,000</w:t>
            </w:r>
          </w:p>
        </w:tc>
        <w:tc>
          <w:tcPr>
            <w:tcW w:w="11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18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Total non-current assets</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659,574</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2,561,789</w:t>
            </w:r>
          </w:p>
        </w:tc>
        <w:tc>
          <w:tcPr>
            <w:tcW w:w="11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618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Total assets</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20,983,819</w:t>
            </w:r>
          </w:p>
        </w:tc>
        <w:tc>
          <w:tcPr>
            <w:tcW w:w="9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45,573,882</w:t>
            </w:r>
          </w:p>
        </w:tc>
        <w:tc>
          <w:tcPr>
            <w:tcW w:w="11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r>
        <w:trPr/>
        <w:tc>
          <w:tcPr>
            <w:tcW w:w="618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110" w:type="dxa"/>
            <w:tcBorders/>
            <w:shd w:fill="E6EFFF" w:val="clear"/>
            <w:vAlign w:val="center"/>
          </w:tcPr>
          <w:p>
            <w:pPr>
              <w:pStyle w:val="TableContents"/>
              <w:bidi w:val="0"/>
              <w:spacing w:before="0" w:after="0"/>
              <w:jc w:val="left"/>
              <w:rPr/>
            </w:pPr>
            <w:r>
              <w:rPr/>
              <w:t> </w:t>
            </w:r>
          </w:p>
        </w:tc>
      </w:tr>
      <w:tr>
        <w:trPr/>
        <w:tc>
          <w:tcPr>
            <w:tcW w:w="6185" w:type="dxa"/>
            <w:tcBorders/>
            <w:vAlign w:val="center"/>
          </w:tcPr>
          <w:p>
            <w:pPr>
              <w:pStyle w:val="TableContents"/>
              <w:bidi w:val="0"/>
              <w:spacing w:before="0" w:after="283"/>
              <w:jc w:val="left"/>
              <w:rPr/>
            </w:pPr>
            <w:r>
              <w:rPr/>
              <w:t>LIABILITIES AND SHAREHOLDERS' EQUITY (DEFICIT)</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left"/>
              <w:rPr/>
            </w:pPr>
            <w:r>
              <w:rPr/>
              <w:t> </w:t>
            </w:r>
          </w:p>
        </w:tc>
      </w:tr>
      <w:tr>
        <w:trPr/>
        <w:tc>
          <w:tcPr>
            <w:tcW w:w="6185" w:type="dxa"/>
            <w:tcBorders/>
            <w:shd w:fill="E6EFFF" w:val="clear"/>
            <w:vAlign w:val="center"/>
          </w:tcPr>
          <w:p>
            <w:pPr>
              <w:pStyle w:val="TableContents"/>
              <w:bidi w:val="0"/>
              <w:spacing w:before="0" w:after="283"/>
              <w:jc w:val="left"/>
              <w:rPr/>
            </w:pPr>
            <w:r>
              <w:rPr/>
              <w:t>Current liabilities</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110" w:type="dxa"/>
            <w:tcBorders/>
            <w:shd w:fill="E6EFFF" w:val="clear"/>
            <w:vAlign w:val="center"/>
          </w:tcPr>
          <w:p>
            <w:pPr>
              <w:pStyle w:val="TableContents"/>
              <w:bidi w:val="0"/>
              <w:spacing w:before="0" w:after="0"/>
              <w:jc w:val="left"/>
              <w:rPr/>
            </w:pPr>
            <w:r>
              <w:rPr/>
              <w:t> </w:t>
            </w:r>
          </w:p>
        </w:tc>
      </w:tr>
      <w:tr>
        <w:trPr/>
        <w:tc>
          <w:tcPr>
            <w:tcW w:w="6185" w:type="dxa"/>
            <w:tcBorders/>
            <w:vAlign w:val="center"/>
          </w:tcPr>
          <w:p>
            <w:pPr>
              <w:pStyle w:val="TableContents"/>
              <w:bidi w:val="0"/>
              <w:spacing w:before="0" w:after="283"/>
              <w:jc w:val="left"/>
              <w:rPr/>
            </w:pPr>
            <w:r>
              <w:rPr/>
              <w:t>Accounts payable and accrued liabilities (Note 9 &amp; 13)</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3,217,785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4,497,271</w:t>
            </w:r>
          </w:p>
        </w:tc>
        <w:tc>
          <w:tcPr>
            <w:tcW w:w="110" w:type="dxa"/>
            <w:tcBorders/>
            <w:vAlign w:val="center"/>
          </w:tcPr>
          <w:p>
            <w:pPr>
              <w:pStyle w:val="TableContents"/>
              <w:bidi w:val="0"/>
              <w:spacing w:before="0" w:after="283"/>
              <w:jc w:val="left"/>
              <w:rPr/>
            </w:pPr>
            <w:r>
              <w:rPr/>
              <w:t> </w:t>
            </w:r>
          </w:p>
        </w:tc>
      </w:tr>
      <w:tr>
        <w:trPr/>
        <w:tc>
          <w:tcPr>
            <w:tcW w:w="6185" w:type="dxa"/>
            <w:tcBorders>
              <w:bottom w:val="single" w:sz="6" w:space="0" w:color="000000"/>
            </w:tcBorders>
            <w:shd w:fill="E6EFFF" w:val="clear"/>
            <w:tcMar>
              <w:bottom w:w="28" w:type="dxa"/>
            </w:tcMar>
            <w:vAlign w:val="center"/>
          </w:tcPr>
          <w:p>
            <w:pPr>
              <w:pStyle w:val="TableContents"/>
              <w:bidi w:val="0"/>
              <w:spacing w:before="0" w:after="283"/>
              <w:jc w:val="left"/>
              <w:rPr/>
            </w:pPr>
            <w:r>
              <w:rPr/>
              <w:t>Lease liabilities (Note 6)</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303,650</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w:t>
            </w:r>
          </w:p>
        </w:tc>
        <w:tc>
          <w:tcPr>
            <w:tcW w:w="11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618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Total current liabilities</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3,521,435</w:t>
            </w:r>
          </w:p>
        </w:tc>
        <w:tc>
          <w:tcPr>
            <w:tcW w:w="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4,497,271</w:t>
            </w:r>
          </w:p>
        </w:tc>
        <w:tc>
          <w:tcPr>
            <w:tcW w:w="1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r>
        <w:trPr/>
        <w:tc>
          <w:tcPr>
            <w:tcW w:w="618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110" w:type="dxa"/>
            <w:tcBorders/>
            <w:shd w:fill="E6EFFF" w:val="clear"/>
            <w:vAlign w:val="center"/>
          </w:tcPr>
          <w:p>
            <w:pPr>
              <w:pStyle w:val="TableContents"/>
              <w:bidi w:val="0"/>
              <w:spacing w:before="0" w:after="0"/>
              <w:jc w:val="left"/>
              <w:rPr/>
            </w:pPr>
            <w:r>
              <w:rPr/>
              <w:t> </w:t>
            </w:r>
          </w:p>
        </w:tc>
      </w:tr>
      <w:tr>
        <w:trPr/>
        <w:tc>
          <w:tcPr>
            <w:tcW w:w="6185" w:type="dxa"/>
            <w:tcBorders/>
            <w:vAlign w:val="center"/>
          </w:tcPr>
          <w:p>
            <w:pPr>
              <w:pStyle w:val="TableContents"/>
              <w:bidi w:val="0"/>
              <w:spacing w:before="0" w:after="283"/>
              <w:jc w:val="left"/>
              <w:rPr/>
            </w:pPr>
            <w:r>
              <w:rPr/>
              <w:t>Non-current liabilities</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left"/>
              <w:rPr/>
            </w:pPr>
            <w:r>
              <w:rPr/>
              <w:t> </w:t>
            </w:r>
          </w:p>
        </w:tc>
      </w:tr>
      <w:tr>
        <w:trPr/>
        <w:tc>
          <w:tcPr>
            <w:tcW w:w="6185" w:type="dxa"/>
            <w:tcBorders>
              <w:bottom w:val="single" w:sz="6" w:space="0" w:color="000000"/>
            </w:tcBorders>
            <w:shd w:fill="E6EFFF" w:val="clear"/>
            <w:tcMar>
              <w:bottom w:w="28" w:type="dxa"/>
            </w:tcMar>
            <w:vAlign w:val="center"/>
          </w:tcPr>
          <w:p>
            <w:pPr>
              <w:pStyle w:val="TableContents"/>
              <w:bidi w:val="0"/>
              <w:spacing w:before="0" w:after="283"/>
              <w:jc w:val="left"/>
              <w:rPr/>
            </w:pPr>
            <w:r>
              <w:rPr/>
              <w:t>Lease liabilities (Note 6)</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305,903</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w:t>
            </w:r>
          </w:p>
        </w:tc>
        <w:tc>
          <w:tcPr>
            <w:tcW w:w="11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618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Total non-current liabilities</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305,903</w:t>
            </w:r>
          </w:p>
        </w:tc>
        <w:tc>
          <w:tcPr>
            <w:tcW w:w="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w:t>
            </w:r>
          </w:p>
        </w:tc>
        <w:tc>
          <w:tcPr>
            <w:tcW w:w="1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r>
        <w:trPr/>
        <w:tc>
          <w:tcPr>
            <w:tcW w:w="618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Total liabilities</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3,827,338</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4,497,271</w:t>
            </w:r>
          </w:p>
        </w:tc>
        <w:tc>
          <w:tcPr>
            <w:tcW w:w="11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6185" w:type="dxa"/>
            <w:tcBorders>
              <w:top w:val="single" w:sz="12" w:space="0" w:color="000000"/>
            </w:tcBorders>
            <w:tcMar>
              <w:top w:w="28" w:type="dxa"/>
            </w:tcMar>
            <w:vAlign w:val="center"/>
          </w:tcPr>
          <w:p>
            <w:pPr>
              <w:pStyle w:val="TableContents"/>
              <w:bidi w:val="0"/>
              <w:spacing w:before="0" w:after="283"/>
              <w:jc w:val="left"/>
              <w:rPr/>
            </w:pPr>
            <w:r>
              <w:rPr/>
              <w:t>Shareholders' equity (deficit)</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left"/>
              <w:rPr/>
            </w:pPr>
            <w:r>
              <w:rPr/>
              <w:t> </w:t>
            </w:r>
          </w:p>
        </w:tc>
      </w:tr>
      <w:tr>
        <w:trPr/>
        <w:tc>
          <w:tcPr>
            <w:tcW w:w="6185" w:type="dxa"/>
            <w:tcBorders/>
            <w:shd w:fill="E6EFFF" w:val="clear"/>
            <w:vAlign w:val="center"/>
          </w:tcPr>
          <w:p>
            <w:pPr>
              <w:pStyle w:val="TableContents"/>
              <w:bidi w:val="0"/>
              <w:spacing w:before="0" w:after="283"/>
              <w:jc w:val="left"/>
              <w:rPr/>
            </w:pPr>
            <w:r>
              <w:rPr/>
              <w:t>Share capital (Note 10)</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69,722,807</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69,970,184</w:t>
            </w:r>
          </w:p>
        </w:tc>
        <w:tc>
          <w:tcPr>
            <w:tcW w:w="110" w:type="dxa"/>
            <w:tcBorders/>
            <w:shd w:fill="E6EFFF" w:val="clear"/>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pPr>
            <w:r>
              <w:rPr/>
              <w:t>Share-based payment reserve (Note 11 &amp; 12)</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4,117,212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3,009,042</w:t>
            </w:r>
          </w:p>
        </w:tc>
        <w:tc>
          <w:tcPr>
            <w:tcW w:w="110" w:type="dxa"/>
            <w:tcBorders/>
            <w:vAlign w:val="center"/>
          </w:tcPr>
          <w:p>
            <w:pPr>
              <w:pStyle w:val="TableContents"/>
              <w:bidi w:val="0"/>
              <w:spacing w:before="0" w:after="283"/>
              <w:jc w:val="left"/>
              <w:rPr/>
            </w:pPr>
            <w:r>
              <w:rPr/>
              <w:t> </w:t>
            </w:r>
          </w:p>
        </w:tc>
      </w:tr>
      <w:tr>
        <w:trPr/>
        <w:tc>
          <w:tcPr>
            <w:tcW w:w="6185" w:type="dxa"/>
            <w:tcBorders/>
            <w:shd w:fill="E6EFFF" w:val="clear"/>
            <w:vAlign w:val="center"/>
          </w:tcPr>
          <w:p>
            <w:pPr>
              <w:pStyle w:val="TableContents"/>
              <w:bidi w:val="0"/>
              <w:spacing w:before="0" w:after="283"/>
              <w:jc w:val="left"/>
              <w:rPr/>
            </w:pPr>
            <w:r>
              <w:rPr/>
              <w:t>Accumulated other comprehensive loss</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(2,043,011</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(193,657</w:t>
            </w:r>
          </w:p>
        </w:tc>
        <w:tc>
          <w:tcPr>
            <w:tcW w:w="110" w:type="dxa"/>
            <w:tcBorders/>
            <w:shd w:fill="E6EFFF" w:val="clear"/>
            <w:vAlign w:val="center"/>
          </w:tcPr>
          <w:p>
            <w:pPr>
              <w:pStyle w:val="TableContents"/>
              <w:bidi w:val="0"/>
              <w:spacing w:before="0" w:after="283"/>
              <w:jc w:val="left"/>
              <w:rPr/>
            </w:pPr>
            <w:r>
              <w:rPr/>
              <w:t>)</w:t>
            </w:r>
          </w:p>
        </w:tc>
      </w:tr>
      <w:tr>
        <w:trPr/>
        <w:tc>
          <w:tcPr>
            <w:tcW w:w="6185" w:type="dxa"/>
            <w:tcBorders>
              <w:bottom w:val="single" w:sz="6" w:space="0" w:color="000000"/>
            </w:tcBorders>
            <w:tcMar>
              <w:bottom w:w="28" w:type="dxa"/>
            </w:tcMar>
            <w:vAlign w:val="center"/>
          </w:tcPr>
          <w:p>
            <w:pPr>
              <w:pStyle w:val="TableContents"/>
              <w:bidi w:val="0"/>
              <w:spacing w:before="0" w:after="283"/>
              <w:jc w:val="left"/>
              <w:rPr/>
            </w:pPr>
            <w:r>
              <w:rPr/>
              <w:t>Deficit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(54,640,527</w:t>
            </w:r>
          </w:p>
        </w:tc>
        <w:tc>
          <w:tcPr>
            <w:tcW w:w="95" w:type="dxa"/>
            <w:tcBorders>
              <w:bottom w:val="single" w:sz="6" w:space="0" w:color="000000"/>
            </w:tcBorders>
            <w:tcMar>
              <w:bottom w:w="28" w:type="dxa"/>
            </w:tcMar>
            <w:vAlign w:val="center"/>
          </w:tcPr>
          <w:p>
            <w:pPr>
              <w:pStyle w:val="TableContents"/>
              <w:bidi w:val="0"/>
              <w:spacing w:before="0" w:after="283"/>
              <w:jc w:val="lef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(31,708,958</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618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Total shareholders' equity (deficit)</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17,156,481</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41,076,611</w:t>
            </w:r>
          </w:p>
        </w:tc>
        <w:tc>
          <w:tcPr>
            <w:tcW w:w="11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618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Total liabilities and shareholders' equity (deficit)</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20,983,819</w:t>
            </w:r>
          </w:p>
        </w:tc>
        <w:tc>
          <w:tcPr>
            <w:tcW w:w="9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45,573,882</w:t>
            </w:r>
          </w:p>
        </w:tc>
        <w:tc>
          <w:tcPr>
            <w:tcW w:w="11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jc w:val="both"/>
        <w:rPr/>
      </w:pPr>
      <w:r>
        <w:rPr/>
        <w:t>Commitments (Note 14)</w:t>
        <w:br/>
        <w:t>Subsequent events (Note 17)</w:t>
      </w:r>
    </w:p>
    <w:p>
      <w:pPr>
        <w:pStyle w:val="TextBody"/>
        <w:bidi w:val="0"/>
        <w:jc w:val="both"/>
        <w:rPr/>
      </w:pPr>
      <w:r>
        <w:rPr/>
        <w:t>Approved and authorized for issuance on behalf of the board of directors on June 28, 2023</w:t>
      </w:r>
      <w:r>
        <w:rPr>
          <w:b/>
        </w:rPr>
        <w:t>:</w:t>
      </w:r>
    </w:p>
    <w:tbl>
      <w:tblPr>
        <w:tblW w:w="4660" w:type="dxa"/>
        <w:jc w:val="left"/>
        <w:tblInd w:w="0" w:type="dxa"/>
        <w:tblLayout w:type="fixed"/>
        <w:tblCellMar>
          <w:top w:w="0" w:type="dxa"/>
          <w:left w:w="0" w:type="dxa"/>
          <w:bottom w:w="28" w:type="dxa"/>
          <w:right w:w="0" w:type="dxa"/>
        </w:tblCellMar>
      </w:tblPr>
      <w:tblGrid>
        <w:gridCol w:w="2330"/>
        <w:gridCol w:w="60"/>
        <w:gridCol w:w="2270"/>
      </w:tblGrid>
      <w:tr>
        <w:trPr/>
        <w:tc>
          <w:tcPr>
            <w:tcW w:w="2330" w:type="dxa"/>
            <w:tcBorders>
              <w:bottom w:val="single" w:sz="6" w:space="0" w:color="000000"/>
            </w:tcBorders>
            <w:vAlign w:val="center"/>
          </w:tcPr>
          <w:p>
            <w:pPr>
              <w:pStyle w:val="TableContents"/>
              <w:bidi w:val="0"/>
              <w:spacing w:before="0" w:after="283"/>
              <w:jc w:val="left"/>
              <w:rPr>
                <w:i/>
              </w:rPr>
            </w:pPr>
            <w:r>
              <w:rPr>
                <w:i/>
              </w:rPr>
              <w:t>/s/ Michael Wolfe</w:t>
            </w:r>
          </w:p>
        </w:tc>
        <w:tc>
          <w:tcPr>
            <w:tcW w:w="60" w:type="dxa"/>
            <w:tcBorders/>
            <w:tcMar>
              <w:bottom w:w="0" w:type="dxa"/>
            </w:tcMar>
            <w:vAlign w:val="center"/>
          </w:tcPr>
          <w:p>
            <w:pPr>
              <w:pStyle w:val="TableContents"/>
              <w:bidi w:val="0"/>
              <w:spacing w:before="0" w:after="283"/>
              <w:jc w:val="left"/>
              <w:rPr/>
            </w:pPr>
            <w:r>
              <w:rPr/>
              <w:t> </w:t>
            </w:r>
          </w:p>
        </w:tc>
        <w:tc>
          <w:tcPr>
            <w:tcW w:w="2270" w:type="dxa"/>
            <w:tcBorders>
              <w:bottom w:val="single" w:sz="6" w:space="0" w:color="000000"/>
            </w:tcBorders>
            <w:vAlign w:val="center"/>
          </w:tcPr>
          <w:p>
            <w:pPr>
              <w:pStyle w:val="TableContents"/>
              <w:bidi w:val="0"/>
              <w:spacing w:before="0" w:after="283"/>
              <w:jc w:val="left"/>
              <w:rPr>
                <w:i/>
              </w:rPr>
            </w:pPr>
            <w:r>
              <w:rPr>
                <w:i/>
              </w:rPr>
              <w:t>/s/ George Tziras</w:t>
            </w:r>
          </w:p>
        </w:tc>
      </w:tr>
      <w:tr>
        <w:trPr/>
        <w:tc>
          <w:tcPr>
            <w:tcW w:w="2330" w:type="dxa"/>
            <w:tcBorders/>
            <w:tcMar>
              <w:bottom w:w="0" w:type="dxa"/>
            </w:tcMar>
            <w:vAlign w:val="center"/>
          </w:tcPr>
          <w:p>
            <w:pPr>
              <w:pStyle w:val="TableContents"/>
              <w:bidi w:val="0"/>
              <w:spacing w:before="0" w:after="283"/>
              <w:jc w:val="left"/>
              <w:rPr/>
            </w:pPr>
            <w:r>
              <w:rPr/>
              <w:t>Michael Wolfe, Director</w:t>
            </w:r>
          </w:p>
        </w:tc>
        <w:tc>
          <w:tcPr>
            <w:tcW w:w="60" w:type="dxa"/>
            <w:tcBorders/>
            <w:tcMar>
              <w:bottom w:w="0" w:type="dxa"/>
            </w:tcMar>
            <w:vAlign w:val="center"/>
          </w:tcPr>
          <w:p>
            <w:pPr>
              <w:pStyle w:val="TableContents"/>
              <w:bidi w:val="0"/>
              <w:spacing w:before="0" w:after="283"/>
              <w:jc w:val="left"/>
              <w:rPr/>
            </w:pPr>
            <w:r>
              <w:rPr/>
              <w:t> </w:t>
            </w:r>
          </w:p>
        </w:tc>
        <w:tc>
          <w:tcPr>
            <w:tcW w:w="2270" w:type="dxa"/>
            <w:tcBorders/>
            <w:tcMar>
              <w:bottom w:w="0" w:type="dxa"/>
            </w:tcMar>
            <w:vAlign w:val="center"/>
          </w:tcPr>
          <w:p>
            <w:pPr>
              <w:pStyle w:val="TableContents"/>
              <w:bidi w:val="0"/>
              <w:spacing w:before="0" w:after="283"/>
              <w:jc w:val="left"/>
              <w:rPr/>
            </w:pPr>
            <w:r>
              <w:rPr/>
              <w:t>George Tziras, Director</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The accompanying notes are an integral part of these consolidated financial statements</w:t>
        <w:br/>
        <w:t>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283"/>
        <w:jc w:val="left"/>
        <w:rPr/>
      </w:pPr>
      <w:r>
        <w:rPr/>
      </w:r>
      <w:bookmarkStart w:id="19" w:name="page_7"/>
      <w:bookmarkStart w:id="20" w:name="page_7"/>
      <w:bookmarkEnd w:id="20"/>
    </w:p>
    <w:p>
      <w:pPr>
        <w:pStyle w:val="TextBody"/>
        <w:bidi w:val="0"/>
        <w:spacing w:before="0" w:after="283"/>
        <w:jc w:val="left"/>
        <w:rPr/>
      </w:pPr>
      <w:r>
        <w:rPr>
          <w:b/>
        </w:rPr>
        <w:t>SMALL PHARMA INC.</w:t>
      </w:r>
      <w:r>
        <w:rPr/>
        <w:br/>
        <w:t>(formerly, Unilock Capital Corp.)</w:t>
        <w:br/>
        <w:t>Consolidated Statements of Operations and Comprehensive Loss</w:t>
        <w:br/>
        <w:t>(Expressed in Canadian dollars)</w:t>
      </w:r>
    </w:p>
    <w:tbl>
      <w:tblPr>
        <w:tblW w:w="8500" w:type="dxa"/>
        <w:jc w:val="left"/>
        <w:tblInd w:w="0" w:type="dxa"/>
        <w:tblLayout w:type="fixed"/>
        <w:tblCellMar>
          <w:top w:w="0" w:type="dxa"/>
          <w:left w:w="0" w:type="dxa"/>
          <w:bottom w:w="0" w:type="dxa"/>
          <w:right w:w="0" w:type="dxa"/>
        </w:tblCellMar>
      </w:tblPr>
      <w:tblGrid>
        <w:gridCol w:w="5705"/>
        <w:gridCol w:w="60"/>
        <w:gridCol w:w="1235"/>
        <w:gridCol w:w="95"/>
        <w:gridCol w:w="60"/>
        <w:gridCol w:w="1235"/>
        <w:gridCol w:w="110"/>
      </w:tblGrid>
      <w:tr>
        <w:trPr/>
        <w:tc>
          <w:tcPr>
            <w:tcW w:w="5705"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Year ended</w:t>
              <w:br/>
              <w:t>February 28,</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Year ended</w:t>
              <w:br/>
              <w:t>February 28,</w:t>
            </w:r>
          </w:p>
        </w:tc>
        <w:tc>
          <w:tcPr>
            <w:tcW w:w="110"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2023</w:t>
              <w:b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2022</w:t>
              <w:br/>
              <w:t>$</w:t>
            </w:r>
          </w:p>
        </w:tc>
        <w:tc>
          <w:tcPr>
            <w:tcW w:w="11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570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Revenue</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center"/>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w:t>
            </w:r>
          </w:p>
        </w:tc>
        <w:tc>
          <w:tcPr>
            <w:tcW w:w="11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 </w:t>
            </w:r>
          </w:p>
        </w:tc>
      </w:tr>
      <w:tr>
        <w:trPr/>
        <w:tc>
          <w:tcPr>
            <w:tcW w:w="5705" w:type="dxa"/>
            <w:tcBorders/>
            <w:shd w:fill="E6EFFF" w:val="clear"/>
            <w:vAlign w:val="center"/>
          </w:tcPr>
          <w:p>
            <w:pPr>
              <w:pStyle w:val="TableContents"/>
              <w:bidi w:val="0"/>
              <w:spacing w:before="0" w:after="283"/>
              <w:jc w:val="left"/>
              <w:rPr/>
            </w:pPr>
            <w:r>
              <w:rPr/>
              <w:t>Expenses</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lef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left"/>
              <w:rPr/>
            </w:pPr>
            <w:r>
              <w:rPr/>
              <w:t> </w:t>
            </w:r>
          </w:p>
        </w:tc>
        <w:tc>
          <w:tcPr>
            <w:tcW w:w="110" w:type="dxa"/>
            <w:tcBorders/>
            <w:shd w:fill="E6EFFF" w:val="clear"/>
            <w:vAlign w:val="center"/>
          </w:tcPr>
          <w:p>
            <w:pPr>
              <w:pStyle w:val="TableContents"/>
              <w:bidi w:val="0"/>
              <w:spacing w:before="0" w:after="0"/>
              <w:jc w:val="left"/>
              <w:rPr/>
            </w:pPr>
            <w:r>
              <w:rPr/>
              <w:t> </w:t>
            </w:r>
          </w:p>
        </w:tc>
      </w:tr>
      <w:tr>
        <w:trPr/>
        <w:tc>
          <w:tcPr>
            <w:tcW w:w="5705" w:type="dxa"/>
            <w:tcBorders/>
            <w:vAlign w:val="center"/>
          </w:tcPr>
          <w:p>
            <w:pPr>
              <w:pStyle w:val="TableContents"/>
              <w:bidi w:val="0"/>
              <w:spacing w:before="0" w:after="283"/>
              <w:jc w:val="left"/>
              <w:rPr/>
            </w:pPr>
            <w:r>
              <w:rPr/>
              <w:t>Investor and public relations</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1,240,507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2,196,210</w:t>
            </w:r>
          </w:p>
        </w:tc>
        <w:tc>
          <w:tcPr>
            <w:tcW w:w="110" w:type="dxa"/>
            <w:tcBorders/>
            <w:vAlign w:val="center"/>
          </w:tcPr>
          <w:p>
            <w:pPr>
              <w:pStyle w:val="TableContents"/>
              <w:bidi w:val="0"/>
              <w:spacing w:before="0" w:after="283"/>
              <w:jc w:val="left"/>
              <w:rPr/>
            </w:pPr>
            <w:r>
              <w:rPr/>
              <w:t> </w:t>
            </w:r>
          </w:p>
        </w:tc>
      </w:tr>
      <w:tr>
        <w:trPr/>
        <w:tc>
          <w:tcPr>
            <w:tcW w:w="5705" w:type="dxa"/>
            <w:tcBorders/>
            <w:shd w:fill="E6EFFF" w:val="clear"/>
            <w:vAlign w:val="center"/>
          </w:tcPr>
          <w:p>
            <w:pPr>
              <w:pStyle w:val="TableContents"/>
              <w:bidi w:val="0"/>
              <w:spacing w:before="0" w:after="283"/>
              <w:jc w:val="left"/>
              <w:rPr/>
            </w:pPr>
            <w:r>
              <w:rPr/>
              <w:t>Consulting fees</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482,239</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120,083</w:t>
            </w:r>
          </w:p>
        </w:tc>
        <w:tc>
          <w:tcPr>
            <w:tcW w:w="110" w:type="dxa"/>
            <w:tcBorders/>
            <w:shd w:fill="E6EF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Depreciation</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48,441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20,486</w:t>
            </w:r>
          </w:p>
        </w:tc>
        <w:tc>
          <w:tcPr>
            <w:tcW w:w="110" w:type="dxa"/>
            <w:tcBorders/>
            <w:vAlign w:val="center"/>
          </w:tcPr>
          <w:p>
            <w:pPr>
              <w:pStyle w:val="TableContents"/>
              <w:bidi w:val="0"/>
              <w:spacing w:before="0" w:after="283"/>
              <w:jc w:val="left"/>
              <w:rPr/>
            </w:pPr>
            <w:r>
              <w:rPr/>
              <w:t> </w:t>
            </w:r>
          </w:p>
        </w:tc>
      </w:tr>
      <w:tr>
        <w:trPr/>
        <w:tc>
          <w:tcPr>
            <w:tcW w:w="5705" w:type="dxa"/>
            <w:tcBorders/>
            <w:shd w:fill="E6EFFF" w:val="clear"/>
            <w:vAlign w:val="center"/>
          </w:tcPr>
          <w:p>
            <w:pPr>
              <w:pStyle w:val="TableContents"/>
              <w:bidi w:val="0"/>
              <w:spacing w:before="0" w:after="283"/>
              <w:jc w:val="left"/>
              <w:rPr/>
            </w:pPr>
            <w:r>
              <w:rPr/>
              <w:t>Directors' fees</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344,739</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185,832</w:t>
            </w:r>
          </w:p>
        </w:tc>
        <w:tc>
          <w:tcPr>
            <w:tcW w:w="110" w:type="dxa"/>
            <w:tcBorders/>
            <w:shd w:fill="E6EF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Foreign exchange loss</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41,341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184,713</w:t>
            </w:r>
          </w:p>
        </w:tc>
        <w:tc>
          <w:tcPr>
            <w:tcW w:w="110" w:type="dxa"/>
            <w:tcBorders/>
            <w:vAlign w:val="center"/>
          </w:tcPr>
          <w:p>
            <w:pPr>
              <w:pStyle w:val="TableContents"/>
              <w:bidi w:val="0"/>
              <w:spacing w:before="0" w:after="283"/>
              <w:jc w:val="left"/>
              <w:rPr/>
            </w:pPr>
            <w:r>
              <w:rPr/>
              <w:t> </w:t>
            </w:r>
          </w:p>
        </w:tc>
      </w:tr>
      <w:tr>
        <w:trPr/>
        <w:tc>
          <w:tcPr>
            <w:tcW w:w="5705" w:type="dxa"/>
            <w:tcBorders/>
            <w:shd w:fill="E6EFFF" w:val="clear"/>
            <w:vAlign w:val="center"/>
          </w:tcPr>
          <w:p>
            <w:pPr>
              <w:pStyle w:val="TableContents"/>
              <w:bidi w:val="0"/>
              <w:spacing w:before="0" w:after="283"/>
              <w:jc w:val="left"/>
              <w:rPr/>
            </w:pPr>
            <w:r>
              <w:rPr/>
              <w:t>Office and miscellaneous</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863,929</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263,516</w:t>
            </w:r>
          </w:p>
        </w:tc>
        <w:tc>
          <w:tcPr>
            <w:tcW w:w="110" w:type="dxa"/>
            <w:tcBorders/>
            <w:shd w:fill="E6EF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Professional fees</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2,897,993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2,482,712</w:t>
            </w:r>
          </w:p>
        </w:tc>
        <w:tc>
          <w:tcPr>
            <w:tcW w:w="110" w:type="dxa"/>
            <w:tcBorders/>
            <w:vAlign w:val="center"/>
          </w:tcPr>
          <w:p>
            <w:pPr>
              <w:pStyle w:val="TableContents"/>
              <w:bidi w:val="0"/>
              <w:spacing w:before="0" w:after="283"/>
              <w:jc w:val="left"/>
              <w:rPr/>
            </w:pPr>
            <w:r>
              <w:rPr/>
              <w:t> </w:t>
            </w:r>
          </w:p>
        </w:tc>
      </w:tr>
      <w:tr>
        <w:trPr/>
        <w:tc>
          <w:tcPr>
            <w:tcW w:w="5705" w:type="dxa"/>
            <w:tcBorders/>
            <w:shd w:fill="E6EFFF" w:val="clear"/>
            <w:vAlign w:val="center"/>
          </w:tcPr>
          <w:p>
            <w:pPr>
              <w:pStyle w:val="TableContents"/>
              <w:bidi w:val="0"/>
              <w:spacing w:before="0" w:after="283"/>
              <w:jc w:val="left"/>
              <w:rPr/>
            </w:pPr>
            <w:r>
              <w:rPr/>
              <w:t>Occupancy costs</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199,032</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153,015</w:t>
            </w:r>
          </w:p>
        </w:tc>
        <w:tc>
          <w:tcPr>
            <w:tcW w:w="110" w:type="dxa"/>
            <w:tcBorders/>
            <w:shd w:fill="E6EF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Research and development</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11,382,096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4,828,057</w:t>
            </w:r>
          </w:p>
        </w:tc>
        <w:tc>
          <w:tcPr>
            <w:tcW w:w="110" w:type="dxa"/>
            <w:tcBorders/>
            <w:vAlign w:val="center"/>
          </w:tcPr>
          <w:p>
            <w:pPr>
              <w:pStyle w:val="TableContents"/>
              <w:bidi w:val="0"/>
              <w:spacing w:before="0" w:after="283"/>
              <w:jc w:val="left"/>
              <w:rPr/>
            </w:pPr>
            <w:r>
              <w:rPr/>
              <w:t> </w:t>
            </w:r>
          </w:p>
        </w:tc>
      </w:tr>
      <w:tr>
        <w:trPr/>
        <w:tc>
          <w:tcPr>
            <w:tcW w:w="5705" w:type="dxa"/>
            <w:tcBorders/>
            <w:shd w:fill="E6EFFF" w:val="clear"/>
            <w:vAlign w:val="center"/>
          </w:tcPr>
          <w:p>
            <w:pPr>
              <w:pStyle w:val="TableContents"/>
              <w:bidi w:val="0"/>
              <w:spacing w:before="0" w:after="283"/>
              <w:jc w:val="left"/>
              <w:rPr/>
            </w:pPr>
            <w:r>
              <w:rPr/>
              <w:t>Salaries and benefits (Note 9)</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5,875,166</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6,806,694</w:t>
            </w:r>
          </w:p>
        </w:tc>
        <w:tc>
          <w:tcPr>
            <w:tcW w:w="110" w:type="dxa"/>
            <w:tcBorders/>
            <w:shd w:fill="E6EF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Share-based payment expense (Note 12)</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1,188,611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703,845</w:t>
            </w:r>
          </w:p>
        </w:tc>
        <w:tc>
          <w:tcPr>
            <w:tcW w:w="110" w:type="dxa"/>
            <w:tcBorders/>
            <w:vAlign w:val="center"/>
          </w:tcPr>
          <w:p>
            <w:pPr>
              <w:pStyle w:val="TableContents"/>
              <w:bidi w:val="0"/>
              <w:spacing w:before="0" w:after="283"/>
              <w:jc w:val="left"/>
              <w:rPr/>
            </w:pPr>
            <w:r>
              <w:rPr/>
              <w:t> </w:t>
            </w:r>
          </w:p>
        </w:tc>
      </w:tr>
      <w:tr>
        <w:trPr/>
        <w:tc>
          <w:tcPr>
            <w:tcW w:w="5705" w:type="dxa"/>
            <w:tcBorders>
              <w:bottom w:val="single" w:sz="6" w:space="0" w:color="000000"/>
            </w:tcBorders>
            <w:shd w:fill="E6EFFF" w:val="clear"/>
            <w:tcMar>
              <w:bottom w:w="28" w:type="dxa"/>
            </w:tcMar>
            <w:vAlign w:val="center"/>
          </w:tcPr>
          <w:p>
            <w:pPr>
              <w:pStyle w:val="TableContents"/>
              <w:bidi w:val="0"/>
              <w:spacing w:before="0" w:after="283"/>
              <w:jc w:val="left"/>
              <w:rPr/>
            </w:pPr>
            <w:r>
              <w:rPr/>
              <w:t>Transfer agent and filing fees</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178,336</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191,803</w:t>
            </w:r>
          </w:p>
        </w:tc>
        <w:tc>
          <w:tcPr>
            <w:tcW w:w="11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570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Total expenses</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24,742,430</w:t>
            </w:r>
          </w:p>
        </w:tc>
        <w:tc>
          <w:tcPr>
            <w:tcW w:w="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18,136,966</w:t>
            </w:r>
          </w:p>
        </w:tc>
        <w:tc>
          <w:tcPr>
            <w:tcW w:w="1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r>
        <w:trPr/>
        <w:tc>
          <w:tcPr>
            <w:tcW w:w="570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Loss before other items</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(24,742,430</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(18,136,966</w:t>
            </w:r>
          </w:p>
        </w:tc>
        <w:tc>
          <w:tcPr>
            <w:tcW w:w="11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r>
      <w:tr>
        <w:trPr/>
        <w:tc>
          <w:tcPr>
            <w:tcW w:w="5705" w:type="dxa"/>
            <w:tcBorders>
              <w:top w:val="single" w:sz="6" w:space="0" w:color="000000"/>
            </w:tcBorders>
            <w:tcMar>
              <w:top w:w="28" w:type="dxa"/>
            </w:tcMar>
            <w:vAlign w:val="center"/>
          </w:tcPr>
          <w:p>
            <w:pPr>
              <w:pStyle w:val="TableContents"/>
              <w:bidi w:val="0"/>
              <w:spacing w:before="0" w:after="283"/>
              <w:jc w:val="left"/>
              <w:rPr/>
            </w:pPr>
            <w:r>
              <w:rPr/>
              <w:t>Other items</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left"/>
              <w:rPr/>
            </w:pPr>
            <w:r>
              <w:rPr/>
              <w:t> </w:t>
            </w:r>
          </w:p>
        </w:tc>
      </w:tr>
      <w:tr>
        <w:trPr/>
        <w:tc>
          <w:tcPr>
            <w:tcW w:w="5705" w:type="dxa"/>
            <w:tcBorders/>
            <w:shd w:fill="E6EFFF" w:val="clear"/>
            <w:vAlign w:val="center"/>
          </w:tcPr>
          <w:p>
            <w:pPr>
              <w:pStyle w:val="TableContents"/>
              <w:bidi w:val="0"/>
              <w:spacing w:before="0" w:after="283"/>
              <w:jc w:val="left"/>
              <w:rPr/>
            </w:pPr>
            <w:r>
              <w:rPr/>
              <w:t>Accretion discounts on notes payable (Note 7)</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(372,759</w:t>
            </w:r>
          </w:p>
        </w:tc>
        <w:tc>
          <w:tcPr>
            <w:tcW w:w="110" w:type="dxa"/>
            <w:tcBorders/>
            <w:shd w:fill="E6EFFF" w:val="clear"/>
            <w:vAlign w:val="center"/>
          </w:tcPr>
          <w:p>
            <w:pPr>
              <w:pStyle w:val="TableContents"/>
              <w:bidi w:val="0"/>
              <w:spacing w:before="0" w:after="283"/>
              <w:jc w:val="left"/>
              <w:rPr/>
            </w:pPr>
            <w:r>
              <w:rPr/>
              <w:t>)</w:t>
            </w:r>
          </w:p>
        </w:tc>
      </w:tr>
      <w:tr>
        <w:trPr/>
        <w:tc>
          <w:tcPr>
            <w:tcW w:w="5705" w:type="dxa"/>
            <w:tcBorders/>
            <w:vAlign w:val="center"/>
          </w:tcPr>
          <w:p>
            <w:pPr>
              <w:pStyle w:val="TableContents"/>
              <w:bidi w:val="0"/>
              <w:spacing w:before="0" w:after="283"/>
              <w:jc w:val="left"/>
              <w:rPr/>
            </w:pPr>
            <w:r>
              <w:rPr/>
              <w:t>Loss on change in fair value of derivative liabilities (Note 8)</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(1,930,416</w:t>
            </w:r>
          </w:p>
        </w:tc>
        <w:tc>
          <w:tcPr>
            <w:tcW w:w="110" w:type="dxa"/>
            <w:tcBorders/>
            <w:vAlign w:val="center"/>
          </w:tcPr>
          <w:p>
            <w:pPr>
              <w:pStyle w:val="TableContents"/>
              <w:bidi w:val="0"/>
              <w:spacing w:before="0" w:after="283"/>
              <w:jc w:val="left"/>
              <w:rPr/>
            </w:pPr>
            <w:r>
              <w:rPr/>
              <w:t>)</w:t>
            </w:r>
          </w:p>
        </w:tc>
      </w:tr>
      <w:tr>
        <w:trPr/>
        <w:tc>
          <w:tcPr>
            <w:tcW w:w="5705" w:type="dxa"/>
            <w:tcBorders/>
            <w:shd w:fill="E6EFFF" w:val="clear"/>
            <w:vAlign w:val="center"/>
          </w:tcPr>
          <w:p>
            <w:pPr>
              <w:pStyle w:val="TableContents"/>
              <w:bidi w:val="0"/>
              <w:spacing w:before="0" w:after="283"/>
              <w:jc w:val="left"/>
              <w:rPr/>
            </w:pPr>
            <w:r>
              <w:rPr/>
              <w:t>Interest income (expense) (Note 6 &amp; 7)</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21,021</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(60,973</w:t>
            </w:r>
          </w:p>
        </w:tc>
        <w:tc>
          <w:tcPr>
            <w:tcW w:w="110" w:type="dxa"/>
            <w:tcBorders/>
            <w:shd w:fill="E6EFFF" w:val="clear"/>
            <w:vAlign w:val="center"/>
          </w:tcPr>
          <w:p>
            <w:pPr>
              <w:pStyle w:val="TableContents"/>
              <w:bidi w:val="0"/>
              <w:spacing w:before="0" w:after="283"/>
              <w:jc w:val="left"/>
              <w:rPr/>
            </w:pPr>
            <w:r>
              <w:rPr/>
              <w:t>)</w:t>
            </w:r>
          </w:p>
        </w:tc>
      </w:tr>
      <w:tr>
        <w:trPr/>
        <w:tc>
          <w:tcPr>
            <w:tcW w:w="5705" w:type="dxa"/>
            <w:tcBorders>
              <w:bottom w:val="single" w:sz="6" w:space="0" w:color="000000"/>
            </w:tcBorders>
            <w:tcMar>
              <w:bottom w:w="28" w:type="dxa"/>
            </w:tcMar>
            <w:vAlign w:val="center"/>
          </w:tcPr>
          <w:p>
            <w:pPr>
              <w:pStyle w:val="TableContents"/>
              <w:bidi w:val="0"/>
              <w:spacing w:before="0" w:after="283"/>
              <w:jc w:val="left"/>
              <w:rPr/>
            </w:pPr>
            <w:r>
              <w:rPr/>
              <w:t>Listing costs (Note 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(2,419,736</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570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Total other items</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21,021</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(4,783,884</w:t>
            </w:r>
          </w:p>
        </w:tc>
        <w:tc>
          <w:tcPr>
            <w:tcW w:w="11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r>
      <w:tr>
        <w:trPr/>
        <w:tc>
          <w:tcPr>
            <w:tcW w:w="5705" w:type="dxa"/>
            <w:tcBorders>
              <w:top w:val="single" w:sz="6" w:space="0" w:color="000000"/>
            </w:tcBorders>
            <w:tcMar>
              <w:top w:w="28" w:type="dxa"/>
            </w:tcMar>
            <w:vAlign w:val="center"/>
          </w:tcPr>
          <w:p>
            <w:pPr>
              <w:pStyle w:val="TableContents"/>
              <w:bidi w:val="0"/>
              <w:spacing w:before="0" w:after="283"/>
              <w:jc w:val="left"/>
              <w:rPr/>
            </w:pPr>
            <w:r>
              <w:rPr/>
              <w:t>Net loss for the year before income taxes</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35" w:type="dxa"/>
            <w:tcBorders>
              <w:top w:val="single" w:sz="6" w:space="0" w:color="000000"/>
            </w:tcBorders>
            <w:tcMar>
              <w:top w:w="28" w:type="dxa"/>
            </w:tcMar>
            <w:vAlign w:val="center"/>
          </w:tcPr>
          <w:p>
            <w:pPr>
              <w:pStyle w:val="TableContents"/>
              <w:bidi w:val="0"/>
              <w:spacing w:before="0" w:after="283"/>
              <w:jc w:val="right"/>
              <w:rPr/>
            </w:pPr>
            <w:r>
              <w:rPr/>
              <w:t>(24,721,409</w:t>
            </w:r>
          </w:p>
        </w:tc>
        <w:tc>
          <w:tcPr>
            <w:tcW w:w="95" w:type="dxa"/>
            <w:tcBorders>
              <w:top w:val="single" w:sz="6" w:space="0" w:color="000000"/>
            </w:tcBorders>
            <w:tcMar>
              <w:top w:w="28" w:type="dxa"/>
            </w:tcMar>
            <w:vAlign w:val="center"/>
          </w:tcPr>
          <w:p>
            <w:pPr>
              <w:pStyle w:val="TableContents"/>
              <w:bidi w:val="0"/>
              <w:spacing w:before="0" w:after="283"/>
              <w:jc w:val="left"/>
              <w:rPr/>
            </w:pPr>
            <w:r>
              <w:rPr/>
              <w:t>)</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35" w:type="dxa"/>
            <w:tcBorders>
              <w:top w:val="single" w:sz="6" w:space="0" w:color="000000"/>
            </w:tcBorders>
            <w:tcMar>
              <w:top w:w="28" w:type="dxa"/>
            </w:tcMar>
            <w:vAlign w:val="center"/>
          </w:tcPr>
          <w:p>
            <w:pPr>
              <w:pStyle w:val="TableContents"/>
              <w:bidi w:val="0"/>
              <w:spacing w:before="0" w:after="283"/>
              <w:jc w:val="right"/>
              <w:rPr/>
            </w:pPr>
            <w:r>
              <w:rPr/>
              <w:t>(22,920,850</w:t>
            </w:r>
          </w:p>
        </w:tc>
        <w:tc>
          <w:tcPr>
            <w:tcW w:w="110" w:type="dxa"/>
            <w:tcBorders>
              <w:top w:val="single" w:sz="6" w:space="0" w:color="000000"/>
            </w:tcBorders>
            <w:tcMar>
              <w:top w:w="28" w:type="dxa"/>
            </w:tcMar>
            <w:vAlign w:val="center"/>
          </w:tcPr>
          <w:p>
            <w:pPr>
              <w:pStyle w:val="TableContents"/>
              <w:bidi w:val="0"/>
              <w:spacing w:before="0" w:after="283"/>
              <w:jc w:val="left"/>
              <w:rPr/>
            </w:pPr>
            <w:r>
              <w:rPr/>
              <w:t>)</w:t>
            </w:r>
          </w:p>
        </w:tc>
      </w:tr>
      <w:tr>
        <w:trPr/>
        <w:tc>
          <w:tcPr>
            <w:tcW w:w="5705" w:type="dxa"/>
            <w:tcBorders>
              <w:bottom w:val="single" w:sz="6" w:space="0" w:color="000000"/>
            </w:tcBorders>
            <w:shd w:fill="E6EFFF" w:val="clear"/>
            <w:tcMar>
              <w:bottom w:w="28" w:type="dxa"/>
            </w:tcMar>
            <w:vAlign w:val="center"/>
          </w:tcPr>
          <w:p>
            <w:pPr>
              <w:pStyle w:val="TableContents"/>
              <w:bidi w:val="0"/>
              <w:spacing w:before="0" w:after="283"/>
              <w:jc w:val="left"/>
              <w:rPr/>
            </w:pPr>
            <w:r>
              <w:rPr/>
              <w:t>Income tax recovery (Note 16)</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1,885,196</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655,166</w:t>
            </w:r>
          </w:p>
        </w:tc>
        <w:tc>
          <w:tcPr>
            <w:tcW w:w="11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570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Net loss for the year</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(22,836,213</w:t>
            </w:r>
          </w:p>
        </w:tc>
        <w:tc>
          <w:tcPr>
            <w:tcW w:w="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(22,265,684</w:t>
            </w:r>
          </w:p>
        </w:tc>
        <w:tc>
          <w:tcPr>
            <w:tcW w:w="1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r>
      <w:tr>
        <w:trPr/>
        <w:tc>
          <w:tcPr>
            <w:tcW w:w="5705" w:type="dxa"/>
            <w:tcBorders>
              <w:top w:val="single" w:sz="6" w:space="0" w:color="000000"/>
            </w:tcBorders>
            <w:shd w:fill="E6EFFF" w:val="clear"/>
            <w:tcMar>
              <w:top w:w="28" w:type="dxa"/>
            </w:tcMar>
            <w:vAlign w:val="center"/>
          </w:tcPr>
          <w:p>
            <w:pPr>
              <w:pStyle w:val="TableContents"/>
              <w:bidi w:val="0"/>
              <w:spacing w:before="0" w:after="283"/>
              <w:jc w:val="left"/>
              <w:rPr/>
            </w:pPr>
            <w:r>
              <w:rPr/>
              <w:t>Other comprehensive income (loss)</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110" w:type="dxa"/>
            <w:tcBorders/>
            <w:shd w:fill="E6EFFF" w:val="clear"/>
            <w:vAlign w:val="center"/>
          </w:tcPr>
          <w:p>
            <w:pPr>
              <w:pStyle w:val="TableContents"/>
              <w:bidi w:val="0"/>
              <w:spacing w:before="0" w:after="0"/>
              <w:jc w:val="left"/>
              <w:rPr/>
            </w:pPr>
            <w:r>
              <w:rPr/>
              <w:t> </w:t>
            </w:r>
          </w:p>
        </w:tc>
      </w:tr>
      <w:tr>
        <w:trPr/>
        <w:tc>
          <w:tcPr>
            <w:tcW w:w="5705" w:type="dxa"/>
            <w:tcBorders>
              <w:bottom w:val="single" w:sz="6" w:space="0" w:color="000000"/>
            </w:tcBorders>
            <w:tcMar>
              <w:bottom w:w="28" w:type="dxa"/>
            </w:tcMar>
            <w:vAlign w:val="center"/>
          </w:tcPr>
          <w:p>
            <w:pPr>
              <w:pStyle w:val="TableContents"/>
              <w:bidi w:val="0"/>
              <w:spacing w:before="0" w:after="283"/>
              <w:jc w:val="left"/>
              <w:rPr/>
            </w:pPr>
            <w:r>
              <w:rPr/>
              <w:t>Foreign currency translation loss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(1,849,354</w:t>
            </w:r>
          </w:p>
        </w:tc>
        <w:tc>
          <w:tcPr>
            <w:tcW w:w="95" w:type="dxa"/>
            <w:tcBorders>
              <w:bottom w:val="single" w:sz="6" w:space="0" w:color="000000"/>
            </w:tcBorders>
            <w:tcMar>
              <w:bottom w:w="28" w:type="dxa"/>
            </w:tcMar>
            <w:vAlign w:val="center"/>
          </w:tcPr>
          <w:p>
            <w:pPr>
              <w:pStyle w:val="TableContents"/>
              <w:bidi w:val="0"/>
              <w:spacing w:before="0" w:after="283"/>
              <w:jc w:val="lef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(12,973</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570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Comprehensive loss for the year</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(24,685,567</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(22,278,657</w:t>
            </w:r>
          </w:p>
        </w:tc>
        <w:tc>
          <w:tcPr>
            <w:tcW w:w="11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ind w:left="0" w:right="0" w:hanging="284"/>
              <w:jc w:val="left"/>
              <w:rPr/>
            </w:pPr>
            <w:r>
              <w:rPr/>
              <w:t>)</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284"/>
              <w:jc w:val="left"/>
              <w:rPr/>
            </w:pPr>
            <w:r>
              <w:rPr/>
              <w:t> </w:t>
            </w:r>
          </w:p>
        </w:tc>
      </w:tr>
      <w:tr>
        <w:trPr/>
        <w:tc>
          <w:tcPr>
            <w:tcW w:w="5705" w:type="dxa"/>
            <w:tcBorders>
              <w:bottom w:val="single" w:sz="12" w:space="0" w:color="000000"/>
            </w:tcBorders>
            <w:shd w:fill="E6EFFF" w:val="clear"/>
            <w:tcMar>
              <w:bottom w:w="28" w:type="dxa"/>
            </w:tcMar>
            <w:vAlign w:val="center"/>
          </w:tcPr>
          <w:p>
            <w:pPr>
              <w:pStyle w:val="TableContents"/>
              <w:bidi w:val="0"/>
              <w:spacing w:before="0" w:after="283"/>
              <w:jc w:val="left"/>
              <w:rPr/>
            </w:pPr>
            <w:r>
              <w:rPr/>
              <w:t>Net loss per share, basic and diluted</w:t>
              <w:br/>
              <w:t>(Note 10 (e))</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E6EFFF" w:val="clear"/>
            <w:tcMar>
              <w:bottom w:w="28" w:type="dxa"/>
            </w:tcMar>
            <w:vAlign w:val="center"/>
          </w:tcPr>
          <w:p>
            <w:pPr>
              <w:pStyle w:val="TableContents"/>
              <w:bidi w:val="0"/>
              <w:spacing w:before="0" w:after="283"/>
              <w:jc w:val="right"/>
              <w:rPr/>
            </w:pPr>
            <w:r>
              <w:rPr/>
              <w:t>(0.07</w:t>
            </w:r>
          </w:p>
        </w:tc>
        <w:tc>
          <w:tcPr>
            <w:tcW w:w="95" w:type="dxa"/>
            <w:tcBorders>
              <w:bottom w:val="single" w:sz="12" w:space="0" w:color="000000"/>
            </w:tcBorders>
            <w:shd w:fill="E6EFFF" w:val="clear"/>
            <w:tcMar>
              <w:bottom w:w="28" w:type="dxa"/>
            </w:tcMar>
            <w:vAlign w:val="center"/>
          </w:tcPr>
          <w:p>
            <w:pPr>
              <w:pStyle w:val="TableContents"/>
              <w:bidi w:val="0"/>
              <w:spacing w:before="0" w:after="283"/>
              <w:jc w:val="left"/>
              <w:rPr/>
            </w:pPr>
            <w:r>
              <w:rPr/>
              <w:t>)</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E6EFFF" w:val="clear"/>
            <w:tcMar>
              <w:bottom w:w="28" w:type="dxa"/>
            </w:tcMar>
            <w:vAlign w:val="center"/>
          </w:tcPr>
          <w:p>
            <w:pPr>
              <w:pStyle w:val="TableContents"/>
              <w:bidi w:val="0"/>
              <w:spacing w:before="0" w:after="283"/>
              <w:jc w:val="right"/>
              <w:rPr/>
            </w:pPr>
            <w:r>
              <w:rPr/>
              <w:t>(0.07</w:t>
            </w:r>
          </w:p>
        </w:tc>
        <w:tc>
          <w:tcPr>
            <w:tcW w:w="110" w:type="dxa"/>
            <w:tcBorders>
              <w:bottom w:val="single" w:sz="12" w:space="0" w:color="000000"/>
            </w:tcBorders>
            <w:shd w:fill="E6EFFF" w:val="clear"/>
            <w:tcMar>
              <w:bottom w:w="28" w:type="dxa"/>
            </w:tcMar>
            <w:vAlign w:val="center"/>
          </w:tcPr>
          <w:p>
            <w:pPr>
              <w:pStyle w:val="TableContents"/>
              <w:bidi w:val="0"/>
              <w:spacing w:before="0" w:after="283"/>
              <w:ind w:left="0" w:right="0" w:hanging="284"/>
              <w:jc w:val="left"/>
              <w:rPr/>
            </w:pPr>
            <w:r>
              <w:rPr/>
              <w:t>)</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284"/>
              <w:jc w:val="left"/>
              <w:rPr/>
            </w:pPr>
            <w:r>
              <w:rPr/>
              <w:t> </w:t>
            </w:r>
          </w:p>
        </w:tc>
      </w:tr>
      <w:tr>
        <w:trPr/>
        <w:tc>
          <w:tcPr>
            <w:tcW w:w="5705" w:type="dxa"/>
            <w:tcBorders>
              <w:bottom w:val="single" w:sz="12" w:space="0" w:color="000000"/>
            </w:tcBorders>
            <w:shd w:fill="E6EFFF" w:val="clear"/>
            <w:tcMar>
              <w:bottom w:w="28" w:type="dxa"/>
            </w:tcMar>
            <w:vAlign w:val="center"/>
          </w:tcPr>
          <w:p>
            <w:pPr>
              <w:pStyle w:val="TableContents"/>
              <w:bidi w:val="0"/>
              <w:spacing w:before="0" w:after="283"/>
              <w:jc w:val="left"/>
              <w:rPr/>
            </w:pPr>
            <w:r>
              <w:rPr/>
              <w:t>Weighted average shares outstanding</w:t>
              <w:br/>
              <w:t>(Note 10 (e))</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E6EFFF" w:val="clear"/>
            <w:tcMar>
              <w:bottom w:w="28" w:type="dxa"/>
            </w:tcMar>
            <w:vAlign w:val="center"/>
          </w:tcPr>
          <w:p>
            <w:pPr>
              <w:pStyle w:val="TableContents"/>
              <w:bidi w:val="0"/>
              <w:spacing w:before="0" w:after="283"/>
              <w:jc w:val="right"/>
              <w:rPr/>
            </w:pPr>
            <w:r>
              <w:rPr/>
              <w:t>321,470,166</w:t>
            </w:r>
          </w:p>
        </w:tc>
        <w:tc>
          <w:tcPr>
            <w:tcW w:w="95"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E6EFFF" w:val="clear"/>
            <w:tcMar>
              <w:bottom w:w="28" w:type="dxa"/>
            </w:tcMar>
            <w:vAlign w:val="center"/>
          </w:tcPr>
          <w:p>
            <w:pPr>
              <w:pStyle w:val="TableContents"/>
              <w:bidi w:val="0"/>
              <w:spacing w:before="0" w:after="283"/>
              <w:jc w:val="right"/>
              <w:rPr/>
            </w:pPr>
            <w:r>
              <w:rPr/>
              <w:t>311,599,658</w:t>
            </w:r>
          </w:p>
        </w:tc>
        <w:tc>
          <w:tcPr>
            <w:tcW w:w="11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The accompanying notes are an integral part of these consolidated financial statements</w:t>
        <w:br/>
        <w:t>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1" w:name="page_8"/>
      <w:bookmarkEnd w:id="21"/>
      <w:r>
        <w:rPr>
          <w:b/>
        </w:rPr>
        <w:t>SMALL PHARMA INC.</w:t>
      </w:r>
      <w:r>
        <w:rPr/>
        <w:br/>
        <w:t>(formerly, Unilock Capital Corp.)</w:t>
        <w:br/>
        <w:t>Consolidated Statements of Changes in Equity (Deficit)</w:t>
        <w:br/>
        <w:t>(Expressed in Canadian dollars)</w:t>
      </w:r>
    </w:p>
    <w:tbl>
      <w:tblPr>
        <w:tblW w:w="10205" w:type="dxa"/>
        <w:jc w:val="left"/>
        <w:tblInd w:w="0" w:type="dxa"/>
        <w:tblLayout w:type="fixed"/>
        <w:tblCellMar>
          <w:top w:w="0" w:type="dxa"/>
          <w:left w:w="0" w:type="dxa"/>
          <w:bottom w:w="0" w:type="dxa"/>
          <w:right w:w="0" w:type="dxa"/>
        </w:tblCellMar>
      </w:tblPr>
      <w:tblGrid>
        <w:gridCol w:w="1948"/>
        <w:gridCol w:w="60"/>
        <w:gridCol w:w="1220"/>
        <w:gridCol w:w="95"/>
        <w:gridCol w:w="60"/>
        <w:gridCol w:w="1100"/>
        <w:gridCol w:w="95"/>
        <w:gridCol w:w="60"/>
        <w:gridCol w:w="1175"/>
        <w:gridCol w:w="95"/>
        <w:gridCol w:w="60"/>
        <w:gridCol w:w="1445"/>
        <w:gridCol w:w="95"/>
        <w:gridCol w:w="60"/>
        <w:gridCol w:w="1175"/>
        <w:gridCol w:w="95"/>
        <w:gridCol w:w="60"/>
        <w:gridCol w:w="1227"/>
        <w:gridCol w:w="80"/>
      </w:tblGrid>
      <w:tr>
        <w:trPr/>
        <w:tc>
          <w:tcPr>
            <w:tcW w:w="19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75" w:type="dxa"/>
            <w:gridSpan w:val="4"/>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19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75" w:type="dxa"/>
            <w:gridSpan w:val="4"/>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Share-based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t>other</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Total</w:t>
            </w:r>
          </w:p>
        </w:tc>
        <w:tc>
          <w:tcPr>
            <w:tcW w:w="80" w:type="dxa"/>
            <w:tcBorders/>
            <w:vAlign w:val="center"/>
          </w:tcPr>
          <w:p>
            <w:pPr>
              <w:pStyle w:val="TableContents"/>
              <w:bidi w:val="0"/>
              <w:spacing w:before="0" w:after="283"/>
              <w:jc w:val="left"/>
              <w:rPr/>
            </w:pPr>
            <w:r>
              <w:rPr/>
              <w:t> </w:t>
            </w:r>
          </w:p>
        </w:tc>
      </w:tr>
      <w:tr>
        <w:trPr/>
        <w:tc>
          <w:tcPr>
            <w:tcW w:w="19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75" w:type="dxa"/>
            <w:gridSpan w:val="4"/>
            <w:tcBorders>
              <w:bottom w:val="single" w:sz="6" w:space="0" w:color="000000"/>
            </w:tcBorders>
            <w:tcMar>
              <w:bottom w:w="28" w:type="dxa"/>
            </w:tcMar>
            <w:vAlign w:val="center"/>
          </w:tcPr>
          <w:p>
            <w:pPr>
              <w:pStyle w:val="TableContents"/>
              <w:bidi w:val="0"/>
              <w:spacing w:before="0" w:after="283"/>
              <w:jc w:val="center"/>
              <w:rPr/>
            </w:pPr>
            <w:r>
              <w:rPr/>
              <w:t>Share 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payment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t>comprehensive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shareholders'</w:t>
            </w:r>
          </w:p>
        </w:tc>
        <w:tc>
          <w:tcPr>
            <w:tcW w:w="80" w:type="dxa"/>
            <w:tcBorders/>
            <w:vAlign w:val="center"/>
          </w:tcPr>
          <w:p>
            <w:pPr>
              <w:pStyle w:val="TableContents"/>
              <w:bidi w:val="0"/>
              <w:spacing w:before="0" w:after="283"/>
              <w:jc w:val="left"/>
              <w:rPr/>
            </w:pPr>
            <w:r>
              <w:rPr/>
              <w:t> </w:t>
            </w:r>
          </w:p>
        </w:tc>
      </w:tr>
      <w:tr>
        <w:trPr/>
        <w:tc>
          <w:tcPr>
            <w:tcW w:w="19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tcBorders/>
            <w:vAlign w:val="center"/>
          </w:tcPr>
          <w:p>
            <w:pPr>
              <w:pStyle w:val="TableContents"/>
              <w:bidi w:val="0"/>
              <w:spacing w:before="0" w:after="283"/>
              <w:jc w:val="center"/>
              <w:rPr/>
            </w:pPr>
            <w:r>
              <w:rPr/>
              <w:t>Number of</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reserve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t>loss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equity (deficit)</w:t>
            </w:r>
          </w:p>
        </w:tc>
        <w:tc>
          <w:tcPr>
            <w:tcW w:w="80" w:type="dxa"/>
            <w:tcBorders/>
            <w:vAlign w:val="center"/>
          </w:tcPr>
          <w:p>
            <w:pPr>
              <w:pStyle w:val="TableContents"/>
              <w:bidi w:val="0"/>
              <w:spacing w:before="0" w:after="283"/>
              <w:jc w:val="left"/>
              <w:rPr/>
            </w:pPr>
            <w:r>
              <w:rPr/>
              <w:t> </w:t>
            </w:r>
          </w:p>
        </w:tc>
      </w:tr>
      <w:tr>
        <w:trPr/>
        <w:tc>
          <w:tcPr>
            <w:tcW w:w="1948"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20" w:type="dxa"/>
            <w:tcBorders>
              <w:bottom w:val="single" w:sz="6" w:space="0" w:color="000000"/>
            </w:tcBorders>
            <w:tcMar>
              <w:bottom w:w="28" w:type="dxa"/>
            </w:tcMar>
            <w:vAlign w:val="center"/>
          </w:tcPr>
          <w:p>
            <w:pPr>
              <w:pStyle w:val="TableContents"/>
              <w:bidi w:val="0"/>
              <w:spacing w:before="0" w:after="283"/>
              <w:jc w:val="center"/>
              <w:rPr/>
            </w:pPr>
            <w:r>
              <w:rPr/>
              <w:t>shares</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75"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75"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27" w:type="dxa"/>
            <w:tcBorders>
              <w:bottom w:val="single" w:sz="6" w:space="0" w:color="000000"/>
            </w:tcBorders>
            <w:tcMar>
              <w:bottom w:w="28" w:type="dxa"/>
            </w:tcMar>
            <w:vAlign w:val="center"/>
          </w:tcPr>
          <w:p>
            <w:pPr>
              <w:pStyle w:val="TableContents"/>
              <w:bidi w:val="0"/>
              <w:spacing w:before="0" w:after="283"/>
              <w:jc w:val="center"/>
              <w:rPr/>
            </w:pPr>
            <w:r>
              <w:rPr/>
              <w:t>$</w:t>
            </w:r>
          </w:p>
        </w:tc>
        <w:tc>
          <w:tcPr>
            <w:tcW w:w="8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300"/>
              <w:jc w:val="left"/>
              <w:rPr/>
            </w:pPr>
            <w:r>
              <w:rPr/>
              <w:t> </w:t>
            </w:r>
          </w:p>
        </w:tc>
      </w:tr>
      <w:tr>
        <w:trPr/>
        <w:tc>
          <w:tcPr>
            <w:tcW w:w="1948" w:type="dxa"/>
            <w:tcBorders/>
            <w:shd w:fill="E6EFFF" w:val="clear"/>
            <w:vAlign w:val="center"/>
          </w:tcPr>
          <w:p>
            <w:pPr>
              <w:pStyle w:val="TableContents"/>
              <w:bidi w:val="0"/>
              <w:spacing w:before="0" w:after="283"/>
              <w:jc w:val="left"/>
              <w:rPr/>
            </w:pPr>
            <w:r>
              <w:rPr/>
              <w:t>Balance, March 1, 2022</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319,625,487</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69,970,184</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3,009,042</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445" w:type="dxa"/>
            <w:tcBorders/>
            <w:shd w:fill="E6EFFF" w:val="clear"/>
            <w:vAlign w:val="center"/>
          </w:tcPr>
          <w:p>
            <w:pPr>
              <w:pStyle w:val="TableContents"/>
              <w:bidi w:val="0"/>
              <w:spacing w:before="0" w:after="283"/>
              <w:jc w:val="right"/>
              <w:rPr/>
            </w:pPr>
            <w:r>
              <w:rPr/>
              <w:t>(193,657</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(31,708,958</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41,076,611</w:t>
            </w:r>
          </w:p>
        </w:tc>
        <w:tc>
          <w:tcPr>
            <w:tcW w:w="80" w:type="dxa"/>
            <w:tcBorders/>
            <w:shd w:fill="E6EFFF" w:val="clear"/>
            <w:vAlign w:val="center"/>
          </w:tcPr>
          <w:p>
            <w:pPr>
              <w:pStyle w:val="TableContents"/>
              <w:bidi w:val="0"/>
              <w:spacing w:before="0" w:after="283"/>
              <w:ind w:left="0" w:right="0" w:hanging="300"/>
              <w:jc w:val="left"/>
              <w:rPr/>
            </w:pPr>
            <w:r>
              <w:rPr/>
              <w:t> </w:t>
            </w:r>
          </w:p>
        </w:tc>
      </w:tr>
      <w:tr>
        <w:trPr/>
        <w:tc>
          <w:tcPr>
            <w:tcW w:w="1948" w:type="dxa"/>
            <w:tcBorders/>
            <w:vAlign w:val="center"/>
          </w:tcPr>
          <w:p>
            <w:pPr>
              <w:pStyle w:val="TableContents"/>
              <w:bidi w:val="0"/>
              <w:spacing w:before="0" w:after="283"/>
              <w:jc w:val="left"/>
              <w:rPr/>
            </w:pPr>
            <w:r>
              <w:rPr/>
              <w:t>Shares issued pursuant to exercise of stock options</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3,725,000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140,307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(80,441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59,866</w:t>
            </w:r>
          </w:p>
        </w:tc>
        <w:tc>
          <w:tcPr>
            <w:tcW w:w="80" w:type="dxa"/>
            <w:tcBorders/>
            <w:vAlign w:val="center"/>
          </w:tcPr>
          <w:p>
            <w:pPr>
              <w:pStyle w:val="TableContents"/>
              <w:bidi w:val="0"/>
              <w:spacing w:before="0" w:after="283"/>
              <w:ind w:left="0" w:right="0" w:hanging="300"/>
              <w:jc w:val="left"/>
              <w:rPr/>
            </w:pPr>
            <w:r>
              <w:rPr/>
              <w:t> </w:t>
            </w:r>
          </w:p>
        </w:tc>
      </w:tr>
      <w:tr>
        <w:trPr/>
        <w:tc>
          <w:tcPr>
            <w:tcW w:w="1948" w:type="dxa"/>
            <w:tcBorders/>
            <w:shd w:fill="E6EFFF" w:val="clear"/>
            <w:vAlign w:val="center"/>
          </w:tcPr>
          <w:p>
            <w:pPr>
              <w:pStyle w:val="TableContents"/>
              <w:bidi w:val="0"/>
              <w:spacing w:before="0" w:after="283"/>
              <w:jc w:val="left"/>
              <w:rPr/>
            </w:pPr>
            <w:r>
              <w:rPr/>
              <w:t>Purchase of shares through normal course issuer bid for cancellation (Note 10 (b))</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(1,788,000</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(387,684</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44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(95,356</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(483,040</w:t>
            </w:r>
          </w:p>
        </w:tc>
        <w:tc>
          <w:tcPr>
            <w:tcW w:w="80" w:type="dxa"/>
            <w:tcBorders/>
            <w:shd w:fill="E6EFFF" w:val="clear"/>
            <w:vAlign w:val="center"/>
          </w:tcPr>
          <w:p>
            <w:pPr>
              <w:pStyle w:val="TableContents"/>
              <w:bidi w:val="0"/>
              <w:spacing w:before="0" w:after="283"/>
              <w:ind w:left="0" w:right="0" w:hanging="300"/>
              <w:jc w:val="left"/>
              <w:rPr/>
            </w:pPr>
            <w:r>
              <w:rPr/>
              <w:t>)</w:t>
            </w:r>
          </w:p>
        </w:tc>
      </w:tr>
      <w:tr>
        <w:trPr/>
        <w:tc>
          <w:tcPr>
            <w:tcW w:w="1948" w:type="dxa"/>
            <w:tcBorders/>
            <w:vAlign w:val="center"/>
          </w:tcPr>
          <w:p>
            <w:pPr>
              <w:pStyle w:val="TableContents"/>
              <w:bidi w:val="0"/>
              <w:spacing w:before="0" w:after="283"/>
              <w:jc w:val="left"/>
              <w:rPr/>
            </w:pPr>
            <w:r>
              <w:rPr/>
              <w:t>Share-based payment expense</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1,188,611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1,188,611</w:t>
            </w:r>
          </w:p>
        </w:tc>
        <w:tc>
          <w:tcPr>
            <w:tcW w:w="80" w:type="dxa"/>
            <w:tcBorders/>
            <w:vAlign w:val="center"/>
          </w:tcPr>
          <w:p>
            <w:pPr>
              <w:pStyle w:val="TableContents"/>
              <w:bidi w:val="0"/>
              <w:spacing w:before="0" w:after="283"/>
              <w:ind w:left="0" w:right="0" w:hanging="300"/>
              <w:jc w:val="left"/>
              <w:rPr/>
            </w:pPr>
            <w:r>
              <w:rPr/>
              <w:t> </w:t>
            </w:r>
          </w:p>
        </w:tc>
      </w:tr>
      <w:tr>
        <w:trPr/>
        <w:tc>
          <w:tcPr>
            <w:tcW w:w="1948" w:type="dxa"/>
            <w:tcBorders/>
            <w:shd w:fill="E6EFFF" w:val="clear"/>
            <w:vAlign w:val="center"/>
          </w:tcPr>
          <w:p>
            <w:pPr>
              <w:pStyle w:val="TableContents"/>
              <w:bidi w:val="0"/>
              <w:spacing w:before="0" w:after="283"/>
              <w:jc w:val="left"/>
              <w:rPr/>
            </w:pPr>
            <w:r>
              <w:rPr/>
              <w:t>Foreign currency translation loss</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right"/>
              <w:rPr/>
            </w:pPr>
            <w:r>
              <w:rPr/>
              <w:t> </w:t>
            </w:r>
          </w:p>
        </w:tc>
        <w:tc>
          <w:tcPr>
            <w:tcW w:w="60" w:type="dxa"/>
            <w:tcBorders/>
            <w:shd w:fill="E6EFFF" w:val="clear"/>
            <w:vAlign w:val="center"/>
          </w:tcPr>
          <w:p>
            <w:pPr>
              <w:pStyle w:val="TableContents"/>
              <w:bidi w:val="0"/>
              <w:spacing w:before="0" w:after="283"/>
              <w:jc w:val="right"/>
              <w:rPr/>
            </w:pPr>
            <w:r>
              <w:rPr/>
              <w:t> </w:t>
            </w:r>
          </w:p>
        </w:tc>
        <w:tc>
          <w:tcPr>
            <w:tcW w:w="1100"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right"/>
              <w:rPr/>
            </w:pPr>
            <w:r>
              <w:rPr/>
              <w:t> </w:t>
            </w:r>
          </w:p>
        </w:tc>
        <w:tc>
          <w:tcPr>
            <w:tcW w:w="60" w:type="dxa"/>
            <w:tcBorders/>
            <w:shd w:fill="E6EFFF" w:val="clear"/>
            <w:vAlign w:val="center"/>
          </w:tcPr>
          <w:p>
            <w:pPr>
              <w:pStyle w:val="TableContents"/>
              <w:bidi w:val="0"/>
              <w:spacing w:before="0" w:after="283"/>
              <w:jc w:val="right"/>
              <w:rPr/>
            </w:pPr>
            <w:r>
              <w:rPr/>
              <w:t> </w:t>
            </w:r>
          </w:p>
        </w:tc>
        <w:tc>
          <w:tcPr>
            <w:tcW w:w="117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445" w:type="dxa"/>
            <w:tcBorders/>
            <w:shd w:fill="E6EFFF" w:val="clear"/>
            <w:vAlign w:val="center"/>
          </w:tcPr>
          <w:p>
            <w:pPr>
              <w:pStyle w:val="TableContents"/>
              <w:bidi w:val="0"/>
              <w:spacing w:before="0" w:after="283"/>
              <w:jc w:val="right"/>
              <w:rPr/>
            </w:pPr>
            <w:r>
              <w:rPr/>
              <w:t>(1,849,354</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(1,849,354</w:t>
            </w:r>
          </w:p>
        </w:tc>
        <w:tc>
          <w:tcPr>
            <w:tcW w:w="80" w:type="dxa"/>
            <w:tcBorders/>
            <w:shd w:fill="E6EFFF" w:val="clear"/>
            <w:vAlign w:val="center"/>
          </w:tcPr>
          <w:p>
            <w:pPr>
              <w:pStyle w:val="TableContents"/>
              <w:bidi w:val="0"/>
              <w:spacing w:before="0" w:after="283"/>
              <w:ind w:left="0" w:right="0" w:hanging="300"/>
              <w:jc w:val="left"/>
              <w:rPr/>
            </w:pPr>
            <w:r>
              <w:rPr/>
              <w:t>)</w:t>
            </w:r>
          </w:p>
        </w:tc>
      </w:tr>
      <w:tr>
        <w:trPr/>
        <w:tc>
          <w:tcPr>
            <w:tcW w:w="1948" w:type="dxa"/>
            <w:tcBorders>
              <w:bottom w:val="single" w:sz="6" w:space="0" w:color="000000"/>
            </w:tcBorders>
            <w:tcMar>
              <w:bottom w:w="28" w:type="dxa"/>
            </w:tcMar>
            <w:vAlign w:val="center"/>
          </w:tcPr>
          <w:p>
            <w:pPr>
              <w:pStyle w:val="TableContents"/>
              <w:bidi w:val="0"/>
              <w:spacing w:before="0" w:after="283"/>
              <w:jc w:val="left"/>
              <w:rPr/>
            </w:pPr>
            <w:r>
              <w:rPr/>
              <w:t>Net loss for the year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00" w:type="dxa"/>
            <w:tcBorders>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75" w:type="dxa"/>
            <w:tcBorders>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right"/>
              <w:rPr/>
            </w:pPr>
            <w:r>
              <w:rPr/>
              <w:t>(22,836,213</w:t>
            </w:r>
          </w:p>
        </w:tc>
        <w:tc>
          <w:tcPr>
            <w:tcW w:w="95" w:type="dxa"/>
            <w:tcBorders>
              <w:bottom w:val="single" w:sz="6" w:space="0" w:color="000000"/>
            </w:tcBorders>
            <w:tcMar>
              <w:bottom w:w="28" w:type="dxa"/>
            </w:tcMar>
            <w:vAlign w:val="center"/>
          </w:tcPr>
          <w:p>
            <w:pPr>
              <w:pStyle w:val="TableContents"/>
              <w:bidi w:val="0"/>
              <w:spacing w:before="0" w:after="283"/>
              <w:jc w:val="lef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(22,836,213</w:t>
            </w:r>
          </w:p>
        </w:tc>
        <w:tc>
          <w:tcPr>
            <w:tcW w:w="80" w:type="dxa"/>
            <w:tcBorders>
              <w:bottom w:val="single" w:sz="6" w:space="0" w:color="000000"/>
            </w:tcBorders>
            <w:tcMar>
              <w:bottom w:w="28" w:type="dxa"/>
            </w:tcMar>
            <w:vAlign w:val="center"/>
          </w:tcPr>
          <w:p>
            <w:pPr>
              <w:pStyle w:val="TableContents"/>
              <w:bidi w:val="0"/>
              <w:spacing w:before="0" w:after="283"/>
              <w:ind w:left="0" w:right="0" w:hanging="300"/>
              <w:jc w:val="left"/>
              <w:rPr/>
            </w:pPr>
            <w:r>
              <w:rPr/>
              <w:t>)</w:t>
            </w:r>
          </w:p>
        </w:tc>
      </w:tr>
      <w:tr>
        <w:trPr/>
        <w:tc>
          <w:tcPr>
            <w:tcW w:w="1948" w:type="dxa"/>
            <w:tcBorders>
              <w:bottom w:val="single" w:sz="12" w:space="0" w:color="000000"/>
            </w:tcBorders>
            <w:shd w:fill="E6EFFF" w:val="clear"/>
            <w:tcMar>
              <w:bottom w:w="28" w:type="dxa"/>
            </w:tcMar>
            <w:vAlign w:val="center"/>
          </w:tcPr>
          <w:p>
            <w:pPr>
              <w:pStyle w:val="TableContents"/>
              <w:bidi w:val="0"/>
              <w:spacing w:before="0" w:after="283"/>
              <w:jc w:val="left"/>
              <w:rPr/>
            </w:pPr>
            <w:r>
              <w:rPr/>
              <w:t>Balance, February 28, 2023</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E6EFFF" w:val="clear"/>
            <w:tcMar>
              <w:bottom w:w="28" w:type="dxa"/>
            </w:tcMar>
            <w:vAlign w:val="center"/>
          </w:tcPr>
          <w:p>
            <w:pPr>
              <w:pStyle w:val="TableContents"/>
              <w:bidi w:val="0"/>
              <w:spacing w:before="0" w:after="283"/>
              <w:jc w:val="right"/>
              <w:rPr/>
            </w:pPr>
            <w:r>
              <w:rPr/>
              <w:t>321,562,487</w:t>
            </w:r>
          </w:p>
        </w:tc>
        <w:tc>
          <w:tcPr>
            <w:tcW w:w="95"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E6EFFF" w:val="clear"/>
            <w:tcMar>
              <w:bottom w:w="28" w:type="dxa"/>
            </w:tcMar>
            <w:vAlign w:val="center"/>
          </w:tcPr>
          <w:p>
            <w:pPr>
              <w:pStyle w:val="TableContents"/>
              <w:bidi w:val="0"/>
              <w:spacing w:before="0" w:after="283"/>
              <w:jc w:val="right"/>
              <w:rPr/>
            </w:pPr>
            <w:r>
              <w:rPr/>
              <w:t>69,722,807</w:t>
            </w:r>
          </w:p>
        </w:tc>
        <w:tc>
          <w:tcPr>
            <w:tcW w:w="95"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E6EFFF" w:val="clear"/>
            <w:tcMar>
              <w:bottom w:w="28" w:type="dxa"/>
            </w:tcMar>
            <w:vAlign w:val="center"/>
          </w:tcPr>
          <w:p>
            <w:pPr>
              <w:pStyle w:val="TableContents"/>
              <w:bidi w:val="0"/>
              <w:spacing w:before="0" w:after="283"/>
              <w:jc w:val="right"/>
              <w:rPr/>
            </w:pPr>
            <w:r>
              <w:rPr/>
              <w:t>4,117,212</w:t>
            </w:r>
          </w:p>
        </w:tc>
        <w:tc>
          <w:tcPr>
            <w:tcW w:w="95"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445" w:type="dxa"/>
            <w:tcBorders>
              <w:bottom w:val="single" w:sz="12" w:space="0" w:color="000000"/>
            </w:tcBorders>
            <w:shd w:fill="E6EFFF" w:val="clear"/>
            <w:tcMar>
              <w:bottom w:w="28" w:type="dxa"/>
            </w:tcMar>
            <w:vAlign w:val="center"/>
          </w:tcPr>
          <w:p>
            <w:pPr>
              <w:pStyle w:val="TableContents"/>
              <w:bidi w:val="0"/>
              <w:spacing w:before="0" w:after="283"/>
              <w:jc w:val="right"/>
              <w:rPr/>
            </w:pPr>
            <w:r>
              <w:rPr/>
              <w:t>(2,043,011</w:t>
            </w:r>
          </w:p>
        </w:tc>
        <w:tc>
          <w:tcPr>
            <w:tcW w:w="95" w:type="dxa"/>
            <w:tcBorders>
              <w:bottom w:val="single" w:sz="12" w:space="0" w:color="000000"/>
            </w:tcBorders>
            <w:shd w:fill="E6EFFF" w:val="clear"/>
            <w:tcMar>
              <w:bottom w:w="28" w:type="dxa"/>
            </w:tcMar>
            <w:vAlign w:val="center"/>
          </w:tcPr>
          <w:p>
            <w:pPr>
              <w:pStyle w:val="TableContents"/>
              <w:bidi w:val="0"/>
              <w:spacing w:before="0" w:after="283"/>
              <w:jc w:val="left"/>
              <w:rPr/>
            </w:pPr>
            <w:r>
              <w:rPr/>
              <w:t>)</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E6EFFF" w:val="clear"/>
            <w:tcMar>
              <w:bottom w:w="28" w:type="dxa"/>
            </w:tcMar>
            <w:vAlign w:val="center"/>
          </w:tcPr>
          <w:p>
            <w:pPr>
              <w:pStyle w:val="TableContents"/>
              <w:bidi w:val="0"/>
              <w:spacing w:before="0" w:after="283"/>
              <w:jc w:val="right"/>
              <w:rPr/>
            </w:pPr>
            <w:r>
              <w:rPr/>
              <w:t>(54,640,527</w:t>
            </w:r>
          </w:p>
        </w:tc>
        <w:tc>
          <w:tcPr>
            <w:tcW w:w="95" w:type="dxa"/>
            <w:tcBorders>
              <w:bottom w:val="single" w:sz="12" w:space="0" w:color="000000"/>
            </w:tcBorders>
            <w:shd w:fill="E6EFFF" w:val="clear"/>
            <w:tcMar>
              <w:bottom w:w="28" w:type="dxa"/>
            </w:tcMar>
            <w:vAlign w:val="center"/>
          </w:tcPr>
          <w:p>
            <w:pPr>
              <w:pStyle w:val="TableContents"/>
              <w:bidi w:val="0"/>
              <w:spacing w:before="0" w:after="283"/>
              <w:jc w:val="left"/>
              <w:rPr/>
            </w:pPr>
            <w:r>
              <w:rPr/>
              <w:t>)</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E6EFFF" w:val="clear"/>
            <w:tcMar>
              <w:bottom w:w="28" w:type="dxa"/>
            </w:tcMar>
            <w:vAlign w:val="center"/>
          </w:tcPr>
          <w:p>
            <w:pPr>
              <w:pStyle w:val="TableContents"/>
              <w:bidi w:val="0"/>
              <w:spacing w:before="0" w:after="283"/>
              <w:jc w:val="right"/>
              <w:rPr/>
            </w:pPr>
            <w:r>
              <w:rPr/>
              <w:t>17,156,481</w:t>
            </w:r>
          </w:p>
        </w:tc>
        <w:tc>
          <w:tcPr>
            <w:tcW w:w="8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The accompanying notes are an integral part of these consolidated financial statements</w:t>
        <w:br/>
        <w:t>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2" w:name="page_9"/>
      <w:bookmarkEnd w:id="22"/>
      <w:r>
        <w:rPr>
          <w:b/>
        </w:rPr>
        <w:t>SMALL PHARMA INC.</w:t>
      </w:r>
      <w:r>
        <w:rPr/>
        <w:br/>
        <w:t>(formerly, Unilock Capital Corp.)</w:t>
        <w:br/>
        <w:t>Consolidated Statements of Changes in Equity (Deficit)</w:t>
        <w:br/>
        <w:t>(Expressed in Canadian dollars)</w:t>
      </w:r>
    </w:p>
    <w:tbl>
      <w:tblPr>
        <w:tblW w:w="10205" w:type="dxa"/>
        <w:jc w:val="left"/>
        <w:tblInd w:w="0" w:type="dxa"/>
        <w:tblLayout w:type="fixed"/>
        <w:tblCellMar>
          <w:top w:w="0" w:type="dxa"/>
          <w:left w:w="0" w:type="dxa"/>
          <w:bottom w:w="0" w:type="dxa"/>
          <w:right w:w="0" w:type="dxa"/>
        </w:tblCellMar>
      </w:tblPr>
      <w:tblGrid>
        <w:gridCol w:w="1943"/>
        <w:gridCol w:w="60"/>
        <w:gridCol w:w="1220"/>
        <w:gridCol w:w="60"/>
        <w:gridCol w:w="60"/>
        <w:gridCol w:w="1100"/>
        <w:gridCol w:w="95"/>
        <w:gridCol w:w="60"/>
        <w:gridCol w:w="1175"/>
        <w:gridCol w:w="95"/>
        <w:gridCol w:w="60"/>
        <w:gridCol w:w="1445"/>
        <w:gridCol w:w="95"/>
        <w:gridCol w:w="60"/>
        <w:gridCol w:w="1175"/>
        <w:gridCol w:w="95"/>
        <w:gridCol w:w="60"/>
        <w:gridCol w:w="1268"/>
        <w:gridCol w:w="79"/>
      </w:tblGrid>
      <w:tr>
        <w:trPr/>
        <w:tc>
          <w:tcPr>
            <w:tcW w:w="19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8" w:type="dxa"/>
            <w:tcBorders/>
            <w:vAlign w:val="center"/>
          </w:tcPr>
          <w:p>
            <w:pPr>
              <w:pStyle w:val="TableContents"/>
              <w:bidi w:val="0"/>
              <w:spacing w:before="0" w:after="283"/>
              <w:jc w:val="center"/>
              <w:rPr/>
            </w:pPr>
            <w:r>
              <w:rPr/>
              <w:t>Total</w:t>
            </w:r>
          </w:p>
        </w:tc>
        <w:tc>
          <w:tcPr>
            <w:tcW w:w="79" w:type="dxa"/>
            <w:tcBorders/>
            <w:vAlign w:val="center"/>
          </w:tcPr>
          <w:p>
            <w:pPr>
              <w:pStyle w:val="TableContents"/>
              <w:bidi w:val="0"/>
              <w:spacing w:before="0" w:after="283"/>
              <w:jc w:val="left"/>
              <w:rPr/>
            </w:pPr>
            <w:r>
              <w:rPr/>
              <w:t> </w:t>
            </w:r>
          </w:p>
        </w:tc>
      </w:tr>
      <w:tr>
        <w:trPr/>
        <w:tc>
          <w:tcPr>
            <w:tcW w:w="19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Share-based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t>other</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8" w:type="dxa"/>
            <w:tcBorders/>
            <w:vAlign w:val="center"/>
          </w:tcPr>
          <w:p>
            <w:pPr>
              <w:pStyle w:val="TableContents"/>
              <w:bidi w:val="0"/>
              <w:spacing w:before="0" w:after="283"/>
              <w:jc w:val="center"/>
              <w:rPr/>
            </w:pPr>
            <w:r>
              <w:rPr/>
              <w:t> </w:t>
            </w:r>
            <w:r>
              <w:rPr/>
              <w:t>shareholders'</w:t>
            </w:r>
          </w:p>
        </w:tc>
        <w:tc>
          <w:tcPr>
            <w:tcW w:w="79" w:type="dxa"/>
            <w:tcBorders/>
            <w:vAlign w:val="center"/>
          </w:tcPr>
          <w:p>
            <w:pPr>
              <w:pStyle w:val="TableContents"/>
              <w:bidi w:val="0"/>
              <w:spacing w:before="0" w:after="283"/>
              <w:jc w:val="left"/>
              <w:rPr/>
            </w:pPr>
            <w:r>
              <w:rPr/>
              <w:t> </w:t>
            </w:r>
          </w:p>
        </w:tc>
      </w:tr>
      <w:tr>
        <w:trPr/>
        <w:tc>
          <w:tcPr>
            <w:tcW w:w="19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40" w:type="dxa"/>
            <w:gridSpan w:val="4"/>
            <w:tcBorders>
              <w:bottom w:val="single" w:sz="6" w:space="0" w:color="000000"/>
            </w:tcBorders>
            <w:tcMar>
              <w:bottom w:w="28" w:type="dxa"/>
            </w:tcMar>
            <w:vAlign w:val="center"/>
          </w:tcPr>
          <w:p>
            <w:pPr>
              <w:pStyle w:val="TableContents"/>
              <w:bidi w:val="0"/>
              <w:spacing w:before="0" w:after="283"/>
              <w:jc w:val="center"/>
              <w:rPr/>
            </w:pPr>
            <w:r>
              <w:rPr/>
              <w:t>Share 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payment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t>comprehensive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8" w:type="dxa"/>
            <w:tcBorders/>
            <w:vAlign w:val="center"/>
          </w:tcPr>
          <w:p>
            <w:pPr>
              <w:pStyle w:val="TableContents"/>
              <w:bidi w:val="0"/>
              <w:spacing w:before="0" w:after="283"/>
              <w:jc w:val="center"/>
              <w:rPr/>
            </w:pPr>
            <w:r>
              <w:rPr/>
              <w:t>equity</w:t>
            </w:r>
          </w:p>
        </w:tc>
        <w:tc>
          <w:tcPr>
            <w:tcW w:w="79" w:type="dxa"/>
            <w:tcBorders/>
            <w:vAlign w:val="center"/>
          </w:tcPr>
          <w:p>
            <w:pPr>
              <w:pStyle w:val="TableContents"/>
              <w:bidi w:val="0"/>
              <w:spacing w:before="0" w:after="283"/>
              <w:jc w:val="left"/>
              <w:rPr/>
            </w:pPr>
            <w:r>
              <w:rPr/>
              <w:t> </w:t>
            </w:r>
          </w:p>
        </w:tc>
      </w:tr>
      <w:tr>
        <w:trPr/>
        <w:tc>
          <w:tcPr>
            <w:tcW w:w="19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tcBorders/>
            <w:vAlign w:val="center"/>
          </w:tcPr>
          <w:p>
            <w:pPr>
              <w:pStyle w:val="TableContents"/>
              <w:bidi w:val="0"/>
              <w:spacing w:before="0" w:after="283"/>
              <w:jc w:val="center"/>
              <w:rPr/>
            </w:pPr>
            <w:r>
              <w:rPr/>
              <w:t>Number of</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reserve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t>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8" w:type="dxa"/>
            <w:tcBorders/>
            <w:vAlign w:val="center"/>
          </w:tcPr>
          <w:p>
            <w:pPr>
              <w:pStyle w:val="TableContents"/>
              <w:bidi w:val="0"/>
              <w:spacing w:before="0" w:after="283"/>
              <w:jc w:val="center"/>
              <w:rPr/>
            </w:pPr>
            <w:r>
              <w:rPr/>
              <w:t>(deficit)</w:t>
            </w:r>
          </w:p>
        </w:tc>
        <w:tc>
          <w:tcPr>
            <w:tcW w:w="79" w:type="dxa"/>
            <w:tcBorders/>
            <w:vAlign w:val="center"/>
          </w:tcPr>
          <w:p>
            <w:pPr>
              <w:pStyle w:val="TableContents"/>
              <w:bidi w:val="0"/>
              <w:spacing w:before="0" w:after="283"/>
              <w:jc w:val="left"/>
              <w:rPr/>
            </w:pPr>
            <w:r>
              <w:rPr/>
              <w:t> </w:t>
            </w:r>
          </w:p>
        </w:tc>
      </w:tr>
      <w:tr>
        <w:trPr/>
        <w:tc>
          <w:tcPr>
            <w:tcW w:w="1943"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20" w:type="dxa"/>
            <w:tcBorders>
              <w:bottom w:val="single" w:sz="6" w:space="0" w:color="000000"/>
            </w:tcBorders>
            <w:tcMar>
              <w:bottom w:w="28" w:type="dxa"/>
            </w:tcMar>
            <w:vAlign w:val="center"/>
          </w:tcPr>
          <w:p>
            <w:pPr>
              <w:pStyle w:val="TableContents"/>
              <w:bidi w:val="0"/>
              <w:spacing w:before="0" w:after="283"/>
              <w:jc w:val="center"/>
              <w:rPr/>
            </w:pPr>
            <w:r>
              <w:rPr/>
              <w:t>shares</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75"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75"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68" w:type="dxa"/>
            <w:tcBorders>
              <w:bottom w:val="single" w:sz="6" w:space="0" w:color="000000"/>
            </w:tcBorders>
            <w:tcMar>
              <w:bottom w:w="28" w:type="dxa"/>
            </w:tcMar>
            <w:vAlign w:val="center"/>
          </w:tcPr>
          <w:p>
            <w:pPr>
              <w:pStyle w:val="TableContents"/>
              <w:bidi w:val="0"/>
              <w:spacing w:before="0" w:after="283"/>
              <w:jc w:val="center"/>
              <w:rPr/>
            </w:pPr>
            <w:r>
              <w:rPr/>
              <w:t>$</w:t>
            </w:r>
          </w:p>
        </w:tc>
        <w:tc>
          <w:tcPr>
            <w:tcW w:w="79"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9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300"/>
              <w:jc w:val="left"/>
              <w:rPr/>
            </w:pPr>
            <w:r>
              <w:rPr/>
              <w:t> </w:t>
            </w:r>
          </w:p>
        </w:tc>
      </w:tr>
      <w:tr>
        <w:trPr/>
        <w:tc>
          <w:tcPr>
            <w:tcW w:w="1943" w:type="dxa"/>
            <w:tcBorders/>
            <w:shd w:fill="E6EFFF" w:val="clear"/>
            <w:vAlign w:val="center"/>
          </w:tcPr>
          <w:p>
            <w:pPr>
              <w:pStyle w:val="TableContents"/>
              <w:bidi w:val="0"/>
              <w:spacing w:before="0" w:after="283"/>
              <w:jc w:val="left"/>
              <w:rPr/>
            </w:pPr>
            <w:r>
              <w:rPr/>
              <w:t>Balance, February 28, 2021</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228,621,500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3,244,312</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609,564</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445" w:type="dxa"/>
            <w:tcBorders/>
            <w:shd w:fill="E6EFFF" w:val="clear"/>
            <w:vAlign w:val="center"/>
          </w:tcPr>
          <w:p>
            <w:pPr>
              <w:pStyle w:val="TableContents"/>
              <w:bidi w:val="0"/>
              <w:spacing w:before="0" w:after="283"/>
              <w:jc w:val="right"/>
              <w:rPr/>
            </w:pPr>
            <w:r>
              <w:rPr/>
              <w:t>(180,684</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(9,443,274</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68" w:type="dxa"/>
            <w:tcBorders/>
            <w:shd w:fill="E6EFFF" w:val="clear"/>
            <w:vAlign w:val="center"/>
          </w:tcPr>
          <w:p>
            <w:pPr>
              <w:pStyle w:val="TableContents"/>
              <w:bidi w:val="0"/>
              <w:spacing w:before="0" w:after="283"/>
              <w:jc w:val="right"/>
              <w:rPr/>
            </w:pPr>
            <w:r>
              <w:rPr/>
              <w:t>(5,770,082</w:t>
            </w:r>
          </w:p>
        </w:tc>
        <w:tc>
          <w:tcPr>
            <w:tcW w:w="79" w:type="dxa"/>
            <w:tcBorders/>
            <w:shd w:fill="E6EFFF" w:val="clear"/>
            <w:vAlign w:val="center"/>
          </w:tcPr>
          <w:p>
            <w:pPr>
              <w:pStyle w:val="TableContents"/>
              <w:bidi w:val="0"/>
              <w:spacing w:before="0" w:after="283"/>
              <w:ind w:left="0" w:right="0" w:hanging="300"/>
              <w:jc w:val="left"/>
              <w:rPr/>
            </w:pPr>
            <w:r>
              <w:rPr/>
              <w:t>)</w:t>
            </w:r>
          </w:p>
        </w:tc>
      </w:tr>
      <w:tr>
        <w:trPr/>
        <w:tc>
          <w:tcPr>
            <w:tcW w:w="1943" w:type="dxa"/>
            <w:tcBorders/>
            <w:vAlign w:val="center"/>
          </w:tcPr>
          <w:p>
            <w:pPr>
              <w:pStyle w:val="TableContents"/>
              <w:bidi w:val="0"/>
              <w:spacing w:before="0" w:after="283"/>
              <w:jc w:val="left"/>
              <w:rPr/>
            </w:pPr>
            <w:r>
              <w:rPr/>
              <w:t>Shares issued pursuant to exercise of stock options</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15,121,400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463,464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(372,120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right"/>
              <w:rPr/>
            </w:pPr>
            <w:r>
              <w:rPr/>
              <w:t>91,344</w:t>
            </w:r>
          </w:p>
        </w:tc>
        <w:tc>
          <w:tcPr>
            <w:tcW w:w="79" w:type="dxa"/>
            <w:tcBorders/>
            <w:vAlign w:val="center"/>
          </w:tcPr>
          <w:p>
            <w:pPr>
              <w:pStyle w:val="TableContents"/>
              <w:bidi w:val="0"/>
              <w:spacing w:before="0" w:after="283"/>
              <w:ind w:left="0" w:right="0" w:hanging="300"/>
              <w:jc w:val="left"/>
              <w:rPr/>
            </w:pPr>
            <w:r>
              <w:rPr/>
              <w:t> </w:t>
            </w:r>
          </w:p>
        </w:tc>
      </w:tr>
      <w:tr>
        <w:trPr/>
        <w:tc>
          <w:tcPr>
            <w:tcW w:w="1943" w:type="dxa"/>
            <w:tcBorders/>
            <w:shd w:fill="E6EFFF" w:val="clear"/>
            <w:vAlign w:val="center"/>
          </w:tcPr>
          <w:p>
            <w:pPr>
              <w:pStyle w:val="TableContents"/>
              <w:bidi w:val="0"/>
              <w:spacing w:before="0" w:after="283"/>
              <w:jc w:val="left"/>
              <w:rPr/>
            </w:pPr>
            <w:r>
              <w:rPr/>
              <w:t>Shares issued for conversion of notes payable and accrued interest and settlement of derivative liabilities</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14,161,576</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13,188,591</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44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68" w:type="dxa"/>
            <w:tcBorders/>
            <w:shd w:fill="E6EFFF" w:val="clear"/>
            <w:vAlign w:val="center"/>
          </w:tcPr>
          <w:p>
            <w:pPr>
              <w:pStyle w:val="TableContents"/>
              <w:bidi w:val="0"/>
              <w:spacing w:before="0" w:after="283"/>
              <w:jc w:val="right"/>
              <w:rPr/>
            </w:pPr>
            <w:r>
              <w:rPr/>
              <w:t>13,188,591</w:t>
            </w:r>
          </w:p>
        </w:tc>
        <w:tc>
          <w:tcPr>
            <w:tcW w:w="79" w:type="dxa"/>
            <w:tcBorders/>
            <w:shd w:fill="E6EFFF" w:val="clear"/>
            <w:vAlign w:val="center"/>
          </w:tcPr>
          <w:p>
            <w:pPr>
              <w:pStyle w:val="TableContents"/>
              <w:bidi w:val="0"/>
              <w:spacing w:before="0" w:after="283"/>
              <w:ind w:left="0" w:right="0" w:hanging="300"/>
              <w:jc w:val="left"/>
              <w:rPr/>
            </w:pPr>
            <w:r>
              <w:rPr/>
              <w:t> </w:t>
            </w:r>
          </w:p>
        </w:tc>
      </w:tr>
      <w:tr>
        <w:trPr/>
        <w:tc>
          <w:tcPr>
            <w:tcW w:w="1943" w:type="dxa"/>
            <w:tcBorders/>
            <w:vAlign w:val="center"/>
          </w:tcPr>
          <w:p>
            <w:pPr>
              <w:pStyle w:val="TableContents"/>
              <w:bidi w:val="0"/>
              <w:spacing w:before="0" w:after="283"/>
              <w:jc w:val="left"/>
              <w:rPr/>
            </w:pPr>
            <w:r>
              <w:rPr/>
              <w:t>Shares of the Company pursuant to closing of the Qualifying Transaction (Note 3)</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1,304,344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1,252,170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right"/>
              <w:rPr/>
            </w:pPr>
            <w:r>
              <w:rPr/>
              <w:t>1,252,170</w:t>
            </w:r>
          </w:p>
        </w:tc>
        <w:tc>
          <w:tcPr>
            <w:tcW w:w="79" w:type="dxa"/>
            <w:tcBorders/>
            <w:vAlign w:val="center"/>
          </w:tcPr>
          <w:p>
            <w:pPr>
              <w:pStyle w:val="TableContents"/>
              <w:bidi w:val="0"/>
              <w:spacing w:before="0" w:after="283"/>
              <w:ind w:left="0" w:right="0" w:hanging="300"/>
              <w:jc w:val="left"/>
              <w:rPr/>
            </w:pPr>
            <w:r>
              <w:rPr/>
              <w:t> </w:t>
            </w:r>
          </w:p>
        </w:tc>
      </w:tr>
      <w:tr>
        <w:trPr/>
        <w:tc>
          <w:tcPr>
            <w:tcW w:w="1943" w:type="dxa"/>
            <w:tcBorders/>
            <w:shd w:fill="E6EFFF" w:val="clear"/>
            <w:vAlign w:val="center"/>
          </w:tcPr>
          <w:p>
            <w:pPr>
              <w:pStyle w:val="TableContents"/>
              <w:bidi w:val="0"/>
              <w:spacing w:before="0" w:after="283"/>
              <w:jc w:val="left"/>
              <w:rPr/>
            </w:pPr>
            <w:r>
              <w:rPr/>
              <w:t>Shares issued for cash</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60,416,667</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58,000,000</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44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68" w:type="dxa"/>
            <w:tcBorders/>
            <w:shd w:fill="E6EFFF" w:val="clear"/>
            <w:vAlign w:val="center"/>
          </w:tcPr>
          <w:p>
            <w:pPr>
              <w:pStyle w:val="TableContents"/>
              <w:bidi w:val="0"/>
              <w:spacing w:before="0" w:after="283"/>
              <w:jc w:val="right"/>
              <w:rPr/>
            </w:pPr>
            <w:r>
              <w:rPr/>
              <w:t>58,000,000</w:t>
            </w:r>
          </w:p>
        </w:tc>
        <w:tc>
          <w:tcPr>
            <w:tcW w:w="79" w:type="dxa"/>
            <w:tcBorders/>
            <w:shd w:fill="E6EFFF" w:val="clear"/>
            <w:vAlign w:val="center"/>
          </w:tcPr>
          <w:p>
            <w:pPr>
              <w:pStyle w:val="TableContents"/>
              <w:bidi w:val="0"/>
              <w:spacing w:before="0" w:after="283"/>
              <w:ind w:left="0" w:right="0" w:hanging="300"/>
              <w:jc w:val="left"/>
              <w:rPr/>
            </w:pPr>
            <w:r>
              <w:rPr/>
              <w:t> </w:t>
            </w:r>
          </w:p>
        </w:tc>
      </w:tr>
      <w:tr>
        <w:trPr/>
        <w:tc>
          <w:tcPr>
            <w:tcW w:w="1943" w:type="dxa"/>
            <w:tcBorders/>
            <w:vAlign w:val="center"/>
          </w:tcPr>
          <w:p>
            <w:pPr>
              <w:pStyle w:val="TableContents"/>
              <w:bidi w:val="0"/>
              <w:spacing w:before="0" w:after="283"/>
              <w:jc w:val="left"/>
              <w:rPr/>
            </w:pPr>
            <w:r>
              <w:rPr/>
              <w:t>Share issuance costs</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(4,200,618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right"/>
              <w:rPr/>
            </w:pPr>
            <w:r>
              <w:rPr/>
              <w:t>(4,200,618</w:t>
            </w:r>
          </w:p>
        </w:tc>
        <w:tc>
          <w:tcPr>
            <w:tcW w:w="79" w:type="dxa"/>
            <w:tcBorders/>
            <w:vAlign w:val="center"/>
          </w:tcPr>
          <w:p>
            <w:pPr>
              <w:pStyle w:val="TableContents"/>
              <w:bidi w:val="0"/>
              <w:spacing w:before="0" w:after="283"/>
              <w:ind w:left="0" w:right="0" w:hanging="300"/>
              <w:jc w:val="left"/>
              <w:rPr/>
            </w:pPr>
            <w:r>
              <w:rPr/>
              <w:t>)</w:t>
            </w:r>
          </w:p>
        </w:tc>
      </w:tr>
      <w:tr>
        <w:trPr/>
        <w:tc>
          <w:tcPr>
            <w:tcW w:w="1943" w:type="dxa"/>
            <w:tcBorders/>
            <w:shd w:fill="E6EFFF" w:val="clear"/>
            <w:vAlign w:val="center"/>
          </w:tcPr>
          <w:p>
            <w:pPr>
              <w:pStyle w:val="TableContents"/>
              <w:bidi w:val="0"/>
              <w:spacing w:before="0" w:after="283"/>
              <w:jc w:val="left"/>
              <w:rPr/>
            </w:pPr>
            <w:r>
              <w:rPr/>
              <w:t>Fair value of brokers' warrants issued</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(1,977,735</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1,977,735</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44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68" w:type="dxa"/>
            <w:tcBorders/>
            <w:shd w:fill="E6EFFF" w:val="clear"/>
            <w:vAlign w:val="center"/>
          </w:tcPr>
          <w:p>
            <w:pPr>
              <w:pStyle w:val="TableContents"/>
              <w:bidi w:val="0"/>
              <w:spacing w:before="0" w:after="283"/>
              <w:jc w:val="right"/>
              <w:rPr/>
            </w:pPr>
            <w:r>
              <w:rPr/>
              <w:t>-</w:t>
            </w:r>
          </w:p>
        </w:tc>
        <w:tc>
          <w:tcPr>
            <w:tcW w:w="79" w:type="dxa"/>
            <w:tcBorders/>
            <w:shd w:fill="E6EFFF" w:val="clear"/>
            <w:vAlign w:val="center"/>
          </w:tcPr>
          <w:p>
            <w:pPr>
              <w:pStyle w:val="TableContents"/>
              <w:bidi w:val="0"/>
              <w:spacing w:before="0" w:after="283"/>
              <w:ind w:left="0" w:right="0" w:hanging="300"/>
              <w:jc w:val="left"/>
              <w:rPr/>
            </w:pPr>
            <w:r>
              <w:rPr/>
              <w:t> </w:t>
            </w:r>
          </w:p>
        </w:tc>
      </w:tr>
      <w:tr>
        <w:trPr/>
        <w:tc>
          <w:tcPr>
            <w:tcW w:w="1943" w:type="dxa"/>
            <w:tcBorders/>
            <w:vAlign w:val="center"/>
          </w:tcPr>
          <w:p>
            <w:pPr>
              <w:pStyle w:val="TableContents"/>
              <w:bidi w:val="0"/>
              <w:spacing w:before="0" w:after="283"/>
              <w:jc w:val="left"/>
              <w:rPr/>
            </w:pPr>
            <w:r>
              <w:rPr/>
              <w:t>Revaluation of stock options upon closing of the Qualifying Transaction</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90,018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right"/>
              <w:rPr/>
            </w:pPr>
            <w:r>
              <w:rPr/>
              <w:t>90,018</w:t>
            </w:r>
          </w:p>
        </w:tc>
        <w:tc>
          <w:tcPr>
            <w:tcW w:w="79" w:type="dxa"/>
            <w:tcBorders/>
            <w:vAlign w:val="center"/>
          </w:tcPr>
          <w:p>
            <w:pPr>
              <w:pStyle w:val="TableContents"/>
              <w:bidi w:val="0"/>
              <w:spacing w:before="0" w:after="283"/>
              <w:ind w:left="0" w:right="0" w:hanging="300"/>
              <w:jc w:val="left"/>
              <w:rPr/>
            </w:pPr>
            <w:r>
              <w:rPr/>
              <w:t> </w:t>
            </w:r>
          </w:p>
        </w:tc>
      </w:tr>
      <w:tr>
        <w:trPr/>
        <w:tc>
          <w:tcPr>
            <w:tcW w:w="1943" w:type="dxa"/>
            <w:tcBorders/>
            <w:shd w:fill="E6EFFF" w:val="clear"/>
            <w:vAlign w:val="center"/>
          </w:tcPr>
          <w:p>
            <w:pPr>
              <w:pStyle w:val="TableContents"/>
              <w:bidi w:val="0"/>
              <w:spacing w:before="0" w:after="283"/>
              <w:jc w:val="left"/>
              <w:rPr/>
            </w:pPr>
            <w:r>
              <w:rPr/>
              <w:t>Share-based payment expense</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703,845</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44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68" w:type="dxa"/>
            <w:tcBorders/>
            <w:shd w:fill="E6EFFF" w:val="clear"/>
            <w:vAlign w:val="center"/>
          </w:tcPr>
          <w:p>
            <w:pPr>
              <w:pStyle w:val="TableContents"/>
              <w:bidi w:val="0"/>
              <w:spacing w:before="0" w:after="283"/>
              <w:jc w:val="right"/>
              <w:rPr/>
            </w:pPr>
            <w:r>
              <w:rPr/>
              <w:t>703,845</w:t>
            </w:r>
          </w:p>
        </w:tc>
        <w:tc>
          <w:tcPr>
            <w:tcW w:w="79" w:type="dxa"/>
            <w:tcBorders/>
            <w:shd w:fill="E6EFFF" w:val="clear"/>
            <w:vAlign w:val="center"/>
          </w:tcPr>
          <w:p>
            <w:pPr>
              <w:pStyle w:val="TableContents"/>
              <w:bidi w:val="0"/>
              <w:spacing w:before="0" w:after="283"/>
              <w:ind w:left="0" w:right="0" w:hanging="300"/>
              <w:jc w:val="left"/>
              <w:rPr/>
            </w:pPr>
            <w:r>
              <w:rPr/>
              <w:t> </w:t>
            </w:r>
          </w:p>
        </w:tc>
      </w:tr>
      <w:tr>
        <w:trPr/>
        <w:tc>
          <w:tcPr>
            <w:tcW w:w="1943" w:type="dxa"/>
            <w:tcBorders/>
            <w:vAlign w:val="center"/>
          </w:tcPr>
          <w:p>
            <w:pPr>
              <w:pStyle w:val="TableContents"/>
              <w:bidi w:val="0"/>
              <w:spacing w:before="0" w:after="283"/>
              <w:jc w:val="left"/>
              <w:rPr/>
            </w:pPr>
            <w:r>
              <w:rPr/>
              <w:t>Foreign currency translation loss</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(12,973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right"/>
              <w:rPr/>
            </w:pPr>
            <w:r>
              <w:rPr/>
              <w:t>(12,973</w:t>
            </w:r>
          </w:p>
        </w:tc>
        <w:tc>
          <w:tcPr>
            <w:tcW w:w="79" w:type="dxa"/>
            <w:tcBorders/>
            <w:vAlign w:val="center"/>
          </w:tcPr>
          <w:p>
            <w:pPr>
              <w:pStyle w:val="TableContents"/>
              <w:bidi w:val="0"/>
              <w:spacing w:before="0" w:after="283"/>
              <w:ind w:left="0" w:right="0" w:hanging="300"/>
              <w:jc w:val="left"/>
              <w:rPr/>
            </w:pPr>
            <w:r>
              <w:rPr/>
              <w:t>)</w:t>
            </w:r>
          </w:p>
        </w:tc>
      </w:tr>
      <w:tr>
        <w:trPr/>
        <w:tc>
          <w:tcPr>
            <w:tcW w:w="1943" w:type="dxa"/>
            <w:tcBorders>
              <w:bottom w:val="single" w:sz="6" w:space="0" w:color="000000"/>
            </w:tcBorders>
            <w:shd w:fill="E6EFFF" w:val="clear"/>
            <w:tcMar>
              <w:bottom w:w="28" w:type="dxa"/>
            </w:tcMar>
            <w:vAlign w:val="center"/>
          </w:tcPr>
          <w:p>
            <w:pPr>
              <w:pStyle w:val="TableContents"/>
              <w:bidi w:val="0"/>
              <w:spacing w:before="0" w:after="283"/>
              <w:jc w:val="left"/>
              <w:rPr/>
            </w:pPr>
            <w:r>
              <w:rPr/>
              <w:t>Net loss for the year</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shd w:fill="E6EFFF" w:val="clear"/>
            <w:tcMar>
              <w:bottom w:w="28" w:type="dxa"/>
            </w:tcMar>
            <w:vAlign w:val="center"/>
          </w:tcPr>
          <w:p>
            <w:pPr>
              <w:pStyle w:val="TableContents"/>
              <w:bidi w:val="0"/>
              <w:spacing w:before="0" w:after="283"/>
              <w:jc w:val="right"/>
              <w:rPr/>
            </w:pPr>
            <w:r>
              <w:rPr/>
              <w:t>-</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E6EFFF" w:val="clear"/>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E6EFFF" w:val="clear"/>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shd w:fill="E6EFFF" w:val="clear"/>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E6EFFF" w:val="clear"/>
            <w:tcMar>
              <w:bottom w:w="28" w:type="dxa"/>
            </w:tcMar>
            <w:vAlign w:val="center"/>
          </w:tcPr>
          <w:p>
            <w:pPr>
              <w:pStyle w:val="TableContents"/>
              <w:bidi w:val="0"/>
              <w:spacing w:before="0" w:after="283"/>
              <w:jc w:val="right"/>
              <w:rPr/>
            </w:pPr>
            <w:r>
              <w:rPr/>
              <w:t>(22,265,684</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68" w:type="dxa"/>
            <w:tcBorders>
              <w:bottom w:val="single" w:sz="6" w:space="0" w:color="000000"/>
            </w:tcBorders>
            <w:shd w:fill="E6EFFF" w:val="clear"/>
            <w:tcMar>
              <w:bottom w:w="28" w:type="dxa"/>
            </w:tcMar>
            <w:vAlign w:val="center"/>
          </w:tcPr>
          <w:p>
            <w:pPr>
              <w:pStyle w:val="TableContents"/>
              <w:bidi w:val="0"/>
              <w:spacing w:before="0" w:after="283"/>
              <w:jc w:val="right"/>
              <w:rPr/>
            </w:pPr>
            <w:r>
              <w:rPr/>
              <w:t>(22,265,684</w:t>
            </w:r>
          </w:p>
        </w:tc>
        <w:tc>
          <w:tcPr>
            <w:tcW w:w="79" w:type="dxa"/>
            <w:tcBorders>
              <w:bottom w:val="single" w:sz="6" w:space="0" w:color="000000"/>
            </w:tcBorders>
            <w:shd w:fill="E6EFFF" w:val="clear"/>
            <w:tcMar>
              <w:bottom w:w="28" w:type="dxa"/>
            </w:tcMar>
            <w:vAlign w:val="center"/>
          </w:tcPr>
          <w:p>
            <w:pPr>
              <w:pStyle w:val="TableContents"/>
              <w:bidi w:val="0"/>
              <w:spacing w:before="0" w:after="283"/>
              <w:ind w:left="0" w:right="0" w:hanging="300"/>
              <w:jc w:val="left"/>
              <w:rPr/>
            </w:pPr>
            <w:r>
              <w:rPr/>
              <w:t>)</w:t>
            </w:r>
          </w:p>
        </w:tc>
      </w:tr>
      <w:tr>
        <w:trPr/>
        <w:tc>
          <w:tcPr>
            <w:tcW w:w="1943"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Balance, February 28, 2022</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319,625,487</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10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69,970,184</w:t>
            </w:r>
          </w:p>
        </w:tc>
        <w:tc>
          <w:tcPr>
            <w:tcW w:w="9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17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3,009,042</w:t>
            </w:r>
          </w:p>
        </w:tc>
        <w:tc>
          <w:tcPr>
            <w:tcW w:w="9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44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(193,657</w:t>
            </w:r>
          </w:p>
        </w:tc>
        <w:tc>
          <w:tcPr>
            <w:tcW w:w="9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17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(31,708,958</w:t>
            </w:r>
          </w:p>
        </w:tc>
        <w:tc>
          <w:tcPr>
            <w:tcW w:w="9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68"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41,076,611</w:t>
            </w:r>
          </w:p>
        </w:tc>
        <w:tc>
          <w:tcPr>
            <w:tcW w:w="79"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The accompanying notes are an integral part of these consolidated financial statements</w:t>
        <w:br/>
        <w:t>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283"/>
        <w:jc w:val="left"/>
        <w:rPr/>
      </w:pPr>
      <w:bookmarkStart w:id="23" w:name="page_10"/>
      <w:bookmarkEnd w:id="23"/>
      <w:r>
        <w:rPr>
          <w:b/>
        </w:rPr>
        <w:t>SMALL PHARMA INC.</w:t>
      </w:r>
      <w:r>
        <w:rPr/>
        <w:br/>
        <w:t>(formerly, Unilock Capital Corp.)</w:t>
        <w:br/>
        <w:t>Consolidated Statements of Cash Flows</w:t>
        <w:br/>
        <w:t>(Expressed in Canadian dollars)</w:t>
      </w:r>
    </w:p>
    <w:tbl>
      <w:tblPr>
        <w:tblW w:w="10205" w:type="dxa"/>
        <w:jc w:val="left"/>
        <w:tblInd w:w="0" w:type="dxa"/>
        <w:tblLayout w:type="fixed"/>
        <w:tblCellMar>
          <w:top w:w="0" w:type="dxa"/>
          <w:left w:w="0" w:type="dxa"/>
          <w:bottom w:w="0" w:type="dxa"/>
          <w:right w:w="0" w:type="dxa"/>
        </w:tblCellMar>
      </w:tblPr>
      <w:tblGrid>
        <w:gridCol w:w="7425"/>
        <w:gridCol w:w="60"/>
        <w:gridCol w:w="1227"/>
        <w:gridCol w:w="95"/>
        <w:gridCol w:w="60"/>
        <w:gridCol w:w="1227"/>
        <w:gridCol w:w="111"/>
      </w:tblGrid>
      <w:tr>
        <w:trPr/>
        <w:tc>
          <w:tcPr>
            <w:tcW w:w="7425"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Year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Year ended</w:t>
            </w:r>
          </w:p>
        </w:tc>
        <w:tc>
          <w:tcPr>
            <w:tcW w:w="111" w:type="dxa"/>
            <w:tcBorders/>
            <w:vAlign w:val="center"/>
          </w:tcPr>
          <w:p>
            <w:pPr>
              <w:pStyle w:val="TableContents"/>
              <w:bidi w:val="0"/>
              <w:spacing w:before="0" w:after="283"/>
              <w:jc w:val="left"/>
              <w:rPr/>
            </w:pPr>
            <w:r>
              <w:rPr/>
              <w:t> </w:t>
            </w:r>
          </w:p>
        </w:tc>
      </w:tr>
      <w:tr>
        <w:trPr/>
        <w:tc>
          <w:tcPr>
            <w:tcW w:w="7425"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February 28,</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February 28,</w:t>
            </w:r>
          </w:p>
        </w:tc>
        <w:tc>
          <w:tcPr>
            <w:tcW w:w="111" w:type="dxa"/>
            <w:tcBorders/>
            <w:vAlign w:val="center"/>
          </w:tcPr>
          <w:p>
            <w:pPr>
              <w:pStyle w:val="TableContents"/>
              <w:bidi w:val="0"/>
              <w:spacing w:before="0" w:after="283"/>
              <w:jc w:val="left"/>
              <w:rPr/>
            </w:pPr>
            <w:r>
              <w:rPr/>
              <w:t> </w:t>
            </w:r>
          </w:p>
        </w:tc>
      </w:tr>
      <w:tr>
        <w:trPr/>
        <w:tc>
          <w:tcPr>
            <w:tcW w:w="7425"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2022</w:t>
            </w:r>
          </w:p>
        </w:tc>
        <w:tc>
          <w:tcPr>
            <w:tcW w:w="111" w:type="dxa"/>
            <w:tcBorders/>
            <w:vAlign w:val="center"/>
          </w:tcPr>
          <w:p>
            <w:pPr>
              <w:pStyle w:val="TableContents"/>
              <w:bidi w:val="0"/>
              <w:spacing w:before="0" w:after="283"/>
              <w:jc w:val="center"/>
              <w:rPr/>
            </w:pPr>
            <w:r>
              <w:rPr/>
              <w:t> </w:t>
            </w:r>
          </w:p>
        </w:tc>
      </w:tr>
      <w:tr>
        <w:trPr/>
        <w:tc>
          <w:tcPr>
            <w:tcW w:w="7425"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27"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27" w:type="dxa"/>
            <w:tcBorders>
              <w:bottom w:val="single" w:sz="6" w:space="0" w:color="000000"/>
            </w:tcBorders>
            <w:tcMar>
              <w:bottom w:w="28" w:type="dxa"/>
            </w:tcMar>
            <w:vAlign w:val="center"/>
          </w:tcPr>
          <w:p>
            <w:pPr>
              <w:pStyle w:val="TableContents"/>
              <w:bidi w:val="0"/>
              <w:spacing w:before="0" w:after="283"/>
              <w:jc w:val="center"/>
              <w:rPr/>
            </w:pPr>
            <w:r>
              <w:rPr/>
              <w:t>$</w:t>
            </w:r>
          </w:p>
        </w:tc>
        <w:tc>
          <w:tcPr>
            <w:tcW w:w="111"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742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lef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left"/>
              <w:rPr/>
            </w:pPr>
            <w:r>
              <w:rPr/>
              <w:t> </w:t>
            </w:r>
          </w:p>
        </w:tc>
        <w:tc>
          <w:tcPr>
            <w:tcW w:w="111" w:type="dxa"/>
            <w:tcBorders/>
            <w:vAlign w:val="center"/>
          </w:tcPr>
          <w:p>
            <w:pPr>
              <w:pStyle w:val="TableContents"/>
              <w:bidi w:val="0"/>
              <w:spacing w:before="0" w:after="0"/>
              <w:jc w:val="left"/>
              <w:rPr/>
            </w:pPr>
            <w:r>
              <w:rPr/>
              <w:t> </w:t>
            </w:r>
          </w:p>
        </w:tc>
      </w:tr>
      <w:tr>
        <w:trPr/>
        <w:tc>
          <w:tcPr>
            <w:tcW w:w="7425" w:type="dxa"/>
            <w:tcBorders/>
            <w:shd w:fill="E6EFFF" w:val="clear"/>
            <w:vAlign w:val="center"/>
          </w:tcPr>
          <w:p>
            <w:pPr>
              <w:pStyle w:val="TableContents"/>
              <w:bidi w:val="0"/>
              <w:spacing w:before="0" w:after="283"/>
              <w:jc w:val="left"/>
              <w:rPr/>
            </w:pPr>
            <w:r>
              <w:rPr/>
              <w:t>Operating activities</w:t>
            </w:r>
          </w:p>
        </w:tc>
        <w:tc>
          <w:tcPr>
            <w:tcW w:w="60" w:type="dxa"/>
            <w:tcBorders/>
            <w:shd w:fill="E6EFFF" w:val="clear"/>
            <w:vAlign w:val="center"/>
          </w:tcPr>
          <w:p>
            <w:pPr>
              <w:pStyle w:val="TableContents"/>
              <w:bidi w:val="0"/>
              <w:spacing w:before="0" w:after="0"/>
              <w:jc w:val="left"/>
              <w:rPr/>
            </w:pPr>
            <w:r>
              <w:rPr/>
              <w:t> </w:t>
            </w:r>
          </w:p>
        </w:tc>
        <w:tc>
          <w:tcPr>
            <w:tcW w:w="1227" w:type="dxa"/>
            <w:tcBorders/>
            <w:shd w:fill="E6EFFF" w:val="clear"/>
            <w:vAlign w:val="center"/>
          </w:tcPr>
          <w:p>
            <w:pPr>
              <w:pStyle w:val="TableContents"/>
              <w:bidi w:val="0"/>
              <w:spacing w:before="0" w:after="0"/>
              <w:jc w:val="lef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27" w:type="dxa"/>
            <w:tcBorders/>
            <w:shd w:fill="E6EFFF" w:val="clear"/>
            <w:vAlign w:val="center"/>
          </w:tcPr>
          <w:p>
            <w:pPr>
              <w:pStyle w:val="TableContents"/>
              <w:bidi w:val="0"/>
              <w:spacing w:before="0" w:after="0"/>
              <w:jc w:val="left"/>
              <w:rPr/>
            </w:pPr>
            <w:r>
              <w:rPr/>
              <w:t> </w:t>
            </w:r>
          </w:p>
        </w:tc>
        <w:tc>
          <w:tcPr>
            <w:tcW w:w="111" w:type="dxa"/>
            <w:tcBorders/>
            <w:shd w:fill="E6EFFF" w:val="clear"/>
            <w:vAlign w:val="center"/>
          </w:tcPr>
          <w:p>
            <w:pPr>
              <w:pStyle w:val="TableContents"/>
              <w:bidi w:val="0"/>
              <w:spacing w:before="0" w:after="0"/>
              <w:jc w:val="left"/>
              <w:rPr/>
            </w:pPr>
            <w:r>
              <w:rPr/>
              <w:t> </w:t>
            </w:r>
          </w:p>
        </w:tc>
      </w:tr>
      <w:tr>
        <w:trPr/>
        <w:tc>
          <w:tcPr>
            <w:tcW w:w="7425" w:type="dxa"/>
            <w:tcBorders/>
            <w:vAlign w:val="center"/>
          </w:tcPr>
          <w:p>
            <w:pPr>
              <w:pStyle w:val="TableContents"/>
              <w:bidi w:val="0"/>
              <w:spacing w:before="0" w:after="283"/>
              <w:jc w:val="left"/>
              <w:rPr/>
            </w:pPr>
            <w:r>
              <w:rPr/>
              <w:t>Net loss for the year</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(22,836,213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(22,265,684</w:t>
            </w:r>
          </w:p>
        </w:tc>
        <w:tc>
          <w:tcPr>
            <w:tcW w:w="111" w:type="dxa"/>
            <w:tcBorders/>
            <w:vAlign w:val="center"/>
          </w:tcPr>
          <w:p>
            <w:pPr>
              <w:pStyle w:val="TableContents"/>
              <w:bidi w:val="0"/>
              <w:spacing w:before="0" w:after="283"/>
              <w:jc w:val="left"/>
              <w:rPr/>
            </w:pPr>
            <w:r>
              <w:rPr/>
              <w:t>)</w:t>
            </w:r>
          </w:p>
        </w:tc>
      </w:tr>
      <w:tr>
        <w:trPr/>
        <w:tc>
          <w:tcPr>
            <w:tcW w:w="7425" w:type="dxa"/>
            <w:tcBorders/>
            <w:shd w:fill="E6EFFF" w:val="clear"/>
            <w:vAlign w:val="center"/>
          </w:tcPr>
          <w:p>
            <w:pPr>
              <w:pStyle w:val="TableContents"/>
              <w:bidi w:val="0"/>
              <w:spacing w:before="0" w:after="283"/>
              <w:jc w:val="left"/>
              <w:rPr/>
            </w:pPr>
            <w:r>
              <w:rPr/>
              <w:t>Items not involving cash:</w:t>
            </w:r>
          </w:p>
        </w:tc>
        <w:tc>
          <w:tcPr>
            <w:tcW w:w="60" w:type="dxa"/>
            <w:tcBorders/>
            <w:shd w:fill="E6EFFF" w:val="clear"/>
            <w:vAlign w:val="center"/>
          </w:tcPr>
          <w:p>
            <w:pPr>
              <w:pStyle w:val="TableContents"/>
              <w:bidi w:val="0"/>
              <w:spacing w:before="0" w:after="0"/>
              <w:jc w:val="left"/>
              <w:rPr/>
            </w:pPr>
            <w:r>
              <w:rPr/>
              <w:t> </w:t>
            </w:r>
          </w:p>
        </w:tc>
        <w:tc>
          <w:tcPr>
            <w:tcW w:w="1227" w:type="dxa"/>
            <w:tcBorders/>
            <w:shd w:fill="E6EFFF" w:val="clear"/>
            <w:vAlign w:val="center"/>
          </w:tcPr>
          <w:p>
            <w:pPr>
              <w:pStyle w:val="TableContents"/>
              <w:bidi w:val="0"/>
              <w:spacing w:before="0" w:after="0"/>
              <w:jc w:val="righ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27" w:type="dxa"/>
            <w:tcBorders/>
            <w:shd w:fill="E6EFFF" w:val="clear"/>
            <w:vAlign w:val="center"/>
          </w:tcPr>
          <w:p>
            <w:pPr>
              <w:pStyle w:val="TableContents"/>
              <w:bidi w:val="0"/>
              <w:spacing w:before="0" w:after="0"/>
              <w:jc w:val="right"/>
              <w:rPr/>
            </w:pPr>
            <w:r>
              <w:rPr/>
              <w:t> </w:t>
            </w:r>
          </w:p>
        </w:tc>
        <w:tc>
          <w:tcPr>
            <w:tcW w:w="111" w:type="dxa"/>
            <w:tcBorders/>
            <w:shd w:fill="E6EFFF" w:val="clear"/>
            <w:vAlign w:val="center"/>
          </w:tcPr>
          <w:p>
            <w:pPr>
              <w:pStyle w:val="TableContents"/>
              <w:bidi w:val="0"/>
              <w:spacing w:before="0" w:after="0"/>
              <w:jc w:val="left"/>
              <w:rPr/>
            </w:pPr>
            <w:r>
              <w:rPr/>
              <w:t> </w:t>
            </w:r>
          </w:p>
        </w:tc>
      </w:tr>
      <w:tr>
        <w:trPr/>
        <w:tc>
          <w:tcPr>
            <w:tcW w:w="7425" w:type="dxa"/>
            <w:tcBorders/>
            <w:vAlign w:val="center"/>
          </w:tcPr>
          <w:p>
            <w:pPr>
              <w:pStyle w:val="TableContents"/>
              <w:bidi w:val="0"/>
              <w:spacing w:before="0" w:after="283"/>
              <w:jc w:val="left"/>
              <w:rPr/>
            </w:pPr>
            <w:r>
              <w:rPr/>
              <w:t>Depreciation</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48,441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20,486</w:t>
            </w:r>
          </w:p>
        </w:tc>
        <w:tc>
          <w:tcPr>
            <w:tcW w:w="111" w:type="dxa"/>
            <w:tcBorders/>
            <w:vAlign w:val="center"/>
          </w:tcPr>
          <w:p>
            <w:pPr>
              <w:pStyle w:val="TableContents"/>
              <w:bidi w:val="0"/>
              <w:spacing w:before="0" w:after="283"/>
              <w:jc w:val="left"/>
              <w:rPr/>
            </w:pPr>
            <w:r>
              <w:rPr/>
              <w:t> </w:t>
            </w:r>
          </w:p>
        </w:tc>
      </w:tr>
      <w:tr>
        <w:trPr/>
        <w:tc>
          <w:tcPr>
            <w:tcW w:w="7425" w:type="dxa"/>
            <w:tcBorders/>
            <w:shd w:fill="E6EFFF" w:val="clear"/>
            <w:vAlign w:val="center"/>
          </w:tcPr>
          <w:p>
            <w:pPr>
              <w:pStyle w:val="TableContents"/>
              <w:bidi w:val="0"/>
              <w:spacing w:before="0" w:after="283"/>
              <w:jc w:val="left"/>
              <w:rPr/>
            </w:pPr>
            <w:r>
              <w:rPr/>
              <w:t>Foreign exchange loss</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41,341</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184,713</w:t>
            </w:r>
          </w:p>
        </w:tc>
        <w:tc>
          <w:tcPr>
            <w:tcW w:w="111" w:type="dxa"/>
            <w:tcBorders/>
            <w:shd w:fill="E6EFFF" w:val="clear"/>
            <w:vAlign w:val="center"/>
          </w:tcPr>
          <w:p>
            <w:pPr>
              <w:pStyle w:val="TableContents"/>
              <w:bidi w:val="0"/>
              <w:spacing w:before="0" w:after="283"/>
              <w:jc w:val="left"/>
              <w:rPr/>
            </w:pPr>
            <w:r>
              <w:rPr/>
              <w:t> </w:t>
            </w:r>
          </w:p>
        </w:tc>
      </w:tr>
      <w:tr>
        <w:trPr/>
        <w:tc>
          <w:tcPr>
            <w:tcW w:w="7425" w:type="dxa"/>
            <w:tcBorders/>
            <w:vAlign w:val="center"/>
          </w:tcPr>
          <w:p>
            <w:pPr>
              <w:pStyle w:val="TableContents"/>
              <w:bidi w:val="0"/>
              <w:spacing w:before="0" w:after="283"/>
              <w:jc w:val="left"/>
              <w:rPr/>
            </w:pPr>
            <w:r>
              <w:rPr/>
              <w:t>Share-based payment expense (Note 12)</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1,188,611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703,845</w:t>
            </w:r>
          </w:p>
        </w:tc>
        <w:tc>
          <w:tcPr>
            <w:tcW w:w="111" w:type="dxa"/>
            <w:tcBorders/>
            <w:vAlign w:val="center"/>
          </w:tcPr>
          <w:p>
            <w:pPr>
              <w:pStyle w:val="TableContents"/>
              <w:bidi w:val="0"/>
              <w:spacing w:before="0" w:after="283"/>
              <w:jc w:val="left"/>
              <w:rPr/>
            </w:pPr>
            <w:r>
              <w:rPr/>
              <w:t> </w:t>
            </w:r>
          </w:p>
        </w:tc>
      </w:tr>
      <w:tr>
        <w:trPr/>
        <w:tc>
          <w:tcPr>
            <w:tcW w:w="7425" w:type="dxa"/>
            <w:tcBorders/>
            <w:shd w:fill="E6EFFF" w:val="clear"/>
            <w:vAlign w:val="center"/>
          </w:tcPr>
          <w:p>
            <w:pPr>
              <w:pStyle w:val="TableContents"/>
              <w:bidi w:val="0"/>
              <w:spacing w:before="0" w:after="283"/>
              <w:jc w:val="left"/>
              <w:rPr/>
            </w:pPr>
            <w:r>
              <w:rPr/>
              <w:t>Listing costs (Note 3)</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1,210,013</w:t>
            </w:r>
          </w:p>
        </w:tc>
        <w:tc>
          <w:tcPr>
            <w:tcW w:w="111" w:type="dxa"/>
            <w:tcBorders/>
            <w:shd w:fill="E6EFFF" w:val="clear"/>
            <w:vAlign w:val="center"/>
          </w:tcPr>
          <w:p>
            <w:pPr>
              <w:pStyle w:val="TableContents"/>
              <w:bidi w:val="0"/>
              <w:spacing w:before="0" w:after="283"/>
              <w:jc w:val="left"/>
              <w:rPr/>
            </w:pPr>
            <w:r>
              <w:rPr/>
              <w:t> </w:t>
            </w:r>
          </w:p>
        </w:tc>
      </w:tr>
      <w:tr>
        <w:trPr/>
        <w:tc>
          <w:tcPr>
            <w:tcW w:w="7425" w:type="dxa"/>
            <w:tcBorders/>
            <w:vAlign w:val="center"/>
          </w:tcPr>
          <w:p>
            <w:pPr>
              <w:pStyle w:val="TableContents"/>
              <w:bidi w:val="0"/>
              <w:spacing w:before="0" w:after="283"/>
              <w:jc w:val="left"/>
              <w:rPr/>
            </w:pPr>
            <w:r>
              <w:rPr/>
              <w:t>Interest expense accrued</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92,959</w:t>
            </w:r>
          </w:p>
        </w:tc>
        <w:tc>
          <w:tcPr>
            <w:tcW w:w="111" w:type="dxa"/>
            <w:tcBorders/>
            <w:vAlign w:val="center"/>
          </w:tcPr>
          <w:p>
            <w:pPr>
              <w:pStyle w:val="TableContents"/>
              <w:bidi w:val="0"/>
              <w:spacing w:before="0" w:after="283"/>
              <w:jc w:val="left"/>
              <w:rPr/>
            </w:pPr>
            <w:r>
              <w:rPr/>
              <w:t> </w:t>
            </w:r>
          </w:p>
        </w:tc>
      </w:tr>
      <w:tr>
        <w:trPr/>
        <w:tc>
          <w:tcPr>
            <w:tcW w:w="7425" w:type="dxa"/>
            <w:tcBorders/>
            <w:shd w:fill="E6EFFF" w:val="clear"/>
            <w:vAlign w:val="center"/>
          </w:tcPr>
          <w:p>
            <w:pPr>
              <w:pStyle w:val="TableContents"/>
              <w:bidi w:val="0"/>
              <w:spacing w:before="0" w:after="283"/>
              <w:jc w:val="left"/>
              <w:rPr/>
            </w:pPr>
            <w:r>
              <w:rPr/>
              <w:t>Accretion of interest on lease liabilities (Note 6)</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2,565</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w:t>
            </w:r>
          </w:p>
        </w:tc>
        <w:tc>
          <w:tcPr>
            <w:tcW w:w="111" w:type="dxa"/>
            <w:tcBorders/>
            <w:shd w:fill="E6EFFF" w:val="clear"/>
            <w:vAlign w:val="center"/>
          </w:tcPr>
          <w:p>
            <w:pPr>
              <w:pStyle w:val="TableContents"/>
              <w:bidi w:val="0"/>
              <w:spacing w:before="0" w:after="283"/>
              <w:jc w:val="left"/>
              <w:rPr/>
            </w:pPr>
            <w:r>
              <w:rPr/>
              <w:t> </w:t>
            </w:r>
          </w:p>
        </w:tc>
      </w:tr>
      <w:tr>
        <w:trPr/>
        <w:tc>
          <w:tcPr>
            <w:tcW w:w="7425" w:type="dxa"/>
            <w:tcBorders/>
            <w:vAlign w:val="center"/>
          </w:tcPr>
          <w:p>
            <w:pPr>
              <w:pStyle w:val="TableContents"/>
              <w:bidi w:val="0"/>
              <w:spacing w:before="0" w:after="283"/>
              <w:jc w:val="left"/>
              <w:rPr/>
            </w:pPr>
            <w:r>
              <w:rPr/>
              <w:t>Loss on change in fair value of derivative liabilities (Note 8)</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1,930,416</w:t>
            </w:r>
          </w:p>
        </w:tc>
        <w:tc>
          <w:tcPr>
            <w:tcW w:w="111" w:type="dxa"/>
            <w:tcBorders/>
            <w:vAlign w:val="center"/>
          </w:tcPr>
          <w:p>
            <w:pPr>
              <w:pStyle w:val="TableContents"/>
              <w:bidi w:val="0"/>
              <w:spacing w:before="0" w:after="283"/>
              <w:jc w:val="left"/>
              <w:rPr/>
            </w:pPr>
            <w:r>
              <w:rPr/>
              <w:t> </w:t>
            </w:r>
          </w:p>
        </w:tc>
      </w:tr>
      <w:tr>
        <w:trPr/>
        <w:tc>
          <w:tcPr>
            <w:tcW w:w="7425" w:type="dxa"/>
            <w:tcBorders/>
            <w:shd w:fill="E6EFFF" w:val="clear"/>
            <w:vAlign w:val="center"/>
          </w:tcPr>
          <w:p>
            <w:pPr>
              <w:pStyle w:val="TableContents"/>
              <w:bidi w:val="0"/>
              <w:spacing w:before="0" w:after="283"/>
              <w:jc w:val="left"/>
              <w:rPr/>
            </w:pPr>
            <w:r>
              <w:rPr/>
              <w:t>Accretion of discounts on notes payable (Note 7)</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372,759</w:t>
            </w:r>
          </w:p>
        </w:tc>
        <w:tc>
          <w:tcPr>
            <w:tcW w:w="111" w:type="dxa"/>
            <w:tcBorders/>
            <w:shd w:fill="E6EFFF" w:val="clear"/>
            <w:vAlign w:val="center"/>
          </w:tcPr>
          <w:p>
            <w:pPr>
              <w:pStyle w:val="TableContents"/>
              <w:bidi w:val="0"/>
              <w:spacing w:before="0" w:after="283"/>
              <w:ind w:left="0" w:right="0" w:hanging="144"/>
              <w:jc w:val="left"/>
              <w:rPr/>
            </w:pPr>
            <w:r>
              <w:rPr/>
              <w:t> </w:t>
            </w:r>
          </w:p>
        </w:tc>
      </w:tr>
      <w:tr>
        <w:trPr/>
        <w:tc>
          <w:tcPr>
            <w:tcW w:w="7425" w:type="dxa"/>
            <w:tcBorders/>
            <w:vAlign w:val="center"/>
          </w:tcPr>
          <w:p>
            <w:pPr>
              <w:pStyle w:val="TableContents"/>
              <w:bidi w:val="0"/>
              <w:spacing w:before="0" w:after="283"/>
              <w:jc w:val="left"/>
              <w:rPr/>
            </w:pPr>
            <w:r>
              <w:rPr/>
              <w:t>Changes in non-cash operating working capital: Trade and other receivables</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350,249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(763,696</w:t>
            </w:r>
          </w:p>
        </w:tc>
        <w:tc>
          <w:tcPr>
            <w:tcW w:w="111" w:type="dxa"/>
            <w:tcBorders/>
            <w:vAlign w:val="center"/>
          </w:tcPr>
          <w:p>
            <w:pPr>
              <w:pStyle w:val="TableContents"/>
              <w:bidi w:val="0"/>
              <w:spacing w:before="0" w:after="283"/>
              <w:jc w:val="left"/>
              <w:rPr/>
            </w:pPr>
            <w:r>
              <w:rPr/>
              <w:t>)</w:t>
            </w:r>
          </w:p>
        </w:tc>
      </w:tr>
      <w:tr>
        <w:trPr/>
        <w:tc>
          <w:tcPr>
            <w:tcW w:w="7425" w:type="dxa"/>
            <w:tcBorders/>
            <w:shd w:fill="E6EFFF" w:val="clear"/>
            <w:vAlign w:val="center"/>
          </w:tcPr>
          <w:p>
            <w:pPr>
              <w:pStyle w:val="TableContents"/>
              <w:bidi w:val="0"/>
              <w:spacing w:before="0" w:after="283"/>
              <w:jc w:val="left"/>
              <w:rPr/>
            </w:pPr>
            <w:r>
              <w:rPr/>
              <w:t>Prepaid expenses</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117,464</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(852,659</w:t>
            </w:r>
          </w:p>
        </w:tc>
        <w:tc>
          <w:tcPr>
            <w:tcW w:w="111" w:type="dxa"/>
            <w:tcBorders/>
            <w:shd w:fill="E6EFFF" w:val="clear"/>
            <w:vAlign w:val="center"/>
          </w:tcPr>
          <w:p>
            <w:pPr>
              <w:pStyle w:val="TableContents"/>
              <w:bidi w:val="0"/>
              <w:spacing w:before="0" w:after="283"/>
              <w:jc w:val="left"/>
              <w:rPr/>
            </w:pPr>
            <w:r>
              <w:rPr/>
              <w:t>)</w:t>
            </w:r>
          </w:p>
        </w:tc>
      </w:tr>
      <w:tr>
        <w:trPr/>
        <w:tc>
          <w:tcPr>
            <w:tcW w:w="7425" w:type="dxa"/>
            <w:tcBorders>
              <w:bottom w:val="single" w:sz="6" w:space="0" w:color="000000"/>
            </w:tcBorders>
            <w:tcMar>
              <w:bottom w:w="28" w:type="dxa"/>
            </w:tcMar>
            <w:vAlign w:val="center"/>
          </w:tcPr>
          <w:p>
            <w:pPr>
              <w:pStyle w:val="TableContents"/>
              <w:bidi w:val="0"/>
              <w:spacing w:before="0" w:after="283"/>
              <w:jc w:val="left"/>
              <w:rPr/>
            </w:pPr>
            <w:r>
              <w:rPr/>
              <w:t>Accounts payable and accrued liabilities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(1,123,181</w:t>
            </w:r>
          </w:p>
        </w:tc>
        <w:tc>
          <w:tcPr>
            <w:tcW w:w="95" w:type="dxa"/>
            <w:tcBorders>
              <w:bottom w:val="single" w:sz="6" w:space="0" w:color="000000"/>
            </w:tcBorders>
            <w:tcMar>
              <w:bottom w:w="28" w:type="dxa"/>
            </w:tcMar>
            <w:vAlign w:val="center"/>
          </w:tcPr>
          <w:p>
            <w:pPr>
              <w:pStyle w:val="TableContents"/>
              <w:bidi w:val="0"/>
              <w:spacing w:before="0" w:after="283"/>
              <w:jc w:val="lef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3,131,852</w:t>
            </w:r>
          </w:p>
        </w:tc>
        <w:tc>
          <w:tcPr>
            <w:tcW w:w="11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2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Net cash used in operating activities</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(22,210,723</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(16,234,996</w:t>
            </w:r>
          </w:p>
        </w:tc>
        <w:tc>
          <w:tcPr>
            <w:tcW w:w="111"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r>
      <w:tr>
        <w:trPr/>
        <w:tc>
          <w:tcPr>
            <w:tcW w:w="7425" w:type="dxa"/>
            <w:tcBorders>
              <w:top w:val="single" w:sz="6" w:space="0" w:color="000000"/>
            </w:tcBorders>
            <w:tcMar>
              <w:top w:w="28" w:type="dxa"/>
            </w:tcMar>
            <w:vAlign w:val="center"/>
          </w:tcPr>
          <w:p>
            <w:pPr>
              <w:pStyle w:val="TableContents"/>
              <w:bidi w:val="0"/>
              <w:spacing w:before="0" w:after="283"/>
              <w:jc w:val="left"/>
              <w:rPr/>
            </w:pPr>
            <w:r>
              <w:rPr/>
              <w:t>Investing activities</w:t>
            </w:r>
          </w:p>
        </w:tc>
        <w:tc>
          <w:tcPr>
            <w:tcW w:w="6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pPr>
            <w:r>
              <w:rPr/>
              <w:t> </w:t>
            </w:r>
          </w:p>
        </w:tc>
        <w:tc>
          <w:tcPr>
            <w:tcW w:w="111" w:type="dxa"/>
            <w:tcBorders/>
            <w:vAlign w:val="center"/>
          </w:tcPr>
          <w:p>
            <w:pPr>
              <w:pStyle w:val="TableContents"/>
              <w:bidi w:val="0"/>
              <w:spacing w:before="0" w:after="0"/>
              <w:jc w:val="left"/>
              <w:rPr/>
            </w:pPr>
            <w:r>
              <w:rPr/>
              <w:t> </w:t>
            </w:r>
          </w:p>
        </w:tc>
      </w:tr>
      <w:tr>
        <w:trPr/>
        <w:tc>
          <w:tcPr>
            <w:tcW w:w="7425" w:type="dxa"/>
            <w:tcBorders/>
            <w:shd w:fill="E6EFFF" w:val="clear"/>
            <w:vAlign w:val="center"/>
          </w:tcPr>
          <w:p>
            <w:pPr>
              <w:pStyle w:val="TableContents"/>
              <w:bidi w:val="0"/>
              <w:spacing w:before="0" w:after="283"/>
              <w:jc w:val="left"/>
              <w:rPr/>
            </w:pPr>
            <w:r>
              <w:rPr/>
              <w:t>Restricted cash (Note 5)</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2,500,000</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(2,500,000</w:t>
            </w:r>
          </w:p>
        </w:tc>
        <w:tc>
          <w:tcPr>
            <w:tcW w:w="111" w:type="dxa"/>
            <w:tcBorders/>
            <w:shd w:fill="E6EFFF" w:val="clear"/>
            <w:vAlign w:val="center"/>
          </w:tcPr>
          <w:p>
            <w:pPr>
              <w:pStyle w:val="TableContents"/>
              <w:bidi w:val="0"/>
              <w:spacing w:before="0" w:after="283"/>
              <w:jc w:val="left"/>
              <w:rPr/>
            </w:pPr>
            <w:r>
              <w:rPr/>
              <w:t>)</w:t>
            </w:r>
          </w:p>
        </w:tc>
      </w:tr>
      <w:tr>
        <w:trPr/>
        <w:tc>
          <w:tcPr>
            <w:tcW w:w="7425" w:type="dxa"/>
            <w:tcBorders/>
            <w:vAlign w:val="center"/>
          </w:tcPr>
          <w:p>
            <w:pPr>
              <w:pStyle w:val="TableContents"/>
              <w:bidi w:val="0"/>
              <w:spacing w:before="0" w:after="283"/>
              <w:jc w:val="left"/>
              <w:rPr/>
            </w:pPr>
            <w:r>
              <w:rPr/>
              <w:t>Cash acquired in reverse acquisition (Note 3)</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109,146</w:t>
            </w:r>
          </w:p>
        </w:tc>
        <w:tc>
          <w:tcPr>
            <w:tcW w:w="111" w:type="dxa"/>
            <w:tcBorders/>
            <w:vAlign w:val="center"/>
          </w:tcPr>
          <w:p>
            <w:pPr>
              <w:pStyle w:val="TableContents"/>
              <w:bidi w:val="0"/>
              <w:spacing w:before="0" w:after="283"/>
              <w:jc w:val="left"/>
              <w:rPr/>
            </w:pPr>
            <w:r>
              <w:rPr/>
              <w:t> </w:t>
            </w:r>
          </w:p>
        </w:tc>
      </w:tr>
      <w:tr>
        <w:trPr/>
        <w:tc>
          <w:tcPr>
            <w:tcW w:w="7425" w:type="dxa"/>
            <w:tcBorders/>
            <w:shd w:fill="E6EFFF" w:val="clear"/>
            <w:vAlign w:val="center"/>
          </w:tcPr>
          <w:p>
            <w:pPr>
              <w:pStyle w:val="TableContents"/>
              <w:bidi w:val="0"/>
              <w:spacing w:before="0" w:after="283"/>
              <w:jc w:val="left"/>
              <w:rPr/>
            </w:pPr>
            <w:r>
              <w:rPr/>
              <w:t>Acquisition of property and equipment</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(18,603</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(12,957</w:t>
            </w:r>
          </w:p>
        </w:tc>
        <w:tc>
          <w:tcPr>
            <w:tcW w:w="111" w:type="dxa"/>
            <w:tcBorders/>
            <w:shd w:fill="E6EFFF" w:val="clear"/>
            <w:vAlign w:val="center"/>
          </w:tcPr>
          <w:p>
            <w:pPr>
              <w:pStyle w:val="TableContents"/>
              <w:bidi w:val="0"/>
              <w:spacing w:before="0" w:after="283"/>
              <w:jc w:val="left"/>
              <w:rPr/>
            </w:pPr>
            <w:r>
              <w:rPr/>
              <w:t>)</w:t>
            </w:r>
          </w:p>
        </w:tc>
      </w:tr>
      <w:tr>
        <w:trPr/>
        <w:tc>
          <w:tcPr>
            <w:tcW w:w="7425" w:type="dxa"/>
            <w:tcBorders>
              <w:bottom w:val="single" w:sz="6" w:space="0" w:color="000000"/>
            </w:tcBorders>
            <w:tcMar>
              <w:bottom w:w="28" w:type="dxa"/>
            </w:tcMar>
            <w:vAlign w:val="center"/>
          </w:tcPr>
          <w:p>
            <w:pPr>
              <w:pStyle w:val="TableContents"/>
              <w:bidi w:val="0"/>
              <w:spacing w:before="0" w:after="283"/>
              <w:jc w:val="left"/>
              <w:rPr/>
            </w:pPr>
            <w:r>
              <w:rPr/>
              <w:t>Expenses capitalized for right-of-use asset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(10,846</w:t>
            </w:r>
          </w:p>
        </w:tc>
        <w:tc>
          <w:tcPr>
            <w:tcW w:w="95" w:type="dxa"/>
            <w:tcBorders>
              <w:bottom w:val="single" w:sz="6" w:space="0" w:color="000000"/>
            </w:tcBorders>
            <w:tcMar>
              <w:bottom w:w="28" w:type="dxa"/>
            </w:tcMar>
            <w:vAlign w:val="center"/>
          </w:tcPr>
          <w:p>
            <w:pPr>
              <w:pStyle w:val="TableContents"/>
              <w:bidi w:val="0"/>
              <w:spacing w:before="0" w:after="283"/>
              <w:jc w:val="lef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w:t>
            </w:r>
          </w:p>
        </w:tc>
        <w:tc>
          <w:tcPr>
            <w:tcW w:w="11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2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Net cash provided by (used in) investing activities</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2,470,551</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(2,403,811</w:t>
            </w:r>
          </w:p>
        </w:tc>
        <w:tc>
          <w:tcPr>
            <w:tcW w:w="111"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r>
      <w:tr>
        <w:trPr/>
        <w:tc>
          <w:tcPr>
            <w:tcW w:w="7425" w:type="dxa"/>
            <w:tcBorders/>
            <w:vAlign w:val="center"/>
          </w:tcPr>
          <w:p>
            <w:pPr>
              <w:pStyle w:val="TableContents"/>
              <w:bidi w:val="0"/>
              <w:spacing w:before="0" w:after="283"/>
              <w:jc w:val="left"/>
              <w:rPr/>
            </w:pPr>
            <w:r>
              <w:rPr/>
              <w:t>Financing activities</w:t>
            </w:r>
          </w:p>
        </w:tc>
        <w:tc>
          <w:tcPr>
            <w:tcW w:w="6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pPr>
            <w:r>
              <w:rPr/>
              <w:t> </w:t>
            </w:r>
          </w:p>
        </w:tc>
        <w:tc>
          <w:tcPr>
            <w:tcW w:w="111" w:type="dxa"/>
            <w:tcBorders/>
            <w:vAlign w:val="center"/>
          </w:tcPr>
          <w:p>
            <w:pPr>
              <w:pStyle w:val="TableContents"/>
              <w:bidi w:val="0"/>
              <w:spacing w:before="0" w:after="0"/>
              <w:ind w:left="0" w:right="0" w:hanging="144"/>
              <w:jc w:val="left"/>
              <w:rPr/>
            </w:pPr>
            <w:r>
              <w:rPr/>
              <w:t> </w:t>
            </w:r>
          </w:p>
        </w:tc>
      </w:tr>
      <w:tr>
        <w:trPr/>
        <w:tc>
          <w:tcPr>
            <w:tcW w:w="7425" w:type="dxa"/>
            <w:tcBorders/>
            <w:shd w:fill="E6EFFF" w:val="clear"/>
            <w:vAlign w:val="center"/>
          </w:tcPr>
          <w:p>
            <w:pPr>
              <w:pStyle w:val="TableContents"/>
              <w:bidi w:val="0"/>
              <w:spacing w:before="0" w:after="283"/>
              <w:jc w:val="both"/>
              <w:rPr/>
            </w:pPr>
            <w:r>
              <w:rPr/>
              <w:t>Net proceeds from issuance of common shares, after issue</w:t>
              <w:br/>
              <w:t>costs</w:t>
            </w:r>
          </w:p>
        </w:tc>
        <w:tc>
          <w:tcPr>
            <w:tcW w:w="60" w:type="dxa"/>
            <w:tcBorders/>
            <w:shd w:fill="E6EFFF" w:val="clear"/>
            <w:vAlign w:val="center"/>
          </w:tcPr>
          <w:p>
            <w:pPr>
              <w:pStyle w:val="TableContents"/>
              <w:bidi w:val="0"/>
              <w:spacing w:before="0" w:after="0"/>
              <w:jc w:val="left"/>
              <w:rPr/>
            </w:pPr>
            <w:r>
              <w:rPr/>
              <w:t> </w:t>
            </w:r>
          </w:p>
        </w:tc>
        <w:tc>
          <w:tcPr>
            <w:tcW w:w="1227" w:type="dxa"/>
            <w:tcBorders/>
            <w:shd w:fill="E6EFFF" w:val="clear"/>
            <w:vAlign w:val="center"/>
          </w:tcPr>
          <w:p>
            <w:pPr>
              <w:pStyle w:val="TableContents"/>
              <w:bidi w:val="0"/>
              <w:spacing w:before="0" w:after="0"/>
              <w:jc w:val="right"/>
              <w:rPr/>
            </w:pPr>
            <w:r>
              <w:rPr/>
              <w:t>-</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27" w:type="dxa"/>
            <w:tcBorders/>
            <w:shd w:fill="E6EFFF" w:val="clear"/>
            <w:vAlign w:val="center"/>
          </w:tcPr>
          <w:p>
            <w:pPr>
              <w:pStyle w:val="TableContents"/>
              <w:bidi w:val="0"/>
              <w:spacing w:before="0" w:after="0"/>
              <w:jc w:val="right"/>
              <w:rPr/>
            </w:pPr>
            <w:r>
              <w:rPr/>
              <w:t>53,799,382</w:t>
            </w:r>
          </w:p>
        </w:tc>
        <w:tc>
          <w:tcPr>
            <w:tcW w:w="111" w:type="dxa"/>
            <w:tcBorders/>
            <w:shd w:fill="E6EFFF" w:val="clear"/>
            <w:vAlign w:val="center"/>
          </w:tcPr>
          <w:p>
            <w:pPr>
              <w:pStyle w:val="TableContents"/>
              <w:bidi w:val="0"/>
              <w:spacing w:before="0" w:after="0"/>
              <w:ind w:left="0" w:right="0" w:hanging="144"/>
              <w:jc w:val="left"/>
              <w:rPr/>
            </w:pPr>
            <w:r>
              <w:rPr/>
              <w:t> </w:t>
            </w:r>
          </w:p>
        </w:tc>
      </w:tr>
      <w:tr>
        <w:trPr/>
        <w:tc>
          <w:tcPr>
            <w:tcW w:w="7425" w:type="dxa"/>
            <w:tcBorders/>
            <w:vAlign w:val="center"/>
          </w:tcPr>
          <w:p>
            <w:pPr>
              <w:pStyle w:val="TableContents"/>
              <w:bidi w:val="0"/>
              <w:spacing w:before="0" w:after="283"/>
              <w:jc w:val="left"/>
              <w:rPr/>
            </w:pPr>
            <w:r>
              <w:rPr/>
              <w:t>Purchase of shares through normal course issuer bid for cancellation (Note 10 (b) &amp; (c))</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(483,040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w:t>
            </w:r>
          </w:p>
        </w:tc>
        <w:tc>
          <w:tcPr>
            <w:tcW w:w="111" w:type="dxa"/>
            <w:tcBorders/>
            <w:vAlign w:val="center"/>
          </w:tcPr>
          <w:p>
            <w:pPr>
              <w:pStyle w:val="TableContents"/>
              <w:bidi w:val="0"/>
              <w:spacing w:before="0" w:after="283"/>
              <w:ind w:left="0" w:right="0" w:hanging="144"/>
              <w:jc w:val="left"/>
              <w:rPr/>
            </w:pPr>
            <w:r>
              <w:rPr/>
              <w:t> </w:t>
            </w:r>
          </w:p>
        </w:tc>
      </w:tr>
      <w:tr>
        <w:trPr/>
        <w:tc>
          <w:tcPr>
            <w:tcW w:w="7425" w:type="dxa"/>
            <w:tcBorders/>
            <w:shd w:fill="E6EFFF" w:val="clear"/>
            <w:vAlign w:val="center"/>
          </w:tcPr>
          <w:p>
            <w:pPr>
              <w:pStyle w:val="TableContents"/>
              <w:bidi w:val="0"/>
              <w:spacing w:before="0" w:after="283"/>
              <w:jc w:val="left"/>
              <w:rPr/>
            </w:pPr>
            <w:r>
              <w:rPr/>
              <w:t>Proceeds from exercise of stock options (Note 10 (c))</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59,866</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91,344</w:t>
            </w:r>
          </w:p>
        </w:tc>
        <w:tc>
          <w:tcPr>
            <w:tcW w:w="111" w:type="dxa"/>
            <w:tcBorders/>
            <w:shd w:fill="E6EFFF" w:val="clear"/>
            <w:vAlign w:val="center"/>
          </w:tcPr>
          <w:p>
            <w:pPr>
              <w:pStyle w:val="TableContents"/>
              <w:bidi w:val="0"/>
              <w:spacing w:before="0" w:after="283"/>
              <w:jc w:val="left"/>
              <w:rPr/>
            </w:pPr>
            <w:r>
              <w:rPr/>
              <w:t> </w:t>
            </w:r>
          </w:p>
        </w:tc>
      </w:tr>
      <w:tr>
        <w:trPr/>
        <w:tc>
          <w:tcPr>
            <w:tcW w:w="7425" w:type="dxa"/>
            <w:tcBorders>
              <w:bottom w:val="single" w:sz="6" w:space="0" w:color="000000"/>
            </w:tcBorders>
            <w:tcMar>
              <w:bottom w:w="28" w:type="dxa"/>
            </w:tcMar>
            <w:vAlign w:val="center"/>
          </w:tcPr>
          <w:p>
            <w:pPr>
              <w:pStyle w:val="TableContents"/>
              <w:bidi w:val="0"/>
              <w:spacing w:before="0" w:after="283"/>
              <w:jc w:val="left"/>
              <w:rPr/>
            </w:pPr>
            <w:r>
              <w:rPr/>
              <w:t>Lease liabilities rent paid (Note 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(13,236</w:t>
            </w:r>
          </w:p>
        </w:tc>
        <w:tc>
          <w:tcPr>
            <w:tcW w:w="95" w:type="dxa"/>
            <w:tcBorders>
              <w:bottom w:val="single" w:sz="6" w:space="0" w:color="000000"/>
            </w:tcBorders>
            <w:tcMar>
              <w:bottom w:w="28" w:type="dxa"/>
            </w:tcMar>
            <w:vAlign w:val="center"/>
          </w:tcPr>
          <w:p>
            <w:pPr>
              <w:pStyle w:val="TableContents"/>
              <w:bidi w:val="0"/>
              <w:spacing w:before="0" w:after="283"/>
              <w:jc w:val="lef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w:t>
            </w:r>
          </w:p>
        </w:tc>
        <w:tc>
          <w:tcPr>
            <w:tcW w:w="11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2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Net cash (used in) provided by financing activities</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(436,410</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53,890,726</w:t>
            </w:r>
          </w:p>
        </w:tc>
        <w:tc>
          <w:tcPr>
            <w:tcW w:w="111"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74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Effect of exchange rate changes on cash</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(1,942,529</w:t>
            </w:r>
          </w:p>
        </w:tc>
        <w:tc>
          <w:tcPr>
            <w:tcW w:w="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(373,807</w:t>
            </w:r>
          </w:p>
        </w:tc>
        <w:tc>
          <w:tcPr>
            <w:tcW w:w="111"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r>
      <w:tr>
        <w:trPr/>
        <w:tc>
          <w:tcPr>
            <w:tcW w:w="7425" w:type="dxa"/>
            <w:tcBorders>
              <w:top w:val="single" w:sz="6" w:space="0" w:color="000000"/>
            </w:tcBorders>
            <w:shd w:fill="E6EFFF" w:val="clear"/>
            <w:tcMar>
              <w:top w:w="28" w:type="dxa"/>
            </w:tcMar>
            <w:vAlign w:val="center"/>
          </w:tcPr>
          <w:p>
            <w:pPr>
              <w:pStyle w:val="TableContents"/>
              <w:bidi w:val="0"/>
              <w:spacing w:before="0" w:after="283"/>
              <w:jc w:val="left"/>
              <w:rPr/>
            </w:pPr>
            <w:r>
              <w:rPr/>
              <w:t>Change in cash</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27" w:type="dxa"/>
            <w:tcBorders>
              <w:top w:val="single" w:sz="6" w:space="0" w:color="000000"/>
            </w:tcBorders>
            <w:shd w:fill="E6EFFF" w:val="clear"/>
            <w:tcMar>
              <w:top w:w="28" w:type="dxa"/>
            </w:tcMar>
            <w:vAlign w:val="center"/>
          </w:tcPr>
          <w:p>
            <w:pPr>
              <w:pStyle w:val="TableContents"/>
              <w:bidi w:val="0"/>
              <w:spacing w:before="0" w:after="283"/>
              <w:jc w:val="right"/>
              <w:rPr/>
            </w:pPr>
            <w:r>
              <w:rPr/>
              <w:t>(22,119,111</w:t>
            </w:r>
          </w:p>
        </w:tc>
        <w:tc>
          <w:tcPr>
            <w:tcW w:w="95" w:type="dxa"/>
            <w:tcBorders>
              <w:top w:val="single" w:sz="6" w:space="0" w:color="000000"/>
            </w:tcBorders>
            <w:shd w:fill="E6EFFF" w:val="clear"/>
            <w:tcMar>
              <w:top w:w="28" w:type="dxa"/>
            </w:tcMar>
            <w:vAlign w:val="center"/>
          </w:tcPr>
          <w:p>
            <w:pPr>
              <w:pStyle w:val="TableContents"/>
              <w:bidi w:val="0"/>
              <w:spacing w:before="0" w:after="283"/>
              <w:jc w:val="left"/>
              <w:rPr/>
            </w:pPr>
            <w:r>
              <w:rPr/>
              <w:t>)</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27" w:type="dxa"/>
            <w:tcBorders>
              <w:top w:val="single" w:sz="6" w:space="0" w:color="000000"/>
            </w:tcBorders>
            <w:shd w:fill="E6EFFF" w:val="clear"/>
            <w:tcMar>
              <w:top w:w="28" w:type="dxa"/>
            </w:tcMar>
            <w:vAlign w:val="center"/>
          </w:tcPr>
          <w:p>
            <w:pPr>
              <w:pStyle w:val="TableContents"/>
              <w:bidi w:val="0"/>
              <w:spacing w:before="0" w:after="283"/>
              <w:jc w:val="right"/>
              <w:rPr/>
            </w:pPr>
            <w:r>
              <w:rPr/>
              <w:t>34,878,112</w:t>
            </w:r>
          </w:p>
        </w:tc>
        <w:tc>
          <w:tcPr>
            <w:tcW w:w="111"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7425" w:type="dxa"/>
            <w:tcBorders>
              <w:bottom w:val="single" w:sz="6" w:space="0" w:color="000000"/>
            </w:tcBorders>
            <w:tcMar>
              <w:bottom w:w="28" w:type="dxa"/>
            </w:tcMar>
            <w:vAlign w:val="center"/>
          </w:tcPr>
          <w:p>
            <w:pPr>
              <w:pStyle w:val="TableContents"/>
              <w:bidi w:val="0"/>
              <w:spacing w:before="0" w:after="283"/>
              <w:jc w:val="left"/>
              <w:rPr/>
            </w:pPr>
            <w:r>
              <w:rPr/>
              <w:t>Cash, beginning of year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40,656,069</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5,777,957</w:t>
            </w:r>
          </w:p>
        </w:tc>
        <w:tc>
          <w:tcPr>
            <w:tcW w:w="11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2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Cash, end of year</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18,536,958</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40,656,069</w:t>
            </w:r>
          </w:p>
        </w:tc>
        <w:tc>
          <w:tcPr>
            <w:tcW w:w="111"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7425"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pPr>
            <w:r>
              <w:rPr/>
              <w:t> </w:t>
            </w:r>
          </w:p>
        </w:tc>
        <w:tc>
          <w:tcPr>
            <w:tcW w:w="111" w:type="dxa"/>
            <w:tcBorders/>
            <w:vAlign w:val="center"/>
          </w:tcPr>
          <w:p>
            <w:pPr>
              <w:pStyle w:val="TableContents"/>
              <w:bidi w:val="0"/>
              <w:spacing w:before="0" w:after="0"/>
              <w:jc w:val="left"/>
              <w:rPr/>
            </w:pPr>
            <w:r>
              <w:rPr/>
              <w:t> </w:t>
            </w:r>
          </w:p>
        </w:tc>
      </w:tr>
      <w:tr>
        <w:trPr/>
        <w:tc>
          <w:tcPr>
            <w:tcW w:w="7425" w:type="dxa"/>
            <w:tcBorders/>
            <w:shd w:fill="E6EFFF" w:val="clear"/>
            <w:vAlign w:val="center"/>
          </w:tcPr>
          <w:p>
            <w:pPr>
              <w:pStyle w:val="TableContents"/>
              <w:bidi w:val="0"/>
              <w:spacing w:before="0" w:after="283"/>
              <w:jc w:val="left"/>
              <w:rPr/>
            </w:pPr>
            <w:r>
              <w:rPr/>
              <w:t>Non-cash investing and financing activities:</w:t>
            </w:r>
          </w:p>
        </w:tc>
        <w:tc>
          <w:tcPr>
            <w:tcW w:w="60" w:type="dxa"/>
            <w:tcBorders/>
            <w:shd w:fill="E6EFFF" w:val="clear"/>
            <w:vAlign w:val="center"/>
          </w:tcPr>
          <w:p>
            <w:pPr>
              <w:pStyle w:val="TableContents"/>
              <w:bidi w:val="0"/>
              <w:spacing w:before="0" w:after="0"/>
              <w:jc w:val="left"/>
              <w:rPr/>
            </w:pPr>
            <w:r>
              <w:rPr/>
              <w:t> </w:t>
            </w:r>
          </w:p>
        </w:tc>
        <w:tc>
          <w:tcPr>
            <w:tcW w:w="1227" w:type="dxa"/>
            <w:tcBorders/>
            <w:shd w:fill="E6EFFF" w:val="clear"/>
            <w:vAlign w:val="center"/>
          </w:tcPr>
          <w:p>
            <w:pPr>
              <w:pStyle w:val="TableContents"/>
              <w:bidi w:val="0"/>
              <w:spacing w:before="0" w:after="0"/>
              <w:jc w:val="righ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27" w:type="dxa"/>
            <w:tcBorders/>
            <w:shd w:fill="E6EFFF" w:val="clear"/>
            <w:vAlign w:val="center"/>
          </w:tcPr>
          <w:p>
            <w:pPr>
              <w:pStyle w:val="TableContents"/>
              <w:bidi w:val="0"/>
              <w:spacing w:before="0" w:after="0"/>
              <w:jc w:val="right"/>
              <w:rPr/>
            </w:pPr>
            <w:r>
              <w:rPr/>
              <w:t> </w:t>
            </w:r>
          </w:p>
        </w:tc>
        <w:tc>
          <w:tcPr>
            <w:tcW w:w="111" w:type="dxa"/>
            <w:tcBorders/>
            <w:shd w:fill="E6EFFF" w:val="clear"/>
            <w:vAlign w:val="center"/>
          </w:tcPr>
          <w:p>
            <w:pPr>
              <w:pStyle w:val="TableContents"/>
              <w:bidi w:val="0"/>
              <w:spacing w:before="0" w:after="0"/>
              <w:jc w:val="left"/>
              <w:rPr/>
            </w:pPr>
            <w:r>
              <w:rPr/>
              <w:t> </w:t>
            </w:r>
          </w:p>
        </w:tc>
      </w:tr>
      <w:tr>
        <w:trPr/>
        <w:tc>
          <w:tcPr>
            <w:tcW w:w="7425" w:type="dxa"/>
            <w:tcBorders/>
            <w:vAlign w:val="center"/>
          </w:tcPr>
          <w:p>
            <w:pPr>
              <w:pStyle w:val="TableContents"/>
              <w:bidi w:val="0"/>
              <w:spacing w:before="0" w:after="283"/>
              <w:jc w:val="left"/>
              <w:rPr/>
            </w:pPr>
            <w:r>
              <w:rPr/>
              <w:t>Prepaid expenses acquired in reverse acquisition (Note 3)</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38,533</w:t>
            </w:r>
          </w:p>
        </w:tc>
        <w:tc>
          <w:tcPr>
            <w:tcW w:w="111" w:type="dxa"/>
            <w:tcBorders/>
            <w:vAlign w:val="center"/>
          </w:tcPr>
          <w:p>
            <w:pPr>
              <w:pStyle w:val="TableContents"/>
              <w:bidi w:val="0"/>
              <w:spacing w:before="0" w:after="283"/>
              <w:ind w:left="0" w:right="0" w:hanging="144"/>
              <w:jc w:val="left"/>
              <w:rPr/>
            </w:pPr>
            <w:r>
              <w:rPr/>
              <w:t> </w:t>
            </w:r>
          </w:p>
        </w:tc>
      </w:tr>
      <w:tr>
        <w:trPr/>
        <w:tc>
          <w:tcPr>
            <w:tcW w:w="7425" w:type="dxa"/>
            <w:tcBorders/>
            <w:shd w:fill="E6EFFF" w:val="clear"/>
            <w:vAlign w:val="center"/>
          </w:tcPr>
          <w:p>
            <w:pPr>
              <w:pStyle w:val="TableContents"/>
              <w:bidi w:val="0"/>
              <w:spacing w:before="0" w:after="283"/>
              <w:jc w:val="left"/>
              <w:rPr/>
            </w:pPr>
            <w:r>
              <w:rPr/>
              <w:t>Accounts payable and accrued liabilities assumed in reverse acquisition (Note 3)</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15,504</w:t>
            </w:r>
          </w:p>
        </w:tc>
        <w:tc>
          <w:tcPr>
            <w:tcW w:w="111" w:type="dxa"/>
            <w:tcBorders/>
            <w:shd w:fill="E6EFFF" w:val="clear"/>
            <w:vAlign w:val="center"/>
          </w:tcPr>
          <w:p>
            <w:pPr>
              <w:pStyle w:val="TableContents"/>
              <w:bidi w:val="0"/>
              <w:spacing w:before="0" w:after="283"/>
              <w:ind w:left="0" w:right="0" w:hanging="144"/>
              <w:jc w:val="left"/>
              <w:rPr/>
            </w:pPr>
            <w:r>
              <w:rPr/>
              <w:t> </w:t>
            </w:r>
          </w:p>
        </w:tc>
      </w:tr>
      <w:tr>
        <w:trPr/>
        <w:tc>
          <w:tcPr>
            <w:tcW w:w="7425" w:type="dxa"/>
            <w:tcBorders>
              <w:bottom w:val="single" w:sz="12" w:space="0" w:color="000000"/>
            </w:tcBorders>
            <w:tcMar>
              <w:bottom w:w="28" w:type="dxa"/>
            </w:tcMar>
            <w:vAlign w:val="center"/>
          </w:tcPr>
          <w:p>
            <w:pPr>
              <w:pStyle w:val="TableContents"/>
              <w:bidi w:val="0"/>
              <w:spacing w:before="0" w:after="283"/>
              <w:jc w:val="left"/>
              <w:rPr/>
            </w:pPr>
            <w:r>
              <w:rPr/>
              <w:t>Shares issued for conversion of notes payable and accrued interest (Notes 7 &amp; 8)</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tcMar>
              <w:bottom w:w="28" w:type="dxa"/>
            </w:tcMar>
            <w:vAlign w:val="center"/>
          </w:tcPr>
          <w:p>
            <w:pPr>
              <w:pStyle w:val="TableContents"/>
              <w:bidi w:val="0"/>
              <w:spacing w:before="0" w:after="283"/>
              <w:jc w:val="right"/>
              <w:rPr/>
            </w:pPr>
            <w:r>
              <w:rPr/>
              <w:t>13,188,591</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color w:val="212121"/>
        </w:rPr>
        <w:t>The accompanying notes are an integral part of these consolidated financial statements</w:t>
      </w:r>
      <w:r>
        <w:rPr/>
        <w:br/>
        <w:t>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w:t>
      </w:r>
      <w:r>
        <w:rPr/>
        <w:t> </w:t>
      </w:r>
      <w:r>
        <w:rPr>
          <w:b/>
        </w:rPr>
        <w:t>Nature of Operations and Continuance of Business</w:t>
      </w:r>
    </w:p>
    <w:p>
      <w:pPr>
        <w:pStyle w:val="TextBody"/>
        <w:bidi w:val="0"/>
        <w:ind w:left="480" w:right="0" w:hanging="0"/>
        <w:jc w:val="both"/>
        <w:rPr/>
      </w:pPr>
      <w:r>
        <w:rPr/>
        <w:t xml:space="preserve">Small Pharma Inc. (formerly, Unilock Capital Corp.) (the "Company" or "Small Pharma Inc.") was incorporated under the </w:t>
      </w:r>
      <w:r>
        <w:rPr>
          <w:i/>
        </w:rPr>
        <w:t xml:space="preserve">Business Corporations Act </w:t>
      </w:r>
      <w:r>
        <w:rPr/>
        <w:t>(British Columbia) (the "BCBCA") on January 23, 2018. Small Pharma Inc is a biotechnology company focused on developing short-duration psychedelic-assisted therapies for the treatment of mental health conditions. The Company's head office is located at 6-8 Bonhill Street, 3rd Floor, London, UK.</w:t>
      </w:r>
    </w:p>
    <w:p>
      <w:pPr>
        <w:pStyle w:val="TextBody"/>
        <w:bidi w:val="0"/>
        <w:ind w:left="480" w:right="0" w:hanging="0"/>
        <w:jc w:val="both"/>
        <w:rPr/>
      </w:pPr>
      <w:r>
        <w:rPr/>
        <w:t xml:space="preserve">Effective April 29, 2021, the Company completed its acquisition of all of the issued outstanding ordinary shares of Small Pharma Ltd which constituted the Company's qualifying transaction under TSX Venture Exchange ("TSXV") Policy 2.4 - </w:t>
      </w:r>
      <w:r>
        <w:rPr>
          <w:i/>
        </w:rPr>
        <w:t>Capital Pool Companies</w:t>
      </w:r>
      <w:r>
        <w:rPr/>
        <w:t>. This transaction constituted a reverse acquisition of the Company by Small Pharma Ltd, with Small Pharma Ltd being identified as the accounting acquirer. As a result, these consolidated financial statements are a continuation of Small Pharma Ltd. The Company's results of operations are included from April 29, 2021, onwards, except for capital which has been retroactively adjusted to reflect the capital of the Company. Refer to Note 3.</w:t>
      </w:r>
    </w:p>
    <w:p>
      <w:pPr>
        <w:pStyle w:val="TextBody"/>
        <w:bidi w:val="0"/>
        <w:ind w:left="480" w:right="0" w:hanging="0"/>
        <w:jc w:val="both"/>
        <w:rPr/>
      </w:pPr>
      <w:r>
        <w:rPr/>
        <w:t>On March 11, 2020, the World Health Organization declared COVID-19 a global pandemic. This contagious disease outbreak and any related adverse public health developments, has adversely affected workforces, economies, and financial markets globally, leading to an economic downturn. The impact on the Company has not been significant, but management continues to monitor the situation.</w:t>
      </w:r>
    </w:p>
    <w:p>
      <w:pPr>
        <w:pStyle w:val="TextBody"/>
        <w:bidi w:val="0"/>
        <w:ind w:left="0" w:right="0" w:hanging="0"/>
        <w:jc w:val="both"/>
        <w:rPr/>
      </w:pPr>
      <w:r>
        <w:rPr>
          <w:b/>
        </w:rPr>
        <w:t>2.</w:t>
      </w:r>
      <w:r>
        <w:rPr/>
        <w:t> </w:t>
      </w:r>
      <w:r>
        <w:rPr>
          <w:b/>
        </w:rPr>
        <w:t>Significant Accounting Policies</w:t>
      </w:r>
    </w:p>
    <w:p>
      <w:pPr>
        <w:pStyle w:val="TextBody"/>
        <w:bidi w:val="0"/>
        <w:ind w:left="480" w:right="0" w:hanging="0"/>
        <w:jc w:val="both"/>
        <w:rPr/>
      </w:pPr>
      <w:r>
        <w:rPr>
          <w:b/>
        </w:rPr>
        <w:t>(a)</w:t>
      </w:r>
      <w:r>
        <w:rPr/>
        <w:t> </w:t>
      </w:r>
      <w:r>
        <w:rPr>
          <w:b/>
        </w:rPr>
        <w:t>Statement of Compliance</w:t>
      </w:r>
    </w:p>
    <w:p>
      <w:pPr>
        <w:pStyle w:val="TextBody"/>
        <w:bidi w:val="0"/>
        <w:ind w:left="820" w:right="0" w:hanging="0"/>
        <w:jc w:val="both"/>
        <w:rPr/>
      </w:pPr>
      <w:r>
        <w:rPr/>
        <w:t>These consolidated financial statements have been prepared in accordance with International Financial Reporting Standards ("IFRS") as issued by the International Accounting Standards Board, and Interpretations of the International Financial Reporting Interpretations Committee issued and outstanding as of February 28, 2023.</w:t>
      </w:r>
    </w:p>
    <w:p>
      <w:pPr>
        <w:pStyle w:val="TextBody"/>
        <w:bidi w:val="0"/>
        <w:ind w:left="820" w:right="0" w:hanging="0"/>
        <w:jc w:val="both"/>
        <w:rPr/>
      </w:pPr>
      <w:r>
        <w:rPr/>
        <w:t>These consolidated financial statements were authorized for issuance by the board of directors on June 28, 2023.</w:t>
      </w:r>
    </w:p>
    <w:p>
      <w:pPr>
        <w:pStyle w:val="TextBody"/>
        <w:bidi w:val="0"/>
        <w:ind w:left="820" w:right="0" w:hanging="0"/>
        <w:jc w:val="both"/>
        <w:rPr/>
      </w:pPr>
      <w:r>
        <w:rPr/>
        <w:t>These consolidated financial statements include the accounts of the Company and its wholly-owned subsidiaries, including Small Pharma Ltd, a company incorporated in the UK on February 4, 2015, Small Pharma (US) Inc., a company incorporated in the State of Delaware, USA on July 5, 2022 that does not currently have significant assets and is not currently conducting active business operations and an amalgamated entity ("Amalco") between 1292589 B.C. Ltd. ("Subco") and Small Pharma Financing Inc. ("Finco") until Amalco's dissolution on October 7, 2021. Refer to Note 3.</w:t>
      </w:r>
    </w:p>
    <w:p>
      <w:pPr>
        <w:pStyle w:val="TextBody"/>
        <w:bidi w:val="0"/>
        <w:ind w:left="820" w:right="0" w:hanging="0"/>
        <w:jc w:val="both"/>
        <w:rPr/>
      </w:pPr>
      <w:r>
        <w:rPr/>
        <w:t>Subsidiaries are those entities over which the Company has control. Control exists when the company has the power, directly or indirectly, to govern the financial and operating policies of an entity and be exposed to the variable returns from its activities. The financial statements of subsidiaries are included in the consolidated financial statements from the date control commences until the date that control ceases.</w:t>
      </w:r>
    </w:p>
    <w:p>
      <w:pPr>
        <w:pStyle w:val="TextBody"/>
        <w:bidi w:val="0"/>
        <w:ind w:left="820" w:right="0" w:hanging="0"/>
        <w:jc w:val="both"/>
        <w:rPr/>
      </w:pPr>
      <w:r>
        <w:rPr/>
        <w:t>All intercompany transactions have been eliminated on consolidation.</w:t>
      </w:r>
    </w:p>
    <w:p>
      <w:pPr>
        <w:pStyle w:val="TextBody"/>
        <w:bidi w:val="0"/>
        <w:ind w:left="480" w:right="0" w:hanging="0"/>
        <w:jc w:val="both"/>
        <w:rPr/>
      </w:pPr>
      <w:r>
        <w:rPr>
          <w:b/>
        </w:rPr>
        <w:t>(b)</w:t>
      </w:r>
      <w:r>
        <w:rPr/>
        <w:t> </w:t>
      </w:r>
      <w:r>
        <w:rPr>
          <w:b/>
        </w:rPr>
        <w:t>Basis of Presentation</w:t>
      </w:r>
    </w:p>
    <w:p>
      <w:pPr>
        <w:pStyle w:val="TextBody"/>
        <w:bidi w:val="0"/>
        <w:ind w:left="820" w:right="0" w:hanging="0"/>
        <w:jc w:val="both"/>
        <w:rPr/>
      </w:pPr>
      <w:r>
        <w:rPr/>
        <w:t>These consolidated financial statements have been prepared on a historical cost basis except for certain financial instruments and equity instruments which are measured at fair value. All monetary references expressed in these notes are in Canadian dollars unless 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hanging="0"/>
        <w:jc w:val="both"/>
        <w:rPr/>
      </w:pPr>
      <w:r>
        <w:rPr>
          <w:b/>
        </w:rPr>
        <w:t xml:space="preserve">2. Significant Accounting Policies </w:t>
      </w:r>
      <w:r>
        <w:rPr/>
        <w:t>(continued)</w:t>
      </w:r>
    </w:p>
    <w:p>
      <w:pPr>
        <w:pStyle w:val="TextBody"/>
        <w:bidi w:val="0"/>
        <w:ind w:left="480" w:right="0" w:hanging="0"/>
        <w:jc w:val="both"/>
        <w:rPr/>
      </w:pPr>
      <w:r>
        <w:rPr>
          <w:b/>
        </w:rPr>
        <w:t>(c)</w:t>
      </w:r>
      <w:r>
        <w:rPr/>
        <w:t> </w:t>
      </w:r>
      <w:r>
        <w:rPr>
          <w:b/>
        </w:rPr>
        <w:t>Use of Estimates and Judgments</w:t>
      </w:r>
    </w:p>
    <w:p>
      <w:pPr>
        <w:pStyle w:val="TextBody"/>
        <w:bidi w:val="0"/>
        <w:ind w:left="820" w:right="0" w:hanging="0"/>
        <w:jc w:val="both"/>
        <w:rPr/>
      </w:pPr>
      <w:r>
        <w:rPr/>
        <w:t>The preparation of these consolidated financial statements in conformity with International Financial Reporting Standards ("IFRS") requires the Company's management to make judgments, estimates and assumptions that affect the application of accounting policies and reported amounts of assets and liabilities at the date of the consolidated financial statements and the reported amounts of revenues and expenses during the reporting period. Actual results may differ from these estimates. Estimates and underlying assumptions are reviewed on an ongoing basis. Revisions to accounting estimates are recognized in the period in which the estimate is revised and in any future periods affected.</w:t>
      </w:r>
    </w:p>
    <w:p>
      <w:pPr>
        <w:pStyle w:val="TextBody"/>
        <w:bidi w:val="0"/>
        <w:ind w:left="820" w:right="0" w:hanging="0"/>
        <w:jc w:val="both"/>
        <w:rPr/>
      </w:pPr>
      <w:r>
        <w:rPr/>
        <w:t>Significant areas requiring the use of estimates include:</w:t>
      </w:r>
    </w:p>
    <w:p>
      <w:pPr>
        <w:pStyle w:val="TextBody"/>
        <w:bidi w:val="0"/>
        <w:ind w:left="820" w:right="0" w:hanging="0"/>
        <w:jc w:val="both"/>
        <w:rPr>
          <w:i/>
        </w:rPr>
      </w:pPr>
      <w:r>
        <w:rPr>
          <w:i/>
        </w:rPr>
        <w:t>Income taxes, research and development expenditures tax credits and recoverability of potential deferred tax assets</w:t>
      </w:r>
    </w:p>
    <w:p>
      <w:pPr>
        <w:pStyle w:val="TextBody"/>
        <w:bidi w:val="0"/>
        <w:ind w:left="820" w:right="0" w:hanging="0"/>
        <w:jc w:val="both"/>
        <w:rPr/>
      </w:pPr>
      <w:r>
        <w:rPr/>
        <w:t>In assessing the probability of realizing any income tax assets recognized, management makes estimates related to expectations of future taxable income, applicable tax planning opportunities, expected timing of reversals of existing temporary differences and the likelihood that tax positions taken will be sustained upon examination by applicable tax authorities. In preparing income tax claims submitted to the tax authorities in relation to research and development expenditure, management makes estimates of the percentage of time spent by employees on qualifying research and development projects. Estimates of future taxable income are based on forecasted cash flows from operations and the application of existing tax laws in each jurisdiction. Examination by applicable tax authorities is supported based on individual facts and circumstances of the relevant tax position examined in the light of all available evidence. Where applicable tax laws and regulations are either unclear or subject to ongoing varying interpretations, it is reasonably possible that changes in these estimates can occur that materially affect the amounts of income tax assets recognized. Also, future changes in tax laws could limit the Company from realizing the tax benefits from the deferred tax assets. The Company reassesses unrecognized income tax assets at each reporting period.</w:t>
      </w:r>
    </w:p>
    <w:p>
      <w:pPr>
        <w:pStyle w:val="TextBody"/>
        <w:bidi w:val="0"/>
        <w:ind w:left="820" w:right="0" w:hanging="0"/>
        <w:jc w:val="both"/>
        <w:rPr>
          <w:i/>
        </w:rPr>
      </w:pPr>
      <w:r>
        <w:rPr>
          <w:i/>
        </w:rPr>
        <w:t>Share-based payments</w:t>
      </w:r>
    </w:p>
    <w:p>
      <w:pPr>
        <w:pStyle w:val="TextBody"/>
        <w:bidi w:val="0"/>
        <w:ind w:left="820" w:right="0" w:hanging="0"/>
        <w:jc w:val="both"/>
        <w:rPr/>
      </w:pPr>
      <w:r>
        <w:rPr/>
        <w:t>Management determines the charge for share-based payments using market-based valuation techniques. The fair value of the market-based share awards are determined at the date of grant using generally accepted valuation techniques, which is dependent on the terms and condition of the grant. Assumptions are made and judgment used in applying valuation techniques. These assumptions and judgments include estimating the future volatility of the stock price, expected dividend yield, future forfeiture rates and future equity instrument exercise behaviors and corporate performance. Such judgments and assumptions are inherently uncertain. Changes in these assumptions affect the fair value estimates.</w:t>
      </w:r>
    </w:p>
    <w:p>
      <w:pPr>
        <w:pStyle w:val="TextBody"/>
        <w:bidi w:val="0"/>
        <w:ind w:left="820" w:right="0" w:hanging="0"/>
        <w:jc w:val="both"/>
        <w:rPr>
          <w:i/>
        </w:rPr>
      </w:pPr>
      <w:r>
        <w:rPr>
          <w:i/>
        </w:rPr>
        <w:t>Derivative liabilities</w:t>
      </w:r>
    </w:p>
    <w:p>
      <w:pPr>
        <w:pStyle w:val="TextBody"/>
        <w:bidi w:val="0"/>
        <w:ind w:left="820" w:right="0" w:hanging="0"/>
        <w:jc w:val="both"/>
        <w:rPr/>
      </w:pPr>
      <w:r>
        <w:rPr/>
        <w:t>The Company makes estimates and assumptions relating to the fair value measurement and disclosure of its derivative liabilities. The fair values are determined using a variety of valuation techniques. The inputs to these models are derived from observable market data where possible, but where observable market data is not available, management's judgment is required to establish fair values.</w:t>
      </w:r>
    </w:p>
    <w:p>
      <w:pPr>
        <w:pStyle w:val="TextBody"/>
        <w:bidi w:val="0"/>
        <w:ind w:left="820" w:right="0" w:hanging="0"/>
        <w:jc w:val="both"/>
        <w:rPr>
          <w:i/>
        </w:rPr>
      </w:pPr>
      <w:r>
        <w:rPr>
          <w:i/>
        </w:rPr>
        <w:t>Going concern</w:t>
      </w:r>
    </w:p>
    <w:p>
      <w:pPr>
        <w:pStyle w:val="TextBody"/>
        <w:bidi w:val="0"/>
        <w:ind w:left="820" w:right="0" w:hanging="0"/>
        <w:jc w:val="both"/>
        <w:rPr/>
      </w:pPr>
      <w:r>
        <w:rPr/>
        <w:t>The consolidated financial statements are prepared on a going concern basis, which assumes that the Company will continue in operation for the foreseeable future and will be able to realize its assets and discharge its liabilities in the normal course of business. Management's assessment of going concern involves significant judgment based on historical experience, progress made in clinical trials and other factors, including reasonable expectations of future events based on the circumstances that existed at the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2. Significant Accounting Policies </w:t>
      </w:r>
      <w:r>
        <w:rPr/>
        <w:t>(continued)</w:t>
      </w:r>
    </w:p>
    <w:p>
      <w:pPr>
        <w:pStyle w:val="TextBody"/>
        <w:bidi w:val="0"/>
        <w:ind w:left="480" w:right="0" w:hanging="0"/>
        <w:jc w:val="both"/>
        <w:rPr/>
      </w:pPr>
      <w:r>
        <w:rPr>
          <w:b/>
        </w:rPr>
        <w:t>(d)</w:t>
      </w:r>
      <w:r>
        <w:rPr/>
        <w:t> </w:t>
      </w:r>
      <w:r>
        <w:rPr>
          <w:b/>
        </w:rPr>
        <w:t>Cash</w:t>
      </w:r>
    </w:p>
    <w:p>
      <w:pPr>
        <w:pStyle w:val="TextBody"/>
        <w:bidi w:val="0"/>
        <w:ind w:left="820" w:right="0" w:hanging="0"/>
        <w:jc w:val="both"/>
        <w:rPr/>
      </w:pPr>
      <w:r>
        <w:rPr/>
        <w:t>Cash in the consolidated statements of financial position comprise of cash held at banks and cash held in trust.</w:t>
      </w:r>
    </w:p>
    <w:p>
      <w:pPr>
        <w:pStyle w:val="TextBody"/>
        <w:bidi w:val="0"/>
        <w:ind w:left="480" w:right="0" w:hanging="0"/>
        <w:jc w:val="both"/>
        <w:rPr/>
      </w:pPr>
      <w:r>
        <w:rPr>
          <w:b/>
        </w:rPr>
        <w:t>(e)</w:t>
      </w:r>
      <w:r>
        <w:rPr/>
        <w:t> </w:t>
      </w:r>
      <w:r>
        <w:rPr>
          <w:b/>
        </w:rPr>
        <w:t>Property and Equipment</w:t>
      </w:r>
    </w:p>
    <w:p>
      <w:pPr>
        <w:pStyle w:val="TextBody"/>
        <w:bidi w:val="0"/>
        <w:ind w:left="820" w:right="0" w:hanging="0"/>
        <w:jc w:val="both"/>
        <w:rPr/>
      </w:pPr>
      <w:r>
        <w:rPr/>
        <w:t>Property and equipment are stated at cost, net of accumulated depreciation and accumulated impairment losses, if any. The Company depreciates the cost of property and equipment over their estimated useful lives using the straight-line basis at the following rates:</w:t>
      </w:r>
    </w:p>
    <w:tbl>
      <w:tblPr>
        <w:tblW w:w="2710" w:type="dxa"/>
        <w:jc w:val="left"/>
        <w:tblInd w:w="1440" w:type="dxa"/>
        <w:tblLayout w:type="fixed"/>
        <w:tblCellMar>
          <w:top w:w="0" w:type="dxa"/>
          <w:left w:w="0" w:type="dxa"/>
          <w:bottom w:w="0" w:type="dxa"/>
          <w:right w:w="0" w:type="dxa"/>
        </w:tblCellMar>
      </w:tblPr>
      <w:tblGrid>
        <w:gridCol w:w="2015"/>
        <w:gridCol w:w="695"/>
      </w:tblGrid>
      <w:tr>
        <w:trPr/>
        <w:tc>
          <w:tcPr>
            <w:tcW w:w="2015" w:type="dxa"/>
            <w:tcBorders/>
            <w:vAlign w:val="center"/>
          </w:tcPr>
          <w:p>
            <w:pPr>
              <w:pStyle w:val="TableContents"/>
              <w:bidi w:val="0"/>
              <w:spacing w:before="0" w:after="283"/>
              <w:jc w:val="left"/>
              <w:rPr/>
            </w:pPr>
            <w:r>
              <w:rPr/>
              <w:t>Computer equipment</w:t>
            </w:r>
          </w:p>
        </w:tc>
        <w:tc>
          <w:tcPr>
            <w:tcW w:w="695" w:type="dxa"/>
            <w:tcBorders/>
            <w:vAlign w:val="center"/>
          </w:tcPr>
          <w:p>
            <w:pPr>
              <w:pStyle w:val="TableContents"/>
              <w:bidi w:val="0"/>
              <w:spacing w:before="0" w:after="283"/>
              <w:jc w:val="left"/>
              <w:rPr/>
            </w:pPr>
            <w:r>
              <w:rPr/>
              <w:t>4 years</w:t>
            </w:r>
          </w:p>
        </w:tc>
      </w:tr>
      <w:tr>
        <w:trPr/>
        <w:tc>
          <w:tcPr>
            <w:tcW w:w="2015" w:type="dxa"/>
            <w:tcBorders/>
            <w:vAlign w:val="center"/>
          </w:tcPr>
          <w:p>
            <w:pPr>
              <w:pStyle w:val="TableContents"/>
              <w:bidi w:val="0"/>
              <w:spacing w:before="0" w:after="283"/>
              <w:jc w:val="left"/>
              <w:rPr/>
            </w:pPr>
            <w:r>
              <w:rPr/>
              <w:t>Equipment</w:t>
            </w:r>
          </w:p>
        </w:tc>
        <w:tc>
          <w:tcPr>
            <w:tcW w:w="695" w:type="dxa"/>
            <w:tcBorders/>
            <w:vAlign w:val="center"/>
          </w:tcPr>
          <w:p>
            <w:pPr>
              <w:pStyle w:val="TableContents"/>
              <w:bidi w:val="0"/>
              <w:spacing w:before="0" w:after="283"/>
              <w:jc w:val="left"/>
              <w:rPr/>
            </w:pPr>
            <w:r>
              <w:rPr/>
              <w:t>4 years</w:t>
            </w:r>
          </w:p>
        </w:tc>
      </w:tr>
    </w:tbl>
    <w:p>
      <w:pPr>
        <w:pStyle w:val="TextBody"/>
        <w:bidi w:val="0"/>
        <w:ind w:left="480" w:right="0" w:hanging="0"/>
        <w:jc w:val="both"/>
        <w:rPr/>
      </w:pPr>
      <w:r>
        <w:rPr>
          <w:b/>
        </w:rPr>
        <w:t>(f)</w:t>
      </w:r>
      <w:r>
        <w:rPr/>
        <w:t> </w:t>
      </w:r>
      <w:r>
        <w:rPr>
          <w:b/>
        </w:rPr>
        <w:t>Impairment of Non-Financial Assets</w:t>
      </w:r>
    </w:p>
    <w:p>
      <w:pPr>
        <w:pStyle w:val="TextBody"/>
        <w:bidi w:val="0"/>
        <w:ind w:left="820" w:right="0" w:hanging="0"/>
        <w:jc w:val="both"/>
        <w:rPr/>
      </w:pPr>
      <w:r>
        <w:rPr/>
        <w:t>At each reporting date, the Company reviews the carrying amounts of its tangible assets to determine whether there are any indications of impairment. If any such indication exists, the recoverable amount of the asset is estimated in order to determine the extent of the impairment, if any.</w:t>
      </w:r>
    </w:p>
    <w:p>
      <w:pPr>
        <w:pStyle w:val="TextBody"/>
        <w:bidi w:val="0"/>
        <w:ind w:left="820" w:right="0" w:hanging="0"/>
        <w:jc w:val="both"/>
        <w:rPr/>
      </w:pPr>
      <w:r>
        <w:rPr/>
        <w:t>Where the asset does not generate cash flows that are independent from other assets, the Company estimates the recoverable amount of the cash generating unit ("CGU") to which the asset belongs. The recoverable amount is determined as the higher of fair value less direct costs to sell and the asset's value in use. In assessing value in use, the estimated future cash flows are discounted to their present value. Estimated future cash flows are calculated using estimated recoverable reserves, estimated future commodity prices, and the expected future operating and capital costs. The pre-tax discount rate applied to the estimated future cash flows reflects current market assessments of the time value of money and the risks specific to the asset for which the future cash flow estimates have not been adjusted.</w:t>
      </w:r>
    </w:p>
    <w:p>
      <w:pPr>
        <w:pStyle w:val="TextBody"/>
        <w:bidi w:val="0"/>
        <w:ind w:left="820" w:right="0" w:hanging="0"/>
        <w:jc w:val="both"/>
        <w:rPr/>
      </w:pPr>
      <w:r>
        <w:rPr/>
        <w:t>If the carrying amount of an asset or CGU exceeds its recoverable amount, the carrying amount of the asset or CGU is reduced to its recoverable amount through an impairment charge to the consolidated statements of operations and comprehensive loss.</w:t>
      </w:r>
    </w:p>
    <w:p>
      <w:pPr>
        <w:pStyle w:val="TextBody"/>
        <w:bidi w:val="0"/>
        <w:ind w:left="820" w:right="0" w:hanging="0"/>
        <w:jc w:val="both"/>
        <w:rPr/>
      </w:pPr>
      <w:r>
        <w:rPr/>
        <w:t>Assets that have been impaired are tested for possible reversal of the impairment whenever events or changes in circumstance indicate that the impairment may have reversed. When an impairment subsequently reverses, the carrying amount of the asset or CGU is increased to the revised estimate of its recoverable amount, but only so that the increased carrying amount does not exceed the carrying amount that would have been determined (net of depreciation, depletion and amortization) had no impairment loss been recognized for the asset or CGU in prior periods. A reversal of impairment is recognized as a gain in the consolidated statements of operations and comprehensive loss.</w:t>
      </w:r>
    </w:p>
    <w:p>
      <w:pPr>
        <w:pStyle w:val="TextBody"/>
        <w:bidi w:val="0"/>
        <w:ind w:left="480" w:right="0" w:hanging="0"/>
        <w:jc w:val="both"/>
        <w:rPr/>
      </w:pPr>
      <w:r>
        <w:rPr>
          <w:b/>
        </w:rPr>
        <w:t>(g)</w:t>
      </w:r>
      <w:r>
        <w:rPr/>
        <w:t> </w:t>
      </w:r>
      <w:r>
        <w:rPr>
          <w:b/>
        </w:rPr>
        <w:t>Foreign Currency Translation</w:t>
      </w:r>
    </w:p>
    <w:p>
      <w:pPr>
        <w:pStyle w:val="TextBody"/>
        <w:bidi w:val="0"/>
        <w:ind w:left="820" w:right="0" w:hanging="0"/>
        <w:jc w:val="both"/>
        <w:rPr/>
      </w:pPr>
      <w:r>
        <w:rPr/>
        <w:t>The functional currency of the Company and its subsidiaries during the twelve months ended February 28, 2023 is the currency of the primary economic environment in which the entity operates. The Company's functional currency is the Canadian dollar. The functional currency of Small Pharma Ltd is the British pound sterling. The functional currency of Small Pharma (US) Inc. is the United States dollar.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2. Significant Accounting Policies </w:t>
      </w:r>
      <w:r>
        <w:rPr/>
        <w:t>(continued)</w:t>
      </w:r>
    </w:p>
    <w:p>
      <w:pPr>
        <w:pStyle w:val="TextBody"/>
        <w:bidi w:val="0"/>
        <w:ind w:left="820" w:right="0" w:hanging="0"/>
        <w:jc w:val="both"/>
        <w:rPr/>
      </w:pPr>
      <w:r>
        <w:rPr/>
        <w:t>Transactions denominated in currencies other than the functional currency are translated using the exchange rate in effect on the transaction date or at the annual average rate. Monetary assets and liabilities denominated in foreign currencies are retranslated at the rate of exchange in effect at the consolidated statements of financial position date. Non-monetary items are translated using the historical rate on the date of the transaction. Foreign exchange gains and losses are included in the consolidated statements of operations and comprehensive loss.</w:t>
      </w:r>
    </w:p>
    <w:p>
      <w:pPr>
        <w:pStyle w:val="TextBody"/>
        <w:bidi w:val="0"/>
        <w:ind w:left="820" w:right="0" w:hanging="0"/>
        <w:jc w:val="both"/>
        <w:rPr/>
      </w:pPr>
      <w:r>
        <w:rPr/>
        <w:t>Small Pharma Ltd and Small Pharma (US) Inc., translate their statements of operations and comprehensive loss items at the average rate during the period. Assets and liabilities are translated at exchange rates prevailing at the end of each reporting period. Exchange rate variations resulting from the retranslation at the closing rate of the net investment in these subsidiaries, together with differences between their statements of operations and comprehensive loss items translated at actual and average rates, are recognized in accumulated other comprehensive income (loss).</w:t>
      </w:r>
    </w:p>
    <w:p>
      <w:pPr>
        <w:pStyle w:val="TextBody"/>
        <w:bidi w:val="0"/>
        <w:ind w:left="820" w:right="0" w:hanging="0"/>
        <w:jc w:val="both"/>
        <w:rPr/>
      </w:pPr>
      <w:r>
        <w:rPr/>
        <w:t>The exchange rates used in the consolidated financial statements are as follows:</w:t>
      </w:r>
    </w:p>
    <w:tbl>
      <w:tblPr>
        <w:tblW w:w="5265" w:type="dxa"/>
        <w:jc w:val="left"/>
        <w:tblInd w:w="1440" w:type="dxa"/>
        <w:tblLayout w:type="fixed"/>
        <w:tblCellMar>
          <w:top w:w="0" w:type="dxa"/>
          <w:left w:w="0" w:type="dxa"/>
          <w:bottom w:w="0" w:type="dxa"/>
          <w:right w:w="0" w:type="dxa"/>
        </w:tblCellMar>
      </w:tblPr>
      <w:tblGrid>
        <w:gridCol w:w="2540"/>
        <w:gridCol w:w="60"/>
        <w:gridCol w:w="1235"/>
        <w:gridCol w:w="60"/>
        <w:gridCol w:w="60"/>
        <w:gridCol w:w="1235"/>
        <w:gridCol w:w="75"/>
      </w:tblGrid>
      <w:tr>
        <w:trPr/>
        <w:tc>
          <w:tcPr>
            <w:tcW w:w="25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February 28,</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February 28,</w:t>
            </w:r>
          </w:p>
        </w:tc>
        <w:tc>
          <w:tcPr>
            <w:tcW w:w="75"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center"/>
              <w:rPr/>
            </w:pPr>
            <w:r>
              <w:rPr/>
              <w:t> </w:t>
            </w:r>
          </w:p>
        </w:tc>
      </w:tr>
      <w:tr>
        <w:trPr/>
        <w:tc>
          <w:tcPr>
            <w:tcW w:w="2540" w:type="dxa"/>
            <w:tcBorders/>
            <w:shd w:fill="E6EFFF" w:val="clear"/>
            <w:vAlign w:val="center"/>
          </w:tcPr>
          <w:p>
            <w:pPr>
              <w:pStyle w:val="TableContents"/>
              <w:bidi w:val="0"/>
              <w:spacing w:before="0" w:after="283"/>
              <w:jc w:val="left"/>
              <w:rPr/>
            </w:pPr>
            <w:r>
              <w:rPr/>
              <w:t>Closing rate (GBP:CAD)</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1.6457</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1.7024</w:t>
            </w:r>
          </w:p>
        </w:tc>
        <w:tc>
          <w:tcPr>
            <w:tcW w:w="75" w:type="dxa"/>
            <w:tcBorders/>
            <w:shd w:fill="E6EFFF" w:val="clear"/>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Average rate (GBP:CAD)</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1.5949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1.7196</w:t>
            </w:r>
          </w:p>
        </w:tc>
        <w:tc>
          <w:tcPr>
            <w:tcW w:w="75" w:type="dxa"/>
            <w:tcBorders/>
            <w:vAlign w:val="center"/>
          </w:tcPr>
          <w:p>
            <w:pPr>
              <w:pStyle w:val="TableContents"/>
              <w:bidi w:val="0"/>
              <w:spacing w:before="0" w:after="283"/>
              <w:jc w:val="left"/>
              <w:rPr/>
            </w:pPr>
            <w:r>
              <w:rPr/>
              <w:t> </w:t>
            </w:r>
          </w:p>
        </w:tc>
      </w:tr>
      <w:tr>
        <w:trPr/>
        <w:tc>
          <w:tcPr>
            <w:tcW w:w="2540" w:type="dxa"/>
            <w:tcBorders/>
            <w:shd w:fill="E6EFFF" w:val="clear"/>
            <w:vAlign w:val="center"/>
          </w:tcPr>
          <w:p>
            <w:pPr>
              <w:pStyle w:val="TableContents"/>
              <w:bidi w:val="0"/>
              <w:spacing w:before="0" w:after="283"/>
              <w:jc w:val="left"/>
              <w:rPr/>
            </w:pPr>
            <w:r>
              <w:rPr/>
              <w:t>Closing rate (USD:CAD)</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1.3609</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n/a</w:t>
            </w:r>
          </w:p>
        </w:tc>
        <w:tc>
          <w:tcPr>
            <w:tcW w:w="75" w:type="dxa"/>
            <w:tcBorders/>
            <w:shd w:fill="E6EFFF" w:val="clear"/>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Average rate (USD:CAD)</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1.3347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bl>
    <w:p>
      <w:pPr>
        <w:pStyle w:val="TextBody"/>
        <w:bidi w:val="0"/>
        <w:ind w:left="480" w:right="0" w:hanging="0"/>
        <w:jc w:val="both"/>
        <w:rPr/>
      </w:pPr>
      <w:r>
        <w:rPr>
          <w:b/>
        </w:rPr>
        <w:t>(h)</w:t>
      </w:r>
      <w:r>
        <w:rPr/>
        <w:t> </w:t>
      </w:r>
      <w:r>
        <w:rPr>
          <w:b/>
        </w:rPr>
        <w:t>Research and Development Costs</w:t>
      </w:r>
    </w:p>
    <w:p>
      <w:pPr>
        <w:pStyle w:val="TextBody"/>
        <w:bidi w:val="0"/>
        <w:ind w:left="820" w:right="0" w:hanging="0"/>
        <w:jc w:val="both"/>
        <w:rPr/>
      </w:pPr>
      <w:r>
        <w:rPr/>
        <w:t>Research costs are charged to operations as incurred. Development activities involve a plan or design for the production of new or substantially improved products and processes. Development expenditures are capitalized only if development costs can be measured reliably, the product is technically and commercially feasible, future economic benefits are probable, and the Company intends to or has sufficient resources to complete development and to use or sell the asset. The expenditure capitalized includes the cost of materials, direct labour and overhead costs that are directly attributable to preparing the asset for its intended use and borrowing costs on qualifying assets. Other development expenditures are recognized in the consolidated statements of operations and comprehensive loss as incurred. At the reporting date, the technical and commercial viability of the Company's products has not yet been established and all development costs are recognized in the consolidated statements of operations and comprehensive loss as incurred. Non-refundable advance payments for goods or services that will be used for future research and development activities are deferred as prepaid expenses until the goods are delivered or services performed. Preclinical and clinical study costs are accrued over the service periods specified in the contracts and adjusted as necessary based on an ongoing review of the costs actually incurred.</w:t>
      </w:r>
    </w:p>
    <w:p>
      <w:pPr>
        <w:pStyle w:val="TextBody"/>
        <w:bidi w:val="0"/>
        <w:ind w:left="480" w:right="0" w:hanging="0"/>
        <w:jc w:val="both"/>
        <w:rPr/>
      </w:pPr>
      <w:r>
        <w:rPr>
          <w:b/>
        </w:rPr>
        <w:t>(i)</w:t>
      </w:r>
      <w:r>
        <w:rPr/>
        <w:t> </w:t>
      </w:r>
      <w:r>
        <w:rPr>
          <w:b/>
        </w:rPr>
        <w:t>Financial Instruments</w:t>
      </w:r>
    </w:p>
    <w:p>
      <w:pPr>
        <w:pStyle w:val="TextBody"/>
        <w:bidi w:val="0"/>
        <w:ind w:left="820" w:right="0" w:hanging="0"/>
        <w:jc w:val="both"/>
        <w:rPr/>
      </w:pPr>
      <w:r>
        <w:rPr/>
        <w:t>Financial assets and financial liabilities are recognized when the Company becomes a party to the contractual provisions of the respective instrument.</w:t>
      </w:r>
    </w:p>
    <w:p>
      <w:pPr>
        <w:pStyle w:val="TextBody"/>
        <w:bidi w:val="0"/>
        <w:ind w:left="820" w:right="0" w:hanging="0"/>
        <w:jc w:val="both"/>
        <w:rPr/>
      </w:pPr>
      <w:r>
        <w:rPr/>
        <w:t>Financial assets and financial liabilities are initially measured at fair value. Transaction costs that are directly attributable to the acquisition or issue of financial assets and financial liabilities (other than financial assets and financial liabilities at fair value through profit or loss ("FVTPL")) are included in the initial carrying value of the related instrument and are amortized using the effective interest method. Transaction costs directly attributable to the acquisition of financial assets or financial liabilities at FVTPL are recognized immediately in the consolidated statements of operations and comprehensive loss. Fair value estimates are made at the statement of financial position date based on relevant market information and information about the financial instrument. All financial instruments are classified into either: FVTPL or amortized cost.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2. Significant Accounting Policies </w:t>
      </w:r>
      <w:r>
        <w:rPr/>
        <w:t>(continued)</w:t>
      </w:r>
    </w:p>
    <w:p>
      <w:pPr>
        <w:pStyle w:val="TextBody"/>
        <w:bidi w:val="0"/>
        <w:ind w:left="480" w:right="0" w:hanging="0"/>
        <w:jc w:val="both"/>
        <w:rPr/>
      </w:pPr>
      <w:r>
        <w:rPr>
          <w:b/>
        </w:rPr>
        <w:t>(i)</w:t>
      </w:r>
      <w:r>
        <w:rPr/>
        <w:t> </w:t>
      </w:r>
      <w:r>
        <w:rPr>
          <w:b/>
        </w:rPr>
        <w:t>Financial Instruments</w:t>
      </w:r>
      <w:r>
        <w:rPr/>
        <w:t xml:space="preserve"> (continued)</w:t>
      </w:r>
    </w:p>
    <w:p>
      <w:pPr>
        <w:pStyle w:val="TextBody"/>
        <w:bidi w:val="0"/>
        <w:ind w:left="820" w:right="0" w:hanging="0"/>
        <w:jc w:val="both"/>
        <w:rPr/>
      </w:pPr>
      <w:r>
        <w:rPr/>
        <w:t>The Company has made the following classifications:</w:t>
      </w:r>
    </w:p>
    <w:tbl>
      <w:tblPr>
        <w:tblW w:w="7285" w:type="dxa"/>
        <w:jc w:val="left"/>
        <w:tblInd w:w="1440" w:type="dxa"/>
        <w:tblLayout w:type="fixed"/>
        <w:tblCellMar>
          <w:top w:w="0" w:type="dxa"/>
          <w:left w:w="0" w:type="dxa"/>
          <w:bottom w:w="0" w:type="dxa"/>
          <w:right w:w="0" w:type="dxa"/>
        </w:tblCellMar>
      </w:tblPr>
      <w:tblGrid>
        <w:gridCol w:w="5750"/>
        <w:gridCol w:w="1535"/>
      </w:tblGrid>
      <w:tr>
        <w:trPr/>
        <w:tc>
          <w:tcPr>
            <w:tcW w:w="5750" w:type="dxa"/>
            <w:tcBorders/>
            <w:shd w:fill="E6EFFF" w:val="clear"/>
            <w:vAlign w:val="center"/>
          </w:tcPr>
          <w:p>
            <w:pPr>
              <w:pStyle w:val="TableContents"/>
              <w:bidi w:val="0"/>
              <w:spacing w:before="0" w:after="283"/>
              <w:jc w:val="left"/>
              <w:rPr/>
            </w:pPr>
            <w:r>
              <w:rPr/>
              <w:t>Cash</w:t>
            </w:r>
          </w:p>
        </w:tc>
        <w:tc>
          <w:tcPr>
            <w:tcW w:w="1535" w:type="dxa"/>
            <w:tcBorders/>
            <w:shd w:fill="E6EFFF" w:val="clear"/>
            <w:vAlign w:val="center"/>
          </w:tcPr>
          <w:p>
            <w:pPr>
              <w:pStyle w:val="TableContents"/>
              <w:bidi w:val="0"/>
              <w:spacing w:before="0" w:after="283"/>
              <w:jc w:val="left"/>
              <w:rPr/>
            </w:pPr>
            <w:r>
              <w:rPr/>
              <w:t>Amortized cost </w:t>
            </w:r>
          </w:p>
        </w:tc>
      </w:tr>
      <w:tr>
        <w:trPr/>
        <w:tc>
          <w:tcPr>
            <w:tcW w:w="5750" w:type="dxa"/>
            <w:tcBorders/>
            <w:vAlign w:val="center"/>
          </w:tcPr>
          <w:p>
            <w:pPr>
              <w:pStyle w:val="TableContents"/>
              <w:bidi w:val="0"/>
              <w:spacing w:before="0" w:after="283"/>
              <w:jc w:val="left"/>
              <w:rPr/>
            </w:pPr>
            <w:r>
              <w:rPr/>
              <w:t>Trade and other receivables (excluding sales tax receivables)</w:t>
            </w:r>
          </w:p>
        </w:tc>
        <w:tc>
          <w:tcPr>
            <w:tcW w:w="1535" w:type="dxa"/>
            <w:tcBorders/>
            <w:vAlign w:val="center"/>
          </w:tcPr>
          <w:p>
            <w:pPr>
              <w:pStyle w:val="TableContents"/>
              <w:bidi w:val="0"/>
              <w:spacing w:before="0" w:after="283"/>
              <w:jc w:val="left"/>
              <w:rPr/>
            </w:pPr>
            <w:r>
              <w:rPr/>
              <w:t>Amortized cost </w:t>
            </w:r>
          </w:p>
        </w:tc>
      </w:tr>
      <w:tr>
        <w:trPr/>
        <w:tc>
          <w:tcPr>
            <w:tcW w:w="5750" w:type="dxa"/>
            <w:tcBorders/>
            <w:shd w:fill="E6EFFF" w:val="clear"/>
            <w:vAlign w:val="center"/>
          </w:tcPr>
          <w:p>
            <w:pPr>
              <w:pStyle w:val="TableContents"/>
              <w:bidi w:val="0"/>
              <w:spacing w:before="0" w:after="283"/>
              <w:jc w:val="left"/>
              <w:rPr/>
            </w:pPr>
            <w:r>
              <w:rPr/>
              <w:t>Restricted cash</w:t>
            </w:r>
          </w:p>
        </w:tc>
        <w:tc>
          <w:tcPr>
            <w:tcW w:w="1535" w:type="dxa"/>
            <w:tcBorders/>
            <w:shd w:fill="E6EFFF" w:val="clear"/>
            <w:vAlign w:val="center"/>
          </w:tcPr>
          <w:p>
            <w:pPr>
              <w:pStyle w:val="TableContents"/>
              <w:bidi w:val="0"/>
              <w:spacing w:before="0" w:after="283"/>
              <w:jc w:val="left"/>
              <w:rPr/>
            </w:pPr>
            <w:r>
              <w:rPr/>
              <w:t>Amortized cost </w:t>
            </w:r>
          </w:p>
        </w:tc>
      </w:tr>
      <w:tr>
        <w:trPr/>
        <w:tc>
          <w:tcPr>
            <w:tcW w:w="5750" w:type="dxa"/>
            <w:tcBorders/>
            <w:vAlign w:val="center"/>
          </w:tcPr>
          <w:p>
            <w:pPr>
              <w:pStyle w:val="TableContents"/>
              <w:bidi w:val="0"/>
              <w:spacing w:before="0" w:after="283"/>
              <w:jc w:val="left"/>
              <w:rPr/>
            </w:pPr>
            <w:r>
              <w:rPr/>
              <w:t>Accounts payable and accrued liabilities</w:t>
            </w:r>
          </w:p>
        </w:tc>
        <w:tc>
          <w:tcPr>
            <w:tcW w:w="1535" w:type="dxa"/>
            <w:tcBorders/>
            <w:vAlign w:val="center"/>
          </w:tcPr>
          <w:p>
            <w:pPr>
              <w:pStyle w:val="TableContents"/>
              <w:bidi w:val="0"/>
              <w:spacing w:before="0" w:after="283"/>
              <w:jc w:val="left"/>
              <w:rPr/>
            </w:pPr>
            <w:r>
              <w:rPr/>
              <w:t>Amortized cost </w:t>
            </w:r>
          </w:p>
        </w:tc>
      </w:tr>
      <w:tr>
        <w:trPr/>
        <w:tc>
          <w:tcPr>
            <w:tcW w:w="5750" w:type="dxa"/>
            <w:tcBorders/>
            <w:shd w:fill="E6EFFF" w:val="clear"/>
            <w:vAlign w:val="center"/>
          </w:tcPr>
          <w:p>
            <w:pPr>
              <w:pStyle w:val="TableContents"/>
              <w:bidi w:val="0"/>
              <w:spacing w:before="0" w:after="283"/>
              <w:jc w:val="left"/>
              <w:rPr/>
            </w:pPr>
            <w:r>
              <w:rPr/>
              <w:t>Lease liabilities</w:t>
            </w:r>
          </w:p>
        </w:tc>
        <w:tc>
          <w:tcPr>
            <w:tcW w:w="1535" w:type="dxa"/>
            <w:tcBorders/>
            <w:shd w:fill="E6EFFF" w:val="clear"/>
            <w:vAlign w:val="center"/>
          </w:tcPr>
          <w:p>
            <w:pPr>
              <w:pStyle w:val="TableContents"/>
              <w:bidi w:val="0"/>
              <w:spacing w:before="0" w:after="283"/>
              <w:jc w:val="left"/>
              <w:rPr/>
            </w:pPr>
            <w:r>
              <w:rPr/>
              <w:t>Amortized cost </w:t>
            </w:r>
          </w:p>
        </w:tc>
      </w:tr>
      <w:tr>
        <w:trPr/>
        <w:tc>
          <w:tcPr>
            <w:tcW w:w="5750" w:type="dxa"/>
            <w:tcBorders/>
            <w:vAlign w:val="center"/>
          </w:tcPr>
          <w:p>
            <w:pPr>
              <w:pStyle w:val="TableContents"/>
              <w:bidi w:val="0"/>
              <w:spacing w:before="0" w:after="283"/>
              <w:jc w:val="left"/>
              <w:rPr/>
            </w:pPr>
            <w:r>
              <w:rPr/>
              <w:t>Notes payable</w:t>
            </w:r>
          </w:p>
        </w:tc>
        <w:tc>
          <w:tcPr>
            <w:tcW w:w="1535" w:type="dxa"/>
            <w:tcBorders/>
            <w:vAlign w:val="center"/>
          </w:tcPr>
          <w:p>
            <w:pPr>
              <w:pStyle w:val="TableContents"/>
              <w:bidi w:val="0"/>
              <w:spacing w:before="0" w:after="283"/>
              <w:jc w:val="left"/>
              <w:rPr/>
            </w:pPr>
            <w:r>
              <w:rPr/>
              <w:t>Amortized cost </w:t>
            </w:r>
          </w:p>
        </w:tc>
      </w:tr>
      <w:tr>
        <w:trPr/>
        <w:tc>
          <w:tcPr>
            <w:tcW w:w="5750" w:type="dxa"/>
            <w:tcBorders/>
            <w:shd w:fill="E6EFFF" w:val="clear"/>
            <w:vAlign w:val="center"/>
          </w:tcPr>
          <w:p>
            <w:pPr>
              <w:pStyle w:val="TableContents"/>
              <w:bidi w:val="0"/>
              <w:spacing w:before="0" w:after="283"/>
              <w:jc w:val="left"/>
              <w:rPr/>
            </w:pPr>
            <w:r>
              <w:rPr/>
              <w:t>Derivative liabilities</w:t>
            </w:r>
          </w:p>
        </w:tc>
        <w:tc>
          <w:tcPr>
            <w:tcW w:w="1535" w:type="dxa"/>
            <w:tcBorders/>
            <w:shd w:fill="E6EFFF" w:val="clear"/>
            <w:vAlign w:val="center"/>
          </w:tcPr>
          <w:p>
            <w:pPr>
              <w:pStyle w:val="TableContents"/>
              <w:bidi w:val="0"/>
              <w:spacing w:before="0" w:after="283"/>
              <w:jc w:val="left"/>
              <w:rPr/>
            </w:pPr>
            <w:r>
              <w:rPr/>
              <w:t>FVTPL </w:t>
            </w:r>
          </w:p>
        </w:tc>
      </w:tr>
    </w:tbl>
    <w:p>
      <w:pPr>
        <w:pStyle w:val="TextBody"/>
        <w:bidi w:val="0"/>
        <w:ind w:left="820" w:right="0" w:hanging="0"/>
        <w:jc w:val="both"/>
        <w:rPr>
          <w:i/>
          <w:u w:val="single"/>
        </w:rPr>
      </w:pPr>
      <w:r>
        <w:rPr>
          <w:i/>
          <w:u w:val="single"/>
        </w:rPr>
        <w:t>Financial Assets</w:t>
      </w:r>
    </w:p>
    <w:p>
      <w:pPr>
        <w:pStyle w:val="TextBody"/>
        <w:bidi w:val="0"/>
        <w:ind w:left="820" w:right="0" w:hanging="0"/>
        <w:jc w:val="both"/>
        <w:rPr/>
      </w:pPr>
      <w:r>
        <w:rPr/>
        <w:t>The classification of financial assets depends on the nature and purpose of the financial assets and is determined at the time of initial recognition.</w:t>
      </w:r>
    </w:p>
    <w:p>
      <w:pPr>
        <w:pStyle w:val="TextBody"/>
        <w:bidi w:val="0"/>
        <w:ind w:left="820" w:right="0" w:hanging="0"/>
        <w:jc w:val="both"/>
        <w:rPr>
          <w:i/>
        </w:rPr>
      </w:pPr>
      <w:r>
        <w:rPr>
          <w:i/>
        </w:rPr>
        <w:t>Financial assets at FVTPL</w:t>
      </w:r>
    </w:p>
    <w:p>
      <w:pPr>
        <w:pStyle w:val="TextBody"/>
        <w:bidi w:val="0"/>
        <w:ind w:left="820" w:right="0" w:hanging="0"/>
        <w:jc w:val="both"/>
        <w:rPr/>
      </w:pPr>
      <w:r>
        <w:rPr/>
        <w:t>Financial assets are classified as FVTPL when the financial asset is either held for trading or it is designated as FVTPL. A financial asset is classified as held for trading if:</w:t>
      </w:r>
    </w:p>
    <w:p>
      <w:pPr>
        <w:pStyle w:val="TextBody"/>
        <w:numPr>
          <w:ilvl w:val="0"/>
          <w:numId w:val="3"/>
        </w:numPr>
        <w:pBdr/>
        <w:tabs>
          <w:tab w:val="clear" w:pos="1134"/>
          <w:tab w:val="left" w:pos="2199" w:leader="none"/>
        </w:tabs>
        <w:bidi w:val="0"/>
        <w:spacing w:before="0" w:after="0"/>
        <w:ind w:left="2199" w:right="0" w:hanging="283"/>
        <w:jc w:val="both"/>
        <w:rPr/>
      </w:pPr>
      <w:r>
        <w:rPr/>
        <w:t xml:space="preserve">it has been acquired principally for the purpose of selling it in the near term; or </w:t>
      </w:r>
    </w:p>
    <w:p>
      <w:pPr>
        <w:pStyle w:val="TextBody"/>
        <w:numPr>
          <w:ilvl w:val="0"/>
          <w:numId w:val="3"/>
        </w:numPr>
        <w:pBdr/>
        <w:tabs>
          <w:tab w:val="clear" w:pos="1134"/>
          <w:tab w:val="left" w:pos="2199" w:leader="none"/>
        </w:tabs>
        <w:bidi w:val="0"/>
        <w:spacing w:before="0" w:after="0"/>
        <w:ind w:left="2199" w:right="0" w:hanging="283"/>
        <w:jc w:val="both"/>
        <w:rPr/>
      </w:pPr>
      <w:r>
        <w:rPr/>
        <w:t xml:space="preserve">on initial recognition it is part of a portfolio of identified financial instruments that the Company manages together and has a recent actual pattern of short-term profit-taking; or </w:t>
      </w:r>
    </w:p>
    <w:p>
      <w:pPr>
        <w:pStyle w:val="TextBody"/>
        <w:numPr>
          <w:ilvl w:val="0"/>
          <w:numId w:val="3"/>
        </w:numPr>
        <w:pBdr/>
        <w:tabs>
          <w:tab w:val="clear" w:pos="1134"/>
          <w:tab w:val="left" w:pos="2201" w:leader="none"/>
        </w:tabs>
        <w:bidi w:val="0"/>
        <w:ind w:left="2201" w:right="0" w:hanging="283"/>
        <w:jc w:val="both"/>
        <w:rPr/>
      </w:pPr>
      <w:r>
        <w:rPr/>
        <w:t xml:space="preserve">it is a derivative that is not designated and effective as a hedging instrument. </w:t>
      </w:r>
    </w:p>
    <w:p>
      <w:pPr>
        <w:pStyle w:val="TextBody"/>
        <w:bidi w:val="0"/>
        <w:ind w:left="820" w:right="0" w:hanging="0"/>
        <w:jc w:val="both"/>
        <w:rPr>
          <w:i/>
        </w:rPr>
      </w:pPr>
      <w:r>
        <w:rPr>
          <w:i/>
        </w:rPr>
        <w:t>Financial assets at amortized cost</w:t>
      </w:r>
    </w:p>
    <w:p>
      <w:pPr>
        <w:pStyle w:val="TextBody"/>
        <w:bidi w:val="0"/>
        <w:ind w:left="820" w:right="0" w:hanging="0"/>
        <w:jc w:val="both"/>
        <w:rPr/>
      </w:pPr>
      <w:r>
        <w:rPr/>
        <w:t>Financial assets at amortized cost are non-derivative financial assets which are held within a business model whose objective is to hold assets to collect contractual cash flows and its contractual terms give rise on specified dates to cash flows that are solely payments of principal and interest on the principal amount outstanding. A financial asset (unless it is a trade receivable or other receivable without a significant financing component that is initially measured at the transaction price) is initially measured at fair value plus, for an item not at FVTPL, transaction costs that are directly attributable to its acquisition. Subsequent to initial recognition, financial assets are measured at amortized cost using the effective interest method, less any impairment. Subsequent to initial recognition, financial assets are measured at amortized cost unless designated as fair value through profit or loss.</w:t>
      </w:r>
    </w:p>
    <w:p>
      <w:pPr>
        <w:pStyle w:val="TextBody"/>
        <w:bidi w:val="0"/>
        <w:ind w:left="820" w:right="0" w:hanging="0"/>
        <w:jc w:val="both"/>
        <w:rPr>
          <w:i/>
        </w:rPr>
      </w:pPr>
      <w:r>
        <w:rPr>
          <w:i/>
        </w:rPr>
        <w:t>Impairment of financial assets</w:t>
      </w:r>
    </w:p>
    <w:p>
      <w:pPr>
        <w:pStyle w:val="TextBody"/>
        <w:bidi w:val="0"/>
        <w:ind w:left="820" w:right="0" w:hanging="0"/>
        <w:jc w:val="both"/>
        <w:rPr/>
      </w:pPr>
      <w:r>
        <w:rPr/>
        <w:t>Financial assets, other than those classified as FVTPL, are assessed for indicators of impairment at the end of each reporting period. Financial assets are considered to be impaired when there is objective evidence that, as a result of one or more events that occurred after the initial recognition of the financial asset, the estimated future cash flows of the investment have been decreased.</w:t>
      </w:r>
    </w:p>
    <w:p>
      <w:pPr>
        <w:pStyle w:val="TextBody"/>
        <w:bidi w:val="0"/>
        <w:ind w:left="820" w:right="0" w:hanging="0"/>
        <w:jc w:val="both"/>
        <w:rPr/>
      </w:pPr>
      <w:r>
        <w:rPr/>
        <w:t>The carrying amount of the financial asset is reduced by the impairment loss directly for all financial assets with the exception of trade receivables, where the carrying amount is reduced through the use of an allowance account.</w:t>
      </w:r>
    </w:p>
    <w:p>
      <w:pPr>
        <w:pStyle w:val="TextBody"/>
        <w:bidi w:val="0"/>
        <w:ind w:left="820" w:right="0" w:hanging="0"/>
        <w:jc w:val="both"/>
        <w:rPr/>
      </w:pPr>
      <w:r>
        <w:rPr/>
        <w:t>When a trade or other receivable is considered uncollectible, it is written off against the allowance account. Subsequent recoveries of amounts previously written off are offset against the allowance account. Changes in the carrying amount of the allowance account are recognized in the consolidated statements of operations and comprehensive loss. Loss allowances are based on the lifetime expected credit losses that result from all possible default events over the expected life of the trade receivable, using the simplified approach.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2. Significant Accounting Policies </w:t>
      </w:r>
      <w:r>
        <w:rPr/>
        <w:t>(continued)</w:t>
      </w:r>
    </w:p>
    <w:p>
      <w:pPr>
        <w:pStyle w:val="TextBody"/>
        <w:bidi w:val="0"/>
        <w:ind w:left="480" w:right="0" w:hanging="0"/>
        <w:jc w:val="both"/>
        <w:rPr/>
      </w:pPr>
      <w:r>
        <w:rPr>
          <w:b/>
        </w:rPr>
        <w:t>(i)</w:t>
      </w:r>
      <w:r>
        <w:rPr/>
        <w:t> </w:t>
      </w:r>
      <w:r>
        <w:rPr>
          <w:b/>
        </w:rPr>
        <w:t>Financial Instruments</w:t>
      </w:r>
      <w:r>
        <w:rPr/>
        <w:t xml:space="preserve"> (continued)</w:t>
      </w:r>
    </w:p>
    <w:p>
      <w:pPr>
        <w:pStyle w:val="TextBody"/>
        <w:bidi w:val="0"/>
        <w:ind w:left="820" w:right="0" w:hanging="0"/>
        <w:jc w:val="both"/>
        <w:rPr/>
      </w:pPr>
      <w:r>
        <w:rPr/>
        <w:t>For financial assets measured at amortized cost, if, in a subsequent period, the amount of the impairment loss decreases and the decrease can be related objectively to an event occurring after the impairment was recognized, the previously recognized impairment loss is reversed through the consolidated statements of operations and comprehensive loss, to the extent that the carrying amount of the investment at the date the impairment is reversed does not exceed what the amortized cost would have been had the impairment not been recognized.</w:t>
      </w:r>
    </w:p>
    <w:p>
      <w:pPr>
        <w:pStyle w:val="TextBody"/>
        <w:bidi w:val="0"/>
        <w:ind w:left="820" w:right="0" w:hanging="0"/>
        <w:jc w:val="both"/>
        <w:rPr>
          <w:i/>
          <w:u w:val="single"/>
        </w:rPr>
      </w:pPr>
      <w:r>
        <w:rPr>
          <w:i/>
          <w:u w:val="single"/>
        </w:rPr>
        <w:t>Financial Liabilities and Equity Instruments</w:t>
      </w:r>
    </w:p>
    <w:p>
      <w:pPr>
        <w:pStyle w:val="TextBody"/>
        <w:bidi w:val="0"/>
        <w:ind w:left="820" w:right="0" w:hanging="0"/>
        <w:jc w:val="both"/>
        <w:rPr>
          <w:i/>
        </w:rPr>
      </w:pPr>
      <w:r>
        <w:rPr>
          <w:i/>
        </w:rPr>
        <w:t>Classification as debt or equity</w:t>
      </w:r>
    </w:p>
    <w:p>
      <w:pPr>
        <w:pStyle w:val="TextBody"/>
        <w:bidi w:val="0"/>
        <w:ind w:left="820" w:right="0" w:hanging="0"/>
        <w:jc w:val="both"/>
        <w:rPr/>
      </w:pPr>
      <w:r>
        <w:rPr/>
        <w:t>Debt and equity instruments issued by the Company are classified as either financial liabilities or as equity in accordance with the substance of the contractual arrangements and the definitions of a financial liability and an equity instrument.</w:t>
      </w:r>
    </w:p>
    <w:p>
      <w:pPr>
        <w:pStyle w:val="TextBody"/>
        <w:bidi w:val="0"/>
        <w:ind w:left="820" w:right="0" w:hanging="0"/>
        <w:jc w:val="both"/>
        <w:rPr>
          <w:i/>
        </w:rPr>
      </w:pPr>
      <w:r>
        <w:rPr>
          <w:i/>
        </w:rPr>
        <w:t>Equity instruments</w:t>
      </w:r>
    </w:p>
    <w:p>
      <w:pPr>
        <w:pStyle w:val="TextBody"/>
        <w:bidi w:val="0"/>
        <w:ind w:left="820" w:right="0" w:hanging="0"/>
        <w:jc w:val="both"/>
        <w:rPr/>
      </w:pPr>
      <w:r>
        <w:rPr/>
        <w:t>An equity instrument is any contract that evidences a residual interest in the assets of an entity after deducting all of its liabilities. Equity instruments issued by the Company are recognized as the proceeds received, net of direct issuance costs.</w:t>
      </w:r>
    </w:p>
    <w:p>
      <w:pPr>
        <w:pStyle w:val="TextBody"/>
        <w:bidi w:val="0"/>
        <w:ind w:left="820" w:right="0" w:hanging="0"/>
        <w:jc w:val="both"/>
        <w:rPr>
          <w:i/>
        </w:rPr>
      </w:pPr>
      <w:r>
        <w:rPr>
          <w:i/>
        </w:rPr>
        <w:t>Other financial liabilities</w:t>
      </w:r>
    </w:p>
    <w:p>
      <w:pPr>
        <w:pStyle w:val="TextBody"/>
        <w:bidi w:val="0"/>
        <w:ind w:left="820" w:right="0" w:hanging="0"/>
        <w:jc w:val="both"/>
        <w:rPr/>
      </w:pPr>
      <w:r>
        <w:rPr/>
        <w:t>Other financial liabilities (including notes payable, lease liabilities, trade payables and accrued liabilities) are initially measured at fair value, net of transaction costs. Subsequently, other financial liabilities are measured at amortized cost using the effective interest method.</w:t>
      </w:r>
    </w:p>
    <w:p>
      <w:pPr>
        <w:pStyle w:val="TextBody"/>
        <w:bidi w:val="0"/>
        <w:ind w:left="820" w:right="0" w:hanging="0"/>
        <w:jc w:val="both"/>
        <w:rPr/>
      </w:pPr>
      <w:r>
        <w:rPr/>
        <w:t>The effective interest method is a method of calculating the amortized cost of a financial liability and of allocating interest expense over the relevant period. The effective interest rate is the rate that exactly discounts estimated future cash payments (including all fees and points paid or received that form an integral part of the effective interest rate, transaction costs and other premiums or discounts) through the expected life of the financial liability, or (where appropriate) a shorter period, to the net carrying amount on initial recognition.</w:t>
      </w:r>
    </w:p>
    <w:p>
      <w:pPr>
        <w:pStyle w:val="TextBody"/>
        <w:bidi w:val="0"/>
        <w:ind w:left="480" w:right="0" w:hanging="0"/>
        <w:jc w:val="both"/>
        <w:rPr/>
      </w:pPr>
      <w:r>
        <w:rPr>
          <w:b/>
        </w:rPr>
        <w:t>(j)</w:t>
      </w:r>
      <w:r>
        <w:rPr/>
        <w:t> </w:t>
      </w:r>
      <w:r>
        <w:rPr>
          <w:b/>
        </w:rPr>
        <w:t>Notes Payable and Derivative Liabilities</w:t>
      </w:r>
    </w:p>
    <w:p>
      <w:pPr>
        <w:pStyle w:val="TextBody"/>
        <w:bidi w:val="0"/>
        <w:ind w:left="820" w:right="0" w:hanging="0"/>
        <w:jc w:val="both"/>
        <w:rPr/>
      </w:pPr>
      <w:r>
        <w:rPr/>
        <w:t>Upon initial recognition, the Company determines whether the convertible notes payable consist of liability and equity components, or if both components represent liabilities. For notes payable which provide conversion into a fixed number of shares (the "fixed-for-fixed" criteria), the liability component is initially recorded at fair value and subsequently at amortized cost using the effective interest rate method. The liability component is accreted to the face value over the term of the notes payable. The equity component is recognized as the difference between the fair value of the instrument as a whole and the fair value of the liability component. Any directly attributable transaction costs are allocated to the liability and equity components in proportion to their initial carrying amounts.</w:t>
      </w:r>
    </w:p>
    <w:p>
      <w:pPr>
        <w:pStyle w:val="TextBody"/>
        <w:bidi w:val="0"/>
        <w:ind w:left="820" w:right="0" w:hanging="0"/>
        <w:jc w:val="both"/>
        <w:rPr/>
      </w:pPr>
      <w:r>
        <w:rPr/>
        <w:t>For notes payable which provide conversion into a variable number of shares or into a fixed number of shares for a variable amount of consideration, the conversion option is accounted for as an embedded derivative, which is separated from the host contract. The conversion option of the notes payable outstanding at February 28, 2021 met the criteria of a derivative instrument liability because the conversion price of the notes payable varied depending on certain factors and thus did not meet the "fixed-for-fixed" criteria. As a result, the Company separately account for the conversion feature as a derivative liability recorded at fair value and marked-to-market each period with the changes in the fair value recognized in the consolidated statements of operations and comprehensive loss. The notes payable liability component is recognized as the difference between the fair value of the instrument as a whole and the fair value of the derivative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2. Significant Accounting Policies </w:t>
      </w:r>
      <w:r>
        <w:rPr/>
        <w:t>(continued)</w:t>
      </w:r>
    </w:p>
    <w:p>
      <w:pPr>
        <w:pStyle w:val="TextBody"/>
        <w:bidi w:val="0"/>
        <w:ind w:left="820" w:right="0" w:hanging="0"/>
        <w:jc w:val="both"/>
        <w:rPr/>
      </w:pPr>
      <w:r>
        <w:rPr/>
        <w:t>The fair value of derivative liabilities was calculated based on a probability weighted scenario approach, whereby the probability of conversion of notes payable and the probability of notes payable being held to maturity are estimated based on management's expectations while utilizing various discount rates.</w:t>
      </w:r>
    </w:p>
    <w:p>
      <w:pPr>
        <w:pStyle w:val="TextBody"/>
        <w:bidi w:val="0"/>
        <w:ind w:left="480" w:right="0" w:hanging="0"/>
        <w:jc w:val="both"/>
        <w:rPr/>
      </w:pPr>
      <w:r>
        <w:rPr>
          <w:b/>
        </w:rPr>
        <w:t>(k)</w:t>
      </w:r>
      <w:r>
        <w:rPr/>
        <w:t> </w:t>
      </w:r>
      <w:r>
        <w:rPr>
          <w:b/>
        </w:rPr>
        <w:t>Income Taxes</w:t>
      </w:r>
    </w:p>
    <w:p>
      <w:pPr>
        <w:pStyle w:val="TextBody"/>
        <w:bidi w:val="0"/>
        <w:ind w:left="820" w:right="0" w:hanging="0"/>
        <w:jc w:val="both"/>
        <w:rPr>
          <w:i/>
        </w:rPr>
      </w:pPr>
      <w:r>
        <w:rPr>
          <w:i/>
        </w:rPr>
        <w:t>Current income tax</w:t>
      </w:r>
    </w:p>
    <w:p>
      <w:pPr>
        <w:pStyle w:val="TextBody"/>
        <w:bidi w:val="0"/>
        <w:ind w:left="820" w:right="0" w:hanging="0"/>
        <w:jc w:val="both"/>
        <w:rPr/>
      </w:pPr>
      <w:r>
        <w:rPr/>
        <w:t>Current income tax assets and liabilities for the current period are measured at the amount expected to be recovered from or paid to the taxation authorities. The tax rates and tax laws used to compute the amount are those that are enacted or substantively enacted, at the reporting date. Current income tax relating to items recognized directly in other comprehensive income or equity is recognized in other comprehensive income or equity and not in the consolidated statements of operations and comprehensive loss. Management periodically evaluates positions taken in the tax returns with respect to situations in which applicable tax regulations are subject to interpretation and establishes provisions where appropriate. Tax credits that can be claimed in relation to specific research and development expenditures are recognized once the claim and supporting documentation has been submitted to the tax authority and collectability of the claimed amount is reasonably assured.</w:t>
      </w:r>
    </w:p>
    <w:p>
      <w:pPr>
        <w:pStyle w:val="TextBody"/>
        <w:bidi w:val="0"/>
        <w:ind w:left="820" w:right="0" w:hanging="0"/>
        <w:jc w:val="both"/>
        <w:rPr>
          <w:i/>
        </w:rPr>
      </w:pPr>
      <w:r>
        <w:rPr>
          <w:i/>
        </w:rPr>
        <w:t>Deferred income tax</w:t>
      </w:r>
    </w:p>
    <w:p>
      <w:pPr>
        <w:pStyle w:val="TextBody"/>
        <w:bidi w:val="0"/>
        <w:ind w:left="820" w:right="0" w:hanging="0"/>
        <w:jc w:val="both"/>
        <w:rPr/>
      </w:pPr>
      <w:r>
        <w:rPr/>
        <w:t>Deferred income tax is provided using the statement of financial position method on temporary differences at the reporting date between the tax bases of assets and liabilities and their carrying amounts for financial reporting purposes. The carrying amount of deferred income tax assets is reviewed at the end of each reporting period and recognized only to the extent that it is probable that sufficient taxable income will be available to allow all or part of the deferred income tax asset to be utilized. Deferred income tax assets and liabilities are measured at the tax rates that are expected to apply to the year when the asset is realized or the liability is settled, based on tax rates (and tax laws) that have been enacted or substantively enacted by the end of the reporting period. Deferred income tax assets and deferred income tax liabilities are offset, if a legally enforceable right exists to set off current tax assets against current income tax liabilities and the deferred income taxes relate to the same taxable entity and the same taxation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2. Significant Accounting Policies </w:t>
      </w:r>
      <w:r>
        <w:rPr/>
        <w:t>(continued)</w:t>
      </w:r>
    </w:p>
    <w:p>
      <w:pPr>
        <w:pStyle w:val="TextBody"/>
        <w:bidi w:val="0"/>
        <w:ind w:left="480" w:right="0" w:hanging="0"/>
        <w:jc w:val="both"/>
        <w:rPr/>
      </w:pPr>
      <w:r>
        <w:rPr>
          <w:b/>
        </w:rPr>
        <w:t>(l)</w:t>
      </w:r>
      <w:r>
        <w:rPr/>
        <w:t> </w:t>
      </w:r>
      <w:r>
        <w:rPr>
          <w:b/>
        </w:rPr>
        <w:t>Share-based Payments</w:t>
      </w:r>
    </w:p>
    <w:p>
      <w:pPr>
        <w:pStyle w:val="TextBody"/>
        <w:bidi w:val="0"/>
        <w:ind w:left="820" w:right="0" w:hanging="0"/>
        <w:jc w:val="both"/>
        <w:rPr/>
      </w:pPr>
      <w:r>
        <w:rPr/>
        <w:t>The grant date fair value of share-based payment awards granted to employees is recognized as an employee expense, with a corresponding increase in equity, over the period that the employees unconditionally become entitled to the awards. The amount recognized as an expense is adjusted to reflect the number of awards for which the related service and non-market vesting conditions are expected to be met, such that the amount ultimately recognized as an expense is based on the number of awards that meet the related service and non-market performance conditions at the vesting date. For share-based payment awards with non-vesting conditions, the grant date fair value is measured to reflect such conditions and there is no true-up for differences between expected and actual outcomes.</w:t>
      </w:r>
    </w:p>
    <w:p>
      <w:pPr>
        <w:pStyle w:val="TextBody"/>
        <w:bidi w:val="0"/>
        <w:ind w:left="820" w:right="0" w:hanging="0"/>
        <w:jc w:val="both"/>
        <w:rPr/>
      </w:pPr>
      <w:r>
        <w:rPr/>
        <w:t>Share-based payment arrangements in which the Company receives goods or services as consideration for its own equity instruments are accounted for as equity-settled, share-based payment transactions, regardless of how the equity instruments are obtained by the Company.</w:t>
      </w:r>
    </w:p>
    <w:p>
      <w:pPr>
        <w:pStyle w:val="TextBody"/>
        <w:bidi w:val="0"/>
        <w:ind w:left="820" w:right="0" w:hanging="0"/>
        <w:jc w:val="both"/>
        <w:rPr/>
      </w:pPr>
      <w:r>
        <w:rPr/>
        <w:t>The fair value of the options is measured at the grant date using the Black-Scholes option pricing model. The fair value is recognized as an expense over the vesting period, which is the period over which all of the specified vesting conditions are satisfied with a corresponding increase in equity. For awards with graded vesting, the fair value of each tranche is recognized over its respective vesting period. Non-market vesting conditions are considered in making assumptions about the number of awards that are expected to vest. When the options are exercised, any proceeds received are credited to share capital along with the amount reflected in share-based payment reserve.</w:t>
      </w:r>
    </w:p>
    <w:p>
      <w:pPr>
        <w:pStyle w:val="TextBody"/>
        <w:bidi w:val="0"/>
        <w:ind w:left="480" w:right="0" w:hanging="0"/>
        <w:jc w:val="both"/>
        <w:rPr/>
      </w:pPr>
      <w:r>
        <w:rPr>
          <w:b/>
        </w:rPr>
        <w:t>(o)</w:t>
      </w:r>
      <w:r>
        <w:rPr/>
        <w:t> </w:t>
      </w:r>
      <w:r>
        <w:rPr>
          <w:b/>
        </w:rPr>
        <w:t>Loss Per Share</w:t>
      </w:r>
    </w:p>
    <w:p>
      <w:pPr>
        <w:pStyle w:val="TextBody"/>
        <w:bidi w:val="0"/>
        <w:ind w:left="820" w:right="0" w:hanging="0"/>
        <w:jc w:val="both"/>
        <w:rPr/>
      </w:pPr>
      <w:r>
        <w:rPr/>
        <w:t>Basic loss per share is computed using the weighted average number of common shares outstanding during the period. The treasury stock method is used for the calculation of diluted loss per share, whereby all "in the money" stock options and share purchase warrants are assumed to have been exercised at the beginning of the period and the proceeds from their exercise are assumed to have been used to purchase common shares at the average market price during the period. When a loss is incurred during the period, basic and diluted loss per share are the same as the exercise of stock options and share purchase warrants is considered to be anti-dilutive. As at February 28, 2023 and 2022, all outstanding stock options and share purchase warrants are anti-dilutive.</w:t>
      </w:r>
    </w:p>
    <w:p>
      <w:pPr>
        <w:pStyle w:val="TextBody"/>
        <w:bidi w:val="0"/>
        <w:ind w:left="480" w:right="0" w:hanging="0"/>
        <w:jc w:val="both"/>
        <w:rPr/>
      </w:pPr>
      <w:r>
        <w:rPr>
          <w:b/>
        </w:rPr>
        <w:t>(p)</w:t>
      </w:r>
      <w:r>
        <w:rPr/>
        <w:t> </w:t>
      </w:r>
      <w:r>
        <w:rPr>
          <w:b/>
        </w:rPr>
        <w:t>Accounting Standards Issued But Not Yet Effective</w:t>
      </w:r>
    </w:p>
    <w:p>
      <w:pPr>
        <w:pStyle w:val="TextBody"/>
        <w:bidi w:val="0"/>
        <w:ind w:left="820" w:right="0" w:hanging="0"/>
        <w:jc w:val="both"/>
        <w:rPr/>
      </w:pPr>
      <w:r>
        <w:rPr/>
        <w:t>The following new interpretations and amendments to existing accounting standards have been issued by the IASB, but have not been applied in preparing these consolidated financial statements as they are not yet effective until financial years beginning on or after January 1, 2023. None are expected to have a significant impact on the Company's consolidated financial statements.</w:t>
      </w:r>
    </w:p>
    <w:p>
      <w:pPr>
        <w:pStyle w:val="TextBody"/>
        <w:bidi w:val="0"/>
        <w:ind w:left="820" w:right="0" w:hanging="0"/>
        <w:jc w:val="both"/>
        <w:rPr/>
      </w:pPr>
      <w:r>
        <w:rPr/>
        <w:t xml:space="preserve">Amendments to IAS 1, </w:t>
      </w:r>
      <w:r>
        <w:rPr>
          <w:i/>
        </w:rPr>
        <w:t xml:space="preserve">Presentation of Financial Statements </w:t>
      </w:r>
      <w:r>
        <w:rPr/>
        <w:t>- Classification of liabilities as current and non-current and Disclosure of accounting policies (effective January 1, 2023)</w:t>
      </w:r>
    </w:p>
    <w:p>
      <w:pPr>
        <w:pStyle w:val="TextBody"/>
        <w:bidi w:val="0"/>
        <w:ind w:left="820" w:right="0" w:hanging="0"/>
        <w:jc w:val="both"/>
        <w:rPr/>
      </w:pPr>
      <w:r>
        <w:rPr/>
        <w:t xml:space="preserve">Amendments to IAS 12, </w:t>
      </w:r>
      <w:r>
        <w:rPr>
          <w:i/>
        </w:rPr>
        <w:t xml:space="preserve">Income Taxes </w:t>
      </w:r>
      <w:r>
        <w:rPr/>
        <w:t>- amendments regarded deferred tax on leases and decommissioning (effective January 1, 2023)</w:t>
      </w:r>
    </w:p>
    <w:p>
      <w:pPr>
        <w:pStyle w:val="TextBody"/>
        <w:bidi w:val="0"/>
        <w:ind w:left="820" w:right="0" w:hanging="0"/>
        <w:jc w:val="both"/>
        <w:rPr/>
      </w:pPr>
      <w:r>
        <w:rPr/>
        <w:t>Amendments to IAS 8, Accounting Policies, Changes in Accounting and Errors - amendments to provide guidance in distinguishing between accounting policies and accounting estimates (effective January 1, 2023)</w:t>
      </w:r>
    </w:p>
    <w:p>
      <w:pPr>
        <w:pStyle w:val="TextBody"/>
        <w:bidi w:val="0"/>
        <w:ind w:left="820" w:right="0" w:hanging="0"/>
        <w:jc w:val="both"/>
        <w:rPr/>
      </w:pPr>
      <w:r>
        <w:rPr/>
        <w:t>In addition, there are several new interpretations and amendments issued but not yet effective that are not applicable to the Company and so have not been included in the list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2. Significant Accounting Policies</w:t>
      </w:r>
      <w:r>
        <w:rPr/>
        <w:t xml:space="preserve"> (continued)</w:t>
      </w:r>
    </w:p>
    <w:p>
      <w:pPr>
        <w:pStyle w:val="TextBody"/>
        <w:bidi w:val="0"/>
        <w:ind w:left="480" w:right="0" w:hanging="0"/>
        <w:jc w:val="both"/>
        <w:rPr/>
      </w:pPr>
      <w:r>
        <w:rPr>
          <w:b/>
        </w:rPr>
        <w:t>(q)</w:t>
      </w:r>
      <w:r>
        <w:rPr/>
        <w:t> </w:t>
      </w:r>
      <w:r>
        <w:rPr>
          <w:b/>
        </w:rPr>
        <w:t>Segmented Information</w:t>
      </w:r>
    </w:p>
    <w:p>
      <w:pPr>
        <w:pStyle w:val="TextBody"/>
        <w:bidi w:val="0"/>
        <w:ind w:left="820" w:right="0" w:hanging="0"/>
        <w:jc w:val="both"/>
        <w:rPr/>
      </w:pPr>
      <w:r>
        <w:rPr/>
        <w:t>Reportable segments are defined as components of an enterprise about which separate financial information is available, that are evaluated regularly by the chief operating decision maker in deciding how to allocate resources and in assessing performance.</w:t>
      </w:r>
    </w:p>
    <w:p>
      <w:pPr>
        <w:pStyle w:val="TextBody"/>
        <w:bidi w:val="0"/>
        <w:ind w:left="820" w:right="0" w:hanging="0"/>
        <w:jc w:val="both"/>
        <w:rPr/>
      </w:pPr>
      <w:r>
        <w:rPr/>
        <w:t>The Company's operations primarily relate to the development of psychedelic and non-psychedelic medicine. The Company's management considers the business to have a single operation segment. The management's decisions are based on a single, integrated strategy and the performance is evaluated on an overall basis.</w:t>
      </w:r>
    </w:p>
    <w:p>
      <w:pPr>
        <w:pStyle w:val="TextBody"/>
        <w:bidi w:val="0"/>
        <w:ind w:left="480" w:right="0" w:hanging="0"/>
        <w:jc w:val="both"/>
        <w:rPr/>
      </w:pPr>
      <w:r>
        <w:rPr>
          <w:b/>
        </w:rPr>
        <w:t>(r)</w:t>
      </w:r>
      <w:r>
        <w:rPr/>
        <w:t> </w:t>
      </w:r>
      <w:r>
        <w:rPr>
          <w:b/>
        </w:rPr>
        <w:t>Related Party Transactions</w:t>
      </w:r>
    </w:p>
    <w:p>
      <w:pPr>
        <w:pStyle w:val="TextBody"/>
        <w:bidi w:val="0"/>
        <w:ind w:left="820" w:right="0" w:hanging="0"/>
        <w:jc w:val="both"/>
        <w:rPr/>
      </w:pPr>
      <w:r>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common significant influence. Related parties may be individuals or corporate entities. A transaction is considered to be a related party transaction when there is a transfer of resources or obligations between related parties.</w:t>
      </w:r>
    </w:p>
    <w:p>
      <w:pPr>
        <w:pStyle w:val="TextBody"/>
        <w:bidi w:val="0"/>
        <w:ind w:left="480" w:right="0" w:hanging="0"/>
        <w:jc w:val="both"/>
        <w:rPr/>
      </w:pPr>
      <w:r>
        <w:rPr>
          <w:b/>
        </w:rPr>
        <w:t>(s)</w:t>
      </w:r>
      <w:r>
        <w:rPr/>
        <w:t> </w:t>
      </w:r>
      <w:r>
        <w:rPr>
          <w:b/>
        </w:rPr>
        <w:t>Leases</w:t>
      </w:r>
    </w:p>
    <w:p>
      <w:pPr>
        <w:pStyle w:val="TextBody"/>
        <w:bidi w:val="0"/>
        <w:ind w:left="820" w:right="0" w:hanging="0"/>
        <w:jc w:val="both"/>
        <w:rPr/>
      </w:pPr>
      <w:r>
        <w:rPr/>
        <w:t xml:space="preserve">Under IFRS 16, </w:t>
      </w:r>
      <w:r>
        <w:rPr>
          <w:i/>
        </w:rPr>
        <w:t>Leases</w:t>
      </w:r>
      <w:r>
        <w:rPr/>
        <w:t>, the Company recognizes a right-of-use asset and a lease liability at the lease commencement date for leases greater than 12 months.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 Right-of-use assets are subsequently depreciated over the remaining term of the lease and are carried at cost less accumulated depreciation and impairment. The lease liability is initially measured at the present value of the lease payments that are not paid at the commencement date, discounted using the interest rate implicit in the lease or, if that rate cannot be readily determined, the Company's incremental borrowing rate. Lease liabilities are subsequently reduced by lease payments net of interest expense calculated using the effective interest method.</w:t>
      </w:r>
    </w:p>
    <w:p>
      <w:pPr>
        <w:pStyle w:val="TextBody"/>
        <w:bidi w:val="0"/>
        <w:ind w:left="820" w:right="0" w:hanging="0"/>
        <w:jc w:val="both"/>
        <w:rPr/>
      </w:pPr>
      <w:r>
        <w:rPr/>
        <w:t>Leases in which the Company is acting as lessee are only short-term lease contracts, for a period of 12 months or less. Payments under such leases are recognized to the consolidated statements of operations and comprehensive loss on a straight-line basis over the period of the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hanging="0"/>
        <w:jc w:val="both"/>
        <w:rPr/>
      </w:pPr>
      <w:r>
        <w:rPr>
          <w:b/>
        </w:rPr>
        <w:t>3.</w:t>
      </w:r>
      <w:r>
        <w:rPr/>
        <w:t> </w:t>
      </w:r>
      <w:r>
        <w:rPr>
          <w:b/>
        </w:rPr>
        <w:t>Acquisition of Small Pharma Ltd on April 29, 2021</w:t>
      </w:r>
    </w:p>
    <w:p>
      <w:pPr>
        <w:pStyle w:val="TextBody"/>
        <w:bidi w:val="0"/>
        <w:ind w:left="480" w:right="0" w:hanging="0"/>
        <w:jc w:val="both"/>
        <w:rPr/>
      </w:pPr>
      <w:r>
        <w:rPr/>
        <w:t>The Company, certain shareholders of the Company, and Small Pharma Ltd entered into an agreement on November 30, 2020, as amended on February 23, 2021, pursuant to which the Company agreed to acquire all the issued and outstanding ordinary shares of Small Pharma Ltd (the "Qualifying Transaction").</w:t>
      </w:r>
    </w:p>
    <w:p>
      <w:pPr>
        <w:pStyle w:val="TextBody"/>
        <w:bidi w:val="0"/>
        <w:ind w:left="480" w:right="0" w:hanging="0"/>
        <w:jc w:val="both"/>
        <w:rPr/>
      </w:pPr>
      <w:r>
        <w:rPr/>
        <w:t>On March 9, 2021, Finco issued 60,416,667 subscription receipts for gross proceeds of $58,000,000 (Note 10 (d)). The subscription receipts were converted into Finco shares on the basis of one Finco share for each subscription receipt. Concurrently upon completion of the Qualifying Transaction, the Company (formerly Unilock Capital Corp.), Subco and Finco completed a three-cornered amalgamation, pursuant to which all Finco shareholders exchanged Finco shares for the Company's shares on a one-for-one basis, and Finco and Subco amalgamated into Amalco, a subsidiary of the Company. On October 7, 2021, Amalco was wound-up and dissolved under the BCBCA, pursuant to which all of the assets of Amalco were distributed to the Company.</w:t>
      </w:r>
    </w:p>
    <w:p>
      <w:pPr>
        <w:pStyle w:val="TextBody"/>
        <w:bidi w:val="0"/>
        <w:ind w:left="480" w:right="0" w:hanging="0"/>
        <w:jc w:val="both"/>
        <w:rPr/>
      </w:pPr>
      <w:r>
        <w:rPr/>
        <w:t>The closing of the Qualifying Transaction occurred on April 29, 2021, at which time the Company issued 255,079,477 common shares in exchange for all of the issued and outstanding ordinary shares of Small Pharma Ltd. Small Pharma Ltd effected a share split of its ordinary shares on a 1:100 basis immediately prior to the closing of the Qualifying Transaction. All share amounts have been retroactively restated for all periods presented. The Company consolidated its common shares on a 4.6:1 basis immediately prior to the closing of the Qualifying Transaction.</w:t>
      </w:r>
    </w:p>
    <w:p>
      <w:pPr>
        <w:pStyle w:val="TextBody"/>
        <w:bidi w:val="0"/>
        <w:ind w:left="480" w:right="0" w:hanging="0"/>
        <w:jc w:val="both"/>
        <w:rPr/>
      </w:pPr>
      <w:r>
        <w:rPr/>
        <w:t xml:space="preserve">As a result of the completion of the Qualifying Transaction, the former shareholders of Small Pharma Ltd acquired 81% of the outstanding common shares of the Company, and, for accounting purposes, are considered to have acquired control of the Company. Accordingly, the Qualifying Transaction constitutes a reverse acquisition of the Company by Small Pharma Ltd and has been accounted for as a reverse acquisition transaction in accordance with the guidance provided in IFRS 2, </w:t>
      </w:r>
      <w:r>
        <w:rPr>
          <w:i/>
        </w:rPr>
        <w:t>Share-based Payment</w:t>
      </w:r>
      <w:r>
        <w:rPr/>
        <w:t xml:space="preserve">, and IFRS 3, </w:t>
      </w:r>
      <w:r>
        <w:rPr>
          <w:i/>
        </w:rPr>
        <w:t>Business Combinations</w:t>
      </w:r>
      <w:r>
        <w:rPr/>
        <w:t>. As the Company did not qualify as a business prior to the closing of the Qualifying Transaction according to the definition in IFRS 3, this reverse acquisition did not constitute a business combination; rather it was treated as an issuance of shares by Small Pharma Ltd for the net assets of the Company. Accordingly, no goodwill was recorded with respect to the transaction.</w:t>
      </w:r>
    </w:p>
    <w:p>
      <w:pPr>
        <w:pStyle w:val="TextBody"/>
        <w:bidi w:val="0"/>
        <w:ind w:left="480" w:right="0" w:hanging="0"/>
        <w:jc w:val="both"/>
        <w:rPr/>
      </w:pPr>
      <w:r>
        <w:rPr/>
        <w:t>The transaction was measured at the fair value of the common shares that Small Pharma Ltd would have had to issue to the shareholders of the Company, being 1,304,344 common shares with a fair value of $1,252,170, and the fair value of 130,433 stock options of the Company with a fair value of $90,018, to give the shareholders of the Company the same percentage of equity interest in the combined entity that results from the reverse acquisition had it taken the legal form of Small Pharma Ltd acquiring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3. Acquisition of Small Pharma Ltd on April 29, 2021 </w:t>
      </w:r>
      <w:r>
        <w:rPr/>
        <w:t>(continued)</w:t>
      </w:r>
    </w:p>
    <w:p>
      <w:pPr>
        <w:pStyle w:val="TextBody"/>
        <w:bidi w:val="0"/>
        <w:ind w:left="480" w:right="0" w:hanging="0"/>
        <w:jc w:val="both"/>
        <w:rPr/>
      </w:pPr>
      <w:r>
        <w:rPr/>
        <w:t>The fair value of common shares and stock options issued are estimated based on the financing event which took place concurrently to the reverse takeover transaction at the price of $0.96 per common share (Note 10 (d)). These consolidated financial statements include the accounts of the Company as at April 29, 2021 and the historical accounts of the business of Small Pharma Ltd since its incorporation on February 4, 2015.</w:t>
      </w:r>
    </w:p>
    <w:p>
      <w:pPr>
        <w:pStyle w:val="TextBody"/>
        <w:bidi w:val="0"/>
        <w:ind w:left="480" w:right="0" w:hanging="0"/>
        <w:jc w:val="both"/>
        <w:rPr/>
      </w:pPr>
      <w:r>
        <w:rPr/>
        <w:t>The purchase price was allocated as follows:</w:t>
      </w:r>
    </w:p>
    <w:tbl>
      <w:tblPr>
        <w:tblW w:w="7530" w:type="dxa"/>
        <w:jc w:val="left"/>
        <w:tblInd w:w="480" w:type="dxa"/>
        <w:tblLayout w:type="fixed"/>
        <w:tblCellMar>
          <w:top w:w="0" w:type="dxa"/>
          <w:left w:w="0" w:type="dxa"/>
          <w:bottom w:w="28" w:type="dxa"/>
          <w:right w:w="0" w:type="dxa"/>
        </w:tblCellMar>
      </w:tblPr>
      <w:tblGrid>
        <w:gridCol w:w="6380"/>
        <w:gridCol w:w="60"/>
        <w:gridCol w:w="980"/>
        <w:gridCol w:w="110"/>
      </w:tblGrid>
      <w:tr>
        <w:trPr/>
        <w:tc>
          <w:tcPr>
            <w:tcW w:w="638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center"/>
              <w:rPr/>
            </w:pPr>
            <w:r>
              <w:rPr/>
              <w:t>$</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6380" w:type="dxa"/>
            <w:tcBorders/>
            <w:shd w:fill="E6EFFF" w:val="clear"/>
            <w:tcMar>
              <w:bottom w:w="0" w:type="dxa"/>
            </w:tcMar>
            <w:vAlign w:val="center"/>
          </w:tcPr>
          <w:p>
            <w:pPr>
              <w:pStyle w:val="TableContents"/>
              <w:bidi w:val="0"/>
              <w:spacing w:before="0" w:after="283"/>
              <w:jc w:val="left"/>
              <w:rPr/>
            </w:pPr>
            <w:r>
              <w:rPr/>
              <w:t>Fair value of Small Pharma Inc. shares (1,304,344 common shares)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1,252,170</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6380" w:type="dxa"/>
            <w:tcBorders>
              <w:bottom w:val="single" w:sz="6" w:space="0" w:color="000000"/>
            </w:tcBorders>
            <w:vAlign w:val="center"/>
          </w:tcPr>
          <w:p>
            <w:pPr>
              <w:pStyle w:val="TableContents"/>
              <w:bidi w:val="0"/>
              <w:spacing w:before="0" w:after="283"/>
              <w:jc w:val="left"/>
              <w:rPr/>
            </w:pPr>
            <w:r>
              <w:rPr/>
              <w:t>Fair value of 130,433 stock options of the Company outstanding</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right"/>
              <w:rPr/>
            </w:pPr>
            <w:r>
              <w:rPr/>
              <w:t>90,018</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6380" w:type="dxa"/>
            <w:tcBorders>
              <w:top w:val="single" w:sz="6" w:space="0" w:color="000000"/>
              <w:bottom w:val="single" w:sz="6" w:space="0" w:color="000000"/>
            </w:tcBorders>
            <w:shd w:fill="E6EFFF" w:val="clear"/>
            <w:tcMar>
              <w:top w:w="28" w:type="dxa"/>
            </w:tcMar>
            <w:vAlign w:val="center"/>
          </w:tcPr>
          <w:p>
            <w:pPr>
              <w:pStyle w:val="TableContents"/>
              <w:bidi w:val="0"/>
              <w:spacing w:before="0" w:after="283"/>
              <w:jc w:val="left"/>
              <w:rPr/>
            </w:pPr>
            <w:r>
              <w:rPr/>
              <w:t>Total consideration</w:t>
            </w:r>
          </w:p>
        </w:tc>
        <w:tc>
          <w:tcPr>
            <w:tcW w:w="60" w:type="dxa"/>
            <w:tcBorders>
              <w:top w:val="single" w:sz="6" w:space="0" w:color="000000"/>
              <w:bottom w:val="single" w:sz="6" w:space="0" w:color="000000"/>
            </w:tcBorders>
            <w:shd w:fill="E6EFFF" w:val="clear"/>
            <w:tcMar>
              <w:top w:w="28" w:type="dxa"/>
            </w:tcMar>
            <w:vAlign w:val="center"/>
          </w:tcPr>
          <w:p>
            <w:pPr>
              <w:pStyle w:val="TableContents"/>
              <w:bidi w:val="0"/>
              <w:spacing w:before="0" w:after="283"/>
              <w:jc w:val="left"/>
              <w:rPr/>
            </w:pPr>
            <w:r>
              <w:rPr/>
              <w:t> </w:t>
            </w:r>
          </w:p>
        </w:tc>
        <w:tc>
          <w:tcPr>
            <w:tcW w:w="980" w:type="dxa"/>
            <w:tcBorders>
              <w:top w:val="single" w:sz="6" w:space="0" w:color="000000"/>
              <w:bottom w:val="single" w:sz="6" w:space="0" w:color="000000"/>
            </w:tcBorders>
            <w:shd w:fill="E6EFFF" w:val="clear"/>
            <w:tcMar>
              <w:top w:w="28" w:type="dxa"/>
            </w:tcMar>
            <w:vAlign w:val="center"/>
          </w:tcPr>
          <w:p>
            <w:pPr>
              <w:pStyle w:val="TableContents"/>
              <w:bidi w:val="0"/>
              <w:spacing w:before="0" w:after="283"/>
              <w:jc w:val="right"/>
              <w:rPr/>
            </w:pPr>
            <w:r>
              <w:rPr/>
              <w:t>1,342,188</w:t>
            </w:r>
          </w:p>
        </w:tc>
        <w:tc>
          <w:tcPr>
            <w:tcW w:w="110" w:type="dxa"/>
            <w:tcBorders>
              <w:top w:val="single" w:sz="6" w:space="0" w:color="000000"/>
              <w:bottom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6380" w:type="dxa"/>
            <w:tcBorders>
              <w:top w:val="single" w:sz="6" w:space="0" w:color="000000"/>
            </w:tcBorders>
            <w:tcMar>
              <w:top w:w="28" w:type="dxa"/>
              <w:bottom w:w="0" w:type="dxa"/>
            </w:tcMar>
            <w:vAlign w:val="center"/>
          </w:tcPr>
          <w:p>
            <w:pPr>
              <w:pStyle w:val="TableContents"/>
              <w:bidi w:val="0"/>
              <w:spacing w:before="0" w:after="283"/>
              <w:jc w:val="left"/>
              <w:rPr/>
            </w:pPr>
            <w:r>
              <w:rPr/>
              <w:t>Less: fair value of identifiable assets and liabilities acquired:</w:t>
            </w:r>
          </w:p>
        </w:tc>
        <w:tc>
          <w:tcPr>
            <w:tcW w:w="60" w:type="dxa"/>
            <w:tcBorders/>
            <w:tcMar>
              <w:bottom w:w="0" w:type="dxa"/>
            </w:tcMar>
            <w:vAlign w:val="center"/>
          </w:tcPr>
          <w:p>
            <w:pPr>
              <w:pStyle w:val="TableContents"/>
              <w:bidi w:val="0"/>
              <w:spacing w:before="0" w:after="0"/>
              <w:jc w:val="left"/>
              <w:rPr/>
            </w:pPr>
            <w:r>
              <w:rPr/>
              <w:t> </w:t>
            </w:r>
          </w:p>
        </w:tc>
        <w:tc>
          <w:tcPr>
            <w:tcW w:w="980" w:type="dxa"/>
            <w:tcBorders/>
            <w:tcMar>
              <w:bottom w:w="0" w:type="dxa"/>
            </w:tcMar>
            <w:vAlign w:val="center"/>
          </w:tcPr>
          <w:p>
            <w:pPr>
              <w:pStyle w:val="TableContents"/>
              <w:bidi w:val="0"/>
              <w:spacing w:before="0" w:after="0"/>
              <w:jc w:val="right"/>
              <w:rPr/>
            </w:pPr>
            <w:r>
              <w:rPr/>
              <w:t> </w:t>
            </w:r>
          </w:p>
        </w:tc>
        <w:tc>
          <w:tcPr>
            <w:tcW w:w="110" w:type="dxa"/>
            <w:tcBorders/>
            <w:tcMar>
              <w:bottom w:w="0" w:type="dxa"/>
            </w:tcMar>
            <w:vAlign w:val="center"/>
          </w:tcPr>
          <w:p>
            <w:pPr>
              <w:pStyle w:val="TableContents"/>
              <w:bidi w:val="0"/>
              <w:spacing w:before="0" w:after="0"/>
              <w:jc w:val="left"/>
              <w:rPr/>
            </w:pPr>
            <w:r>
              <w:rPr/>
              <w:t> </w:t>
            </w:r>
          </w:p>
        </w:tc>
      </w:tr>
      <w:tr>
        <w:trPr/>
        <w:tc>
          <w:tcPr>
            <w:tcW w:w="6380" w:type="dxa"/>
            <w:tcBorders/>
            <w:shd w:fill="E6EFFF" w:val="clear"/>
            <w:tcMar>
              <w:bottom w:w="0" w:type="dxa"/>
            </w:tcMar>
            <w:vAlign w:val="center"/>
          </w:tcPr>
          <w:p>
            <w:pPr>
              <w:pStyle w:val="TableContents"/>
              <w:bidi w:val="0"/>
              <w:spacing w:before="0" w:after="283"/>
              <w:jc w:val="left"/>
              <w:rPr/>
            </w:pPr>
            <w:r>
              <w:rPr/>
              <w:t>Cash</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109,146</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6380" w:type="dxa"/>
            <w:tcBorders/>
            <w:tcMar>
              <w:bottom w:w="0" w:type="dxa"/>
            </w:tcMar>
            <w:vAlign w:val="center"/>
          </w:tcPr>
          <w:p>
            <w:pPr>
              <w:pStyle w:val="TableContents"/>
              <w:bidi w:val="0"/>
              <w:spacing w:before="0" w:after="283"/>
              <w:jc w:val="left"/>
              <w:rPr/>
            </w:pPr>
            <w:r>
              <w:rPr/>
              <w:t>Prepaid expenses</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38,533</w:t>
            </w:r>
          </w:p>
        </w:tc>
        <w:tc>
          <w:tcPr>
            <w:tcW w:w="110" w:type="dxa"/>
            <w:tcBorders/>
            <w:tcMar>
              <w:bottom w:w="0" w:type="dxa"/>
            </w:tcMar>
            <w:vAlign w:val="center"/>
          </w:tcPr>
          <w:p>
            <w:pPr>
              <w:pStyle w:val="TableContents"/>
              <w:bidi w:val="0"/>
              <w:spacing w:before="0" w:after="283"/>
              <w:jc w:val="left"/>
              <w:rPr/>
            </w:pPr>
            <w:r>
              <w:rPr/>
              <w:t> </w:t>
            </w:r>
          </w:p>
        </w:tc>
      </w:tr>
      <w:tr>
        <w:trPr/>
        <w:tc>
          <w:tcPr>
            <w:tcW w:w="6380" w:type="dxa"/>
            <w:tcBorders>
              <w:bottom w:val="single" w:sz="6" w:space="0" w:color="000000"/>
            </w:tcBorders>
            <w:shd w:fill="E6EFFF" w:val="clear"/>
            <w:vAlign w:val="center"/>
          </w:tcPr>
          <w:p>
            <w:pPr>
              <w:pStyle w:val="TableContents"/>
              <w:bidi w:val="0"/>
              <w:spacing w:before="0" w:after="283"/>
              <w:jc w:val="left"/>
              <w:rPr/>
            </w:pPr>
            <w:r>
              <w:rPr/>
              <w:t>Accounts payable and accrued liabilities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980" w:type="dxa"/>
            <w:tcBorders>
              <w:bottom w:val="single" w:sz="6" w:space="0" w:color="000000"/>
            </w:tcBorders>
            <w:shd w:fill="E6EFFF" w:val="clear"/>
            <w:vAlign w:val="center"/>
          </w:tcPr>
          <w:p>
            <w:pPr>
              <w:pStyle w:val="TableContents"/>
              <w:bidi w:val="0"/>
              <w:spacing w:before="0" w:after="283"/>
              <w:jc w:val="right"/>
              <w:rPr/>
            </w:pPr>
            <w:r>
              <w:rPr/>
              <w:t>(15,504</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6380" w:type="dxa"/>
            <w:tcBorders>
              <w:top w:val="single" w:sz="6" w:space="0" w:color="000000"/>
              <w:bottom w:val="single" w:sz="6" w:space="0" w:color="000000"/>
            </w:tcBorders>
            <w:tcMar>
              <w:top w:w="28" w:type="dxa"/>
            </w:tcMar>
            <w:vAlign w:val="center"/>
          </w:tcPr>
          <w:p>
            <w:pPr>
              <w:pStyle w:val="TableContents"/>
              <w:bidi w:val="0"/>
              <w:spacing w:before="0" w:after="283"/>
              <w:jc w:val="left"/>
              <w:rPr/>
            </w:pPr>
            <w:r>
              <w:rPr/>
              <w:t>Net assets</w:t>
            </w:r>
          </w:p>
        </w:tc>
        <w:tc>
          <w:tcPr>
            <w:tcW w:w="60" w:type="dxa"/>
            <w:tcBorders>
              <w:top w:val="single" w:sz="6" w:space="0" w:color="000000"/>
              <w:bottom w:val="single" w:sz="6" w:space="0" w:color="000000"/>
            </w:tcBorders>
            <w:tcMar>
              <w:top w:w="28" w:type="dxa"/>
            </w:tcMar>
            <w:vAlign w:val="center"/>
          </w:tcPr>
          <w:p>
            <w:pPr>
              <w:pStyle w:val="TableContents"/>
              <w:bidi w:val="0"/>
              <w:spacing w:before="0" w:after="283"/>
              <w:jc w:val="left"/>
              <w:rPr/>
            </w:pPr>
            <w:r>
              <w:rPr/>
              <w:t> </w:t>
            </w:r>
          </w:p>
        </w:tc>
        <w:tc>
          <w:tcPr>
            <w:tcW w:w="980" w:type="dxa"/>
            <w:tcBorders>
              <w:top w:val="single" w:sz="6" w:space="0" w:color="000000"/>
              <w:bottom w:val="single" w:sz="6" w:space="0" w:color="000000"/>
            </w:tcBorders>
            <w:tcMar>
              <w:top w:w="28" w:type="dxa"/>
            </w:tcMar>
            <w:vAlign w:val="center"/>
          </w:tcPr>
          <w:p>
            <w:pPr>
              <w:pStyle w:val="TableContents"/>
              <w:bidi w:val="0"/>
              <w:spacing w:before="0" w:after="283"/>
              <w:jc w:val="right"/>
              <w:rPr/>
            </w:pPr>
            <w:r>
              <w:rPr/>
              <w:t>132,175</w:t>
            </w:r>
          </w:p>
        </w:tc>
        <w:tc>
          <w:tcPr>
            <w:tcW w:w="110" w:type="dxa"/>
            <w:tcBorders>
              <w:top w:val="single" w:sz="6" w:space="0" w:color="000000"/>
              <w:bottom w:val="single" w:sz="6" w:space="0" w:color="000000"/>
            </w:tcBorders>
            <w:tcMar>
              <w:top w:w="28" w:type="dxa"/>
            </w:tcMar>
            <w:vAlign w:val="center"/>
          </w:tcPr>
          <w:p>
            <w:pPr>
              <w:pStyle w:val="TableContents"/>
              <w:bidi w:val="0"/>
              <w:spacing w:before="0" w:after="283"/>
              <w:jc w:val="left"/>
              <w:rPr/>
            </w:pPr>
            <w:r>
              <w:rPr/>
              <w:t> </w:t>
            </w:r>
          </w:p>
        </w:tc>
      </w:tr>
      <w:tr>
        <w:trPr/>
        <w:tc>
          <w:tcPr>
            <w:tcW w:w="6380" w:type="dxa"/>
            <w:tcBorders>
              <w:top w:val="single" w:sz="6" w:space="0" w:color="000000"/>
              <w:bottom w:val="single" w:sz="12" w:space="0" w:color="000000"/>
            </w:tcBorders>
            <w:shd w:fill="E6EFFF" w:val="clear"/>
            <w:tcMar>
              <w:top w:w="28" w:type="dxa"/>
            </w:tcMar>
            <w:vAlign w:val="center"/>
          </w:tcPr>
          <w:p>
            <w:pPr>
              <w:pStyle w:val="TableContents"/>
              <w:bidi w:val="0"/>
              <w:spacing w:before="0" w:after="283"/>
              <w:jc w:val="left"/>
              <w:rPr/>
            </w:pPr>
            <w:r>
              <w:rPr/>
              <w:t>Listing costs</w:t>
            </w:r>
          </w:p>
        </w:tc>
        <w:tc>
          <w:tcPr>
            <w:tcW w:w="60" w:type="dxa"/>
            <w:tcBorders>
              <w:top w:val="single" w:sz="6" w:space="0" w:color="000000"/>
              <w:bottom w:val="single" w:sz="12" w:space="0" w:color="000000"/>
            </w:tcBorders>
            <w:shd w:fill="E6EFFF" w:val="clear"/>
            <w:tcMar>
              <w:top w:w="28" w:type="dxa"/>
            </w:tcMar>
            <w:vAlign w:val="center"/>
          </w:tcPr>
          <w:p>
            <w:pPr>
              <w:pStyle w:val="TableContents"/>
              <w:bidi w:val="0"/>
              <w:spacing w:before="0" w:after="283"/>
              <w:jc w:val="left"/>
              <w:rPr/>
            </w:pPr>
            <w:r>
              <w:rPr/>
              <w:t> </w:t>
            </w:r>
          </w:p>
        </w:tc>
        <w:tc>
          <w:tcPr>
            <w:tcW w:w="980" w:type="dxa"/>
            <w:tcBorders>
              <w:top w:val="single" w:sz="6" w:space="0" w:color="000000"/>
              <w:bottom w:val="single" w:sz="12" w:space="0" w:color="000000"/>
            </w:tcBorders>
            <w:shd w:fill="E6EFFF" w:val="clear"/>
            <w:tcMar>
              <w:top w:w="28" w:type="dxa"/>
            </w:tcMar>
            <w:vAlign w:val="center"/>
          </w:tcPr>
          <w:p>
            <w:pPr>
              <w:pStyle w:val="TableContents"/>
              <w:bidi w:val="0"/>
              <w:spacing w:before="0" w:after="283"/>
              <w:jc w:val="right"/>
              <w:rPr/>
            </w:pPr>
            <w:r>
              <w:rPr/>
              <w:t>1,210,013</w:t>
            </w:r>
          </w:p>
        </w:tc>
        <w:tc>
          <w:tcPr>
            <w:tcW w:w="110" w:type="dxa"/>
            <w:tcBorders>
              <w:top w:val="single" w:sz="6" w:space="0" w:color="000000"/>
              <w:bottom w:val="single" w:sz="12" w:space="0" w:color="000000"/>
            </w:tcBorders>
            <w:shd w:fill="E6EFFF" w:val="clear"/>
            <w:tcMar>
              <w:top w:w="28" w:type="dxa"/>
            </w:tcMar>
            <w:vAlign w:val="center"/>
          </w:tcPr>
          <w:p>
            <w:pPr>
              <w:pStyle w:val="TableContents"/>
              <w:bidi w:val="0"/>
              <w:spacing w:before="0" w:after="283"/>
              <w:jc w:val="left"/>
              <w:rPr/>
            </w:pPr>
            <w:r>
              <w:rPr/>
              <w:t> </w:t>
            </w:r>
          </w:p>
        </w:tc>
      </w:tr>
    </w:tbl>
    <w:p>
      <w:pPr>
        <w:pStyle w:val="TextBody"/>
        <w:bidi w:val="0"/>
        <w:ind w:left="480" w:right="0" w:hanging="0"/>
        <w:jc w:val="both"/>
        <w:rPr/>
      </w:pPr>
      <w:r>
        <w:rPr/>
        <w:t>Refer to Note 10 (d) for details of the concurrent subscription receipt financing in connection with the reverse acquisition.</w:t>
      </w:r>
    </w:p>
    <w:p>
      <w:pPr>
        <w:pStyle w:val="TextBody"/>
        <w:bidi w:val="0"/>
        <w:ind w:left="480" w:right="0" w:hanging="0"/>
        <w:jc w:val="both"/>
        <w:rPr/>
      </w:pPr>
      <w:r>
        <w:rPr/>
        <w:t>The fair value of stock options of Small Pharma Inc. was calculated using the Black-Scholes option pricing model with the following assumptions: volatility of 100%, expected life of 2.5 years, no dividends, and a risk-free rate of 0.44%.</w:t>
      </w:r>
    </w:p>
    <w:p>
      <w:pPr>
        <w:pStyle w:val="TextBody"/>
        <w:bidi w:val="0"/>
        <w:ind w:left="480" w:right="0" w:hanging="0"/>
        <w:jc w:val="both"/>
        <w:rPr/>
      </w:pPr>
      <w:r>
        <w:rPr/>
        <w:t>Included in listing costs for the year ended February 28, 2022 is $1,209,723 in connection with certain tax expenditures incurred as part of the Qualifying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b/>
        </w:rPr>
      </w:pPr>
      <w:r>
        <w:rPr>
          <w:b/>
        </w:rPr>
        <w:t>4. Non-current assets</w:t>
      </w:r>
    </w:p>
    <w:p>
      <w:pPr>
        <w:pStyle w:val="TextBody"/>
        <w:bidi w:val="0"/>
        <w:spacing w:before="0" w:after="0"/>
        <w:jc w:val="left"/>
        <w:rPr/>
      </w:pPr>
      <w:r>
        <w:rPr/>
      </w:r>
    </w:p>
    <w:tbl>
      <w:tblPr>
        <w:tblW w:w="6715" w:type="dxa"/>
        <w:jc w:val="left"/>
        <w:tblInd w:w="480" w:type="dxa"/>
        <w:tblLayout w:type="fixed"/>
        <w:tblCellMar>
          <w:top w:w="0" w:type="dxa"/>
          <w:left w:w="0" w:type="dxa"/>
          <w:bottom w:w="0" w:type="dxa"/>
          <w:right w:w="0" w:type="dxa"/>
        </w:tblCellMar>
      </w:tblPr>
      <w:tblGrid>
        <w:gridCol w:w="3530"/>
        <w:gridCol w:w="60"/>
        <w:gridCol w:w="1655"/>
        <w:gridCol w:w="95"/>
        <w:gridCol w:w="60"/>
        <w:gridCol w:w="1205"/>
        <w:gridCol w:w="110"/>
      </w:tblGrid>
      <w:tr>
        <w:trPr/>
        <w:tc>
          <w:tcPr>
            <w:tcW w:w="353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center"/>
              <w:rPr/>
            </w:pPr>
            <w:r>
              <w:rPr/>
              <w:t>Property, plant &amp;</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tcBorders/>
            <w:vAlign w:val="center"/>
          </w:tcPr>
          <w:p>
            <w:pPr>
              <w:pStyle w:val="TableContents"/>
              <w:bidi w:val="0"/>
              <w:spacing w:before="0" w:after="283"/>
              <w:jc w:val="center"/>
              <w:rPr/>
            </w:pPr>
            <w:r>
              <w:rPr/>
              <w:t>Right-of-use</w:t>
            </w:r>
          </w:p>
        </w:tc>
        <w:tc>
          <w:tcPr>
            <w:tcW w:w="110" w:type="dxa"/>
            <w:tcBorders/>
            <w:vAlign w:val="center"/>
          </w:tcPr>
          <w:p>
            <w:pPr>
              <w:pStyle w:val="TableContents"/>
              <w:bidi w:val="0"/>
              <w:spacing w:before="0" w:after="283"/>
              <w:jc w:val="right"/>
              <w:rPr/>
            </w:pPr>
            <w:r>
              <w:rPr/>
              <w:t> </w:t>
            </w:r>
          </w:p>
        </w:tc>
      </w:tr>
      <w:tr>
        <w:trPr/>
        <w:tc>
          <w:tcPr>
            <w:tcW w:w="353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center"/>
              <w:rPr/>
            </w:pPr>
            <w:r>
              <w:rPr/>
              <w:t>equipment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tcBorders/>
            <w:vAlign w:val="center"/>
          </w:tcPr>
          <w:p>
            <w:pPr>
              <w:pStyle w:val="TableContents"/>
              <w:bidi w:val="0"/>
              <w:spacing w:before="0" w:after="283"/>
              <w:jc w:val="center"/>
              <w:rPr/>
            </w:pPr>
            <w:r>
              <w:rPr/>
              <w:t>asset</w:t>
            </w:r>
          </w:p>
        </w:tc>
        <w:tc>
          <w:tcPr>
            <w:tcW w:w="11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655"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05" w:type="dxa"/>
            <w:tcBorders>
              <w:bottom w:val="single" w:sz="6" w:space="0" w:color="000000"/>
            </w:tcBorders>
            <w:tcMar>
              <w:bottom w:w="28" w:type="dxa"/>
            </w:tcMar>
            <w:vAlign w:val="center"/>
          </w:tcPr>
          <w:p>
            <w:pPr>
              <w:pStyle w:val="TableContents"/>
              <w:bidi w:val="0"/>
              <w:spacing w:before="0" w:after="283"/>
              <w:jc w:val="center"/>
              <w:rPr/>
            </w:pPr>
            <w:r>
              <w:rPr/>
              <w:t>$</w:t>
            </w:r>
          </w:p>
        </w:tc>
        <w:tc>
          <w:tcPr>
            <w:tcW w:w="11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530" w:type="dxa"/>
            <w:tcBorders>
              <w:top w:val="single" w:sz="6" w:space="0" w:color="000000"/>
            </w:tcBorders>
            <w:shd w:fill="E6EFFF" w:val="clear"/>
            <w:tcMar>
              <w:top w:w="28" w:type="dxa"/>
            </w:tcMar>
            <w:vAlign w:val="center"/>
          </w:tcPr>
          <w:p>
            <w:pPr>
              <w:pStyle w:val="TableContents"/>
              <w:bidi w:val="0"/>
              <w:spacing w:before="0" w:after="283"/>
              <w:jc w:val="left"/>
              <w:rPr/>
            </w:pPr>
            <w:r>
              <w:rPr/>
              <w:t>Cost:</w:t>
            </w:r>
          </w:p>
        </w:tc>
        <w:tc>
          <w:tcPr>
            <w:tcW w:w="60" w:type="dxa"/>
            <w:tcBorders/>
            <w:shd w:fill="E6EFFF" w:val="clear"/>
            <w:vAlign w:val="center"/>
          </w:tcPr>
          <w:p>
            <w:pPr>
              <w:pStyle w:val="TableContents"/>
              <w:bidi w:val="0"/>
              <w:spacing w:before="0" w:after="0"/>
              <w:jc w:val="left"/>
              <w:rPr/>
            </w:pPr>
            <w:r>
              <w:rPr/>
              <w:t> </w:t>
            </w:r>
          </w:p>
        </w:tc>
        <w:tc>
          <w:tcPr>
            <w:tcW w:w="1655" w:type="dxa"/>
            <w:tcBorders/>
            <w:shd w:fill="E6EFFF" w:val="clear"/>
            <w:vAlign w:val="center"/>
          </w:tcPr>
          <w:p>
            <w:pPr>
              <w:pStyle w:val="TableContents"/>
              <w:bidi w:val="0"/>
              <w:spacing w:before="0" w:after="0"/>
              <w:jc w:val="lef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05" w:type="dxa"/>
            <w:tcBorders/>
            <w:shd w:fill="E6EFFF" w:val="clear"/>
            <w:vAlign w:val="center"/>
          </w:tcPr>
          <w:p>
            <w:pPr>
              <w:pStyle w:val="TableContents"/>
              <w:bidi w:val="0"/>
              <w:spacing w:before="0" w:after="0"/>
              <w:jc w:val="left"/>
              <w:rPr/>
            </w:pPr>
            <w:r>
              <w:rPr/>
              <w:t> </w:t>
            </w:r>
          </w:p>
        </w:tc>
        <w:tc>
          <w:tcPr>
            <w:tcW w:w="110" w:type="dxa"/>
            <w:tcBorders/>
            <w:shd w:fill="E6EFFF" w:val="clear"/>
            <w:vAlign w:val="center"/>
          </w:tcPr>
          <w:p>
            <w:pPr>
              <w:pStyle w:val="TableContents"/>
              <w:bidi w:val="0"/>
              <w:spacing w:before="0" w:after="0"/>
              <w:jc w:val="left"/>
              <w:rPr/>
            </w:pPr>
            <w:r>
              <w:rPr/>
              <w:t> </w:t>
            </w:r>
          </w:p>
        </w:tc>
      </w:tr>
      <w:tr>
        <w:trPr/>
        <w:tc>
          <w:tcPr>
            <w:tcW w:w="3530" w:type="dxa"/>
            <w:tcBorders/>
            <w:vAlign w:val="center"/>
          </w:tcPr>
          <w:p>
            <w:pPr>
              <w:pStyle w:val="TableContents"/>
              <w:bidi w:val="0"/>
              <w:spacing w:before="0" w:after="283"/>
              <w:jc w:val="left"/>
              <w:rPr/>
            </w:pPr>
            <w:r>
              <w:rPr/>
              <w:t>Balance, February 28, 2022</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91,320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3530" w:type="dxa"/>
            <w:tcBorders/>
            <w:shd w:fill="E6EFFF" w:val="clear"/>
            <w:vAlign w:val="center"/>
          </w:tcPr>
          <w:p>
            <w:pPr>
              <w:pStyle w:val="TableContents"/>
              <w:bidi w:val="0"/>
              <w:spacing w:before="0" w:after="283"/>
              <w:jc w:val="left"/>
              <w:rPr/>
            </w:pPr>
            <w:r>
              <w:rPr/>
              <w:t>Foreign currency translation</w:t>
            </w:r>
          </w:p>
        </w:tc>
        <w:tc>
          <w:tcPr>
            <w:tcW w:w="60" w:type="dxa"/>
            <w:tcBorders/>
            <w:shd w:fill="E6EFFF" w:val="clear"/>
            <w:vAlign w:val="center"/>
          </w:tcPr>
          <w:p>
            <w:pPr>
              <w:pStyle w:val="TableContents"/>
              <w:bidi w:val="0"/>
              <w:spacing w:before="0" w:after="283"/>
              <w:jc w:val="left"/>
              <w:rPr/>
            </w:pPr>
            <w:r>
              <w:rPr/>
              <w:t> </w:t>
            </w:r>
          </w:p>
        </w:tc>
        <w:tc>
          <w:tcPr>
            <w:tcW w:w="1655" w:type="dxa"/>
            <w:tcBorders/>
            <w:shd w:fill="E6EFFF" w:val="clear"/>
            <w:vAlign w:val="center"/>
          </w:tcPr>
          <w:p>
            <w:pPr>
              <w:pStyle w:val="TableContents"/>
              <w:bidi w:val="0"/>
              <w:spacing w:before="0" w:after="283"/>
              <w:jc w:val="right"/>
              <w:rPr/>
            </w:pPr>
            <w:r>
              <w:rPr/>
              <w:t>(2,806</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05" w:type="dxa"/>
            <w:tcBorders/>
            <w:shd w:fill="E6EFFF" w:val="clear"/>
            <w:vAlign w:val="center"/>
          </w:tcPr>
          <w:p>
            <w:pPr>
              <w:pStyle w:val="TableContents"/>
              <w:bidi w:val="0"/>
              <w:spacing w:before="0" w:after="283"/>
              <w:jc w:val="right"/>
              <w:rPr/>
            </w:pPr>
            <w:r>
              <w:rPr/>
              <w:t>422</w:t>
            </w:r>
          </w:p>
        </w:tc>
        <w:tc>
          <w:tcPr>
            <w:tcW w:w="110" w:type="dxa"/>
            <w:tcBorders/>
            <w:shd w:fill="E6EFFF" w:val="clear"/>
            <w:vAlign w:val="center"/>
          </w:tcPr>
          <w:p>
            <w:pPr>
              <w:pStyle w:val="TableContents"/>
              <w:bidi w:val="0"/>
              <w:spacing w:before="0" w:after="283"/>
              <w:jc w:val="left"/>
              <w:rPr/>
            </w:pPr>
            <w:r>
              <w:rPr/>
              <w:t> </w:t>
            </w:r>
          </w:p>
        </w:tc>
      </w:tr>
      <w:tr>
        <w:trPr/>
        <w:tc>
          <w:tcPr>
            <w:tcW w:w="3530" w:type="dxa"/>
            <w:tcBorders>
              <w:bottom w:val="single" w:sz="6" w:space="0" w:color="000000"/>
            </w:tcBorders>
            <w:tcMar>
              <w:bottom w:w="28" w:type="dxa"/>
            </w:tcMar>
            <w:vAlign w:val="center"/>
          </w:tcPr>
          <w:p>
            <w:pPr>
              <w:pStyle w:val="TableContents"/>
              <w:bidi w:val="0"/>
              <w:spacing w:before="0" w:after="283"/>
              <w:jc w:val="left"/>
              <w:rPr/>
            </w:pPr>
            <w:r>
              <w:rPr/>
              <w:t>Additions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55" w:type="dxa"/>
            <w:tcBorders>
              <w:bottom w:val="single" w:sz="6" w:space="0" w:color="000000"/>
            </w:tcBorders>
            <w:tcMar>
              <w:bottom w:w="28" w:type="dxa"/>
            </w:tcMar>
            <w:vAlign w:val="center"/>
          </w:tcPr>
          <w:p>
            <w:pPr>
              <w:pStyle w:val="TableContents"/>
              <w:bidi w:val="0"/>
              <w:spacing w:before="0" w:after="283"/>
              <w:jc w:val="right"/>
              <w:rPr/>
            </w:pPr>
            <w:r>
              <w:rPr/>
              <w:t>18,603</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tcMar>
              <w:bottom w:w="28" w:type="dxa"/>
            </w:tcMar>
            <w:vAlign w:val="center"/>
          </w:tcPr>
          <w:p>
            <w:pPr>
              <w:pStyle w:val="TableContents"/>
              <w:bidi w:val="0"/>
              <w:spacing w:before="0" w:after="283"/>
              <w:jc w:val="right"/>
              <w:rPr/>
            </w:pPr>
            <w:r>
              <w:rPr/>
              <w:t>630,566</w:t>
            </w:r>
          </w:p>
        </w:tc>
        <w:tc>
          <w:tcPr>
            <w:tcW w:w="11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53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Balance, February 28, 2023</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65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107,117</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0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630,988</w:t>
            </w:r>
          </w:p>
        </w:tc>
        <w:tc>
          <w:tcPr>
            <w:tcW w:w="11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3530" w:type="dxa"/>
            <w:tcBorders>
              <w:top w:val="single" w:sz="6" w:space="0" w:color="000000"/>
            </w:tcBorders>
            <w:tcMar>
              <w:top w:w="28" w:type="dxa"/>
            </w:tcMar>
            <w:vAlign w:val="center"/>
          </w:tcPr>
          <w:p>
            <w:pPr>
              <w:pStyle w:val="TableContents"/>
              <w:bidi w:val="0"/>
              <w:spacing w:before="0" w:after="283"/>
              <w:jc w:val="left"/>
              <w:rPr/>
            </w:pPr>
            <w:r>
              <w:rPr/>
              <w:t>Accumulated depreciation:</w:t>
            </w:r>
          </w:p>
        </w:tc>
        <w:tc>
          <w:tcPr>
            <w:tcW w:w="6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left"/>
              <w:rPr/>
            </w:pPr>
            <w:r>
              <w:rPr/>
              <w:t> </w:t>
            </w:r>
          </w:p>
        </w:tc>
      </w:tr>
      <w:tr>
        <w:trPr/>
        <w:tc>
          <w:tcPr>
            <w:tcW w:w="3530" w:type="dxa"/>
            <w:tcBorders/>
            <w:shd w:fill="E6EFFF" w:val="clear"/>
            <w:vAlign w:val="center"/>
          </w:tcPr>
          <w:p>
            <w:pPr>
              <w:pStyle w:val="TableContents"/>
              <w:bidi w:val="0"/>
              <w:spacing w:before="0" w:after="283"/>
              <w:jc w:val="left"/>
              <w:rPr/>
            </w:pPr>
            <w:r>
              <w:rPr/>
              <w:t>Balance, February 28, 2022</w:t>
            </w:r>
          </w:p>
        </w:tc>
        <w:tc>
          <w:tcPr>
            <w:tcW w:w="60" w:type="dxa"/>
            <w:tcBorders/>
            <w:shd w:fill="E6EFFF" w:val="clear"/>
            <w:vAlign w:val="center"/>
          </w:tcPr>
          <w:p>
            <w:pPr>
              <w:pStyle w:val="TableContents"/>
              <w:bidi w:val="0"/>
              <w:spacing w:before="0" w:after="283"/>
              <w:jc w:val="left"/>
              <w:rPr/>
            </w:pPr>
            <w:r>
              <w:rPr/>
              <w:t> </w:t>
            </w:r>
          </w:p>
        </w:tc>
        <w:tc>
          <w:tcPr>
            <w:tcW w:w="1655" w:type="dxa"/>
            <w:tcBorders/>
            <w:shd w:fill="E6EFFF" w:val="clear"/>
            <w:vAlign w:val="center"/>
          </w:tcPr>
          <w:p>
            <w:pPr>
              <w:pStyle w:val="TableContents"/>
              <w:bidi w:val="0"/>
              <w:spacing w:before="0" w:after="283"/>
              <w:jc w:val="right"/>
              <w:rPr/>
            </w:pPr>
            <w:r>
              <w:rPr/>
              <w:t>(29,531</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05" w:type="dxa"/>
            <w:tcBorders/>
            <w:shd w:fill="E6EFFF" w:val="clear"/>
            <w:vAlign w:val="center"/>
          </w:tcPr>
          <w:p>
            <w:pPr>
              <w:pStyle w:val="TableContents"/>
              <w:bidi w:val="0"/>
              <w:spacing w:before="0" w:after="283"/>
              <w:jc w:val="right"/>
              <w:rPr/>
            </w:pPr>
            <w:r>
              <w:rPr/>
              <w:t>-</w:t>
            </w:r>
          </w:p>
        </w:tc>
        <w:tc>
          <w:tcPr>
            <w:tcW w:w="110" w:type="dxa"/>
            <w:tcBorders/>
            <w:shd w:fill="E6EF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Foreign currency translation</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236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(795</w:t>
            </w:r>
          </w:p>
        </w:tc>
        <w:tc>
          <w:tcPr>
            <w:tcW w:w="110" w:type="dxa"/>
            <w:tcBorders/>
            <w:vAlign w:val="center"/>
          </w:tcPr>
          <w:p>
            <w:pPr>
              <w:pStyle w:val="TableContents"/>
              <w:bidi w:val="0"/>
              <w:spacing w:before="0" w:after="283"/>
              <w:jc w:val="left"/>
              <w:rPr/>
            </w:pPr>
            <w:r>
              <w:rPr/>
              <w:t>)</w:t>
            </w:r>
          </w:p>
        </w:tc>
      </w:tr>
      <w:tr>
        <w:trPr/>
        <w:tc>
          <w:tcPr>
            <w:tcW w:w="3530" w:type="dxa"/>
            <w:tcBorders>
              <w:bottom w:val="single" w:sz="6" w:space="0" w:color="000000"/>
            </w:tcBorders>
            <w:shd w:fill="E6EFFF" w:val="clear"/>
            <w:tcMar>
              <w:bottom w:w="28" w:type="dxa"/>
            </w:tcMar>
            <w:vAlign w:val="center"/>
          </w:tcPr>
          <w:p>
            <w:pPr>
              <w:pStyle w:val="TableContents"/>
              <w:bidi w:val="0"/>
              <w:spacing w:before="0" w:after="283"/>
              <w:jc w:val="left"/>
              <w:rPr/>
            </w:pPr>
            <w:r>
              <w:rPr/>
              <w:t>Depreciation</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655" w:type="dxa"/>
            <w:tcBorders>
              <w:bottom w:val="single" w:sz="6" w:space="0" w:color="000000"/>
            </w:tcBorders>
            <w:shd w:fill="E6EFFF" w:val="clear"/>
            <w:tcMar>
              <w:bottom w:w="28" w:type="dxa"/>
            </w:tcMar>
            <w:vAlign w:val="center"/>
          </w:tcPr>
          <w:p>
            <w:pPr>
              <w:pStyle w:val="TableContents"/>
              <w:bidi w:val="0"/>
              <w:spacing w:before="0" w:after="283"/>
              <w:jc w:val="right"/>
              <w:rPr/>
            </w:pPr>
            <w:r>
              <w:rPr/>
              <w:t>(23,481</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shd w:fill="E6EFFF" w:val="clear"/>
            <w:tcMar>
              <w:bottom w:w="28" w:type="dxa"/>
            </w:tcMar>
            <w:vAlign w:val="center"/>
          </w:tcPr>
          <w:p>
            <w:pPr>
              <w:pStyle w:val="TableContents"/>
              <w:bidi w:val="0"/>
              <w:spacing w:before="0" w:after="283"/>
              <w:jc w:val="right"/>
              <w:rPr/>
            </w:pPr>
            <w:r>
              <w:rPr/>
              <w:t>(24,960</w:t>
            </w:r>
          </w:p>
        </w:tc>
        <w:tc>
          <w:tcPr>
            <w:tcW w:w="110"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r>
      <w:tr>
        <w:trPr/>
        <w:tc>
          <w:tcPr>
            <w:tcW w:w="353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Balance, February 28, 2023</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6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(52,776</w:t>
            </w:r>
          </w:p>
        </w:tc>
        <w:tc>
          <w:tcPr>
            <w:tcW w:w="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(25,755</w:t>
            </w:r>
          </w:p>
        </w:tc>
        <w:tc>
          <w:tcPr>
            <w:tcW w:w="1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r>
      <w:tr>
        <w:trPr/>
        <w:tc>
          <w:tcPr>
            <w:tcW w:w="353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Net book value at February 28, 2023</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65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54,341</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0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605,233</w:t>
            </w:r>
          </w:p>
        </w:tc>
        <w:tc>
          <w:tcPr>
            <w:tcW w:w="11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center"/>
              <w:rPr/>
            </w:pPr>
            <w:r>
              <w:rPr/>
              <w:t>Property, plant &amp;</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tcBorders/>
            <w:vAlign w:val="center"/>
          </w:tcPr>
          <w:p>
            <w:pPr>
              <w:pStyle w:val="TableContents"/>
              <w:bidi w:val="0"/>
              <w:spacing w:before="0" w:after="283"/>
              <w:jc w:val="center"/>
              <w:rPr/>
            </w:pPr>
            <w:r>
              <w:rPr/>
              <w:t>Right-of-use</w:t>
            </w:r>
          </w:p>
        </w:tc>
        <w:tc>
          <w:tcPr>
            <w:tcW w:w="11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center"/>
              <w:rPr/>
            </w:pPr>
            <w:r>
              <w:rPr/>
              <w:t>equipment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tcBorders/>
            <w:vAlign w:val="center"/>
          </w:tcPr>
          <w:p>
            <w:pPr>
              <w:pStyle w:val="TableContents"/>
              <w:bidi w:val="0"/>
              <w:spacing w:before="0" w:after="283"/>
              <w:jc w:val="center"/>
              <w:rPr/>
            </w:pPr>
            <w:r>
              <w:rPr/>
              <w:t>asset</w:t>
            </w:r>
          </w:p>
        </w:tc>
        <w:tc>
          <w:tcPr>
            <w:tcW w:w="11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655"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05" w:type="dxa"/>
            <w:tcBorders>
              <w:bottom w:val="single" w:sz="6" w:space="0" w:color="000000"/>
            </w:tcBorders>
            <w:tcMar>
              <w:bottom w:w="28" w:type="dxa"/>
            </w:tcMar>
            <w:vAlign w:val="center"/>
          </w:tcPr>
          <w:p>
            <w:pPr>
              <w:pStyle w:val="TableContents"/>
              <w:bidi w:val="0"/>
              <w:spacing w:before="0" w:after="283"/>
              <w:jc w:val="center"/>
              <w:rPr/>
            </w:pPr>
            <w:r>
              <w:rPr/>
              <w:t>$</w:t>
            </w:r>
          </w:p>
        </w:tc>
        <w:tc>
          <w:tcPr>
            <w:tcW w:w="11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530" w:type="dxa"/>
            <w:tcBorders>
              <w:top w:val="single" w:sz="6" w:space="0" w:color="000000"/>
            </w:tcBorders>
            <w:shd w:fill="E6EFFF" w:val="clear"/>
            <w:tcMar>
              <w:top w:w="28" w:type="dxa"/>
            </w:tcMar>
            <w:vAlign w:val="center"/>
          </w:tcPr>
          <w:p>
            <w:pPr>
              <w:pStyle w:val="TableContents"/>
              <w:bidi w:val="0"/>
              <w:spacing w:before="0" w:after="283"/>
              <w:jc w:val="left"/>
              <w:rPr/>
            </w:pPr>
            <w:r>
              <w:rPr/>
              <w:t>Cost:</w:t>
            </w:r>
          </w:p>
        </w:tc>
        <w:tc>
          <w:tcPr>
            <w:tcW w:w="60" w:type="dxa"/>
            <w:tcBorders/>
            <w:shd w:fill="E6EFFF" w:val="clear"/>
            <w:vAlign w:val="center"/>
          </w:tcPr>
          <w:p>
            <w:pPr>
              <w:pStyle w:val="TableContents"/>
              <w:bidi w:val="0"/>
              <w:spacing w:before="0" w:after="0"/>
              <w:jc w:val="left"/>
              <w:rPr/>
            </w:pPr>
            <w:r>
              <w:rPr/>
              <w:t> </w:t>
            </w:r>
          </w:p>
        </w:tc>
        <w:tc>
          <w:tcPr>
            <w:tcW w:w="1655" w:type="dxa"/>
            <w:tcBorders/>
            <w:shd w:fill="E6EFFF" w:val="clear"/>
            <w:vAlign w:val="center"/>
          </w:tcPr>
          <w:p>
            <w:pPr>
              <w:pStyle w:val="TableContents"/>
              <w:bidi w:val="0"/>
              <w:spacing w:before="0" w:after="0"/>
              <w:jc w:val="righ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05" w:type="dxa"/>
            <w:tcBorders/>
            <w:shd w:fill="E6EFFF" w:val="clear"/>
            <w:vAlign w:val="center"/>
          </w:tcPr>
          <w:p>
            <w:pPr>
              <w:pStyle w:val="TableContents"/>
              <w:bidi w:val="0"/>
              <w:spacing w:before="0" w:after="0"/>
              <w:jc w:val="right"/>
              <w:rPr/>
            </w:pPr>
            <w:r>
              <w:rPr/>
              <w:t> </w:t>
            </w:r>
          </w:p>
        </w:tc>
        <w:tc>
          <w:tcPr>
            <w:tcW w:w="110" w:type="dxa"/>
            <w:tcBorders/>
            <w:shd w:fill="E6EFFF" w:val="clear"/>
            <w:vAlign w:val="center"/>
          </w:tcPr>
          <w:p>
            <w:pPr>
              <w:pStyle w:val="TableContents"/>
              <w:bidi w:val="0"/>
              <w:spacing w:before="0" w:after="0"/>
              <w:jc w:val="left"/>
              <w:rPr/>
            </w:pPr>
            <w:r>
              <w:rPr/>
              <w:t> </w:t>
            </w:r>
          </w:p>
        </w:tc>
      </w:tr>
      <w:tr>
        <w:trPr/>
        <w:tc>
          <w:tcPr>
            <w:tcW w:w="3530" w:type="dxa"/>
            <w:tcBorders/>
            <w:vAlign w:val="center"/>
          </w:tcPr>
          <w:p>
            <w:pPr>
              <w:pStyle w:val="TableContents"/>
              <w:bidi w:val="0"/>
              <w:spacing w:before="0" w:after="283"/>
              <w:jc w:val="left"/>
              <w:rPr/>
            </w:pPr>
            <w:r>
              <w:rPr/>
              <w:t>Balance, February 28, 2021</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81,645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3530" w:type="dxa"/>
            <w:tcBorders/>
            <w:shd w:fill="E6EFFF" w:val="clear"/>
            <w:vAlign w:val="center"/>
          </w:tcPr>
          <w:p>
            <w:pPr>
              <w:pStyle w:val="TableContents"/>
              <w:bidi w:val="0"/>
              <w:spacing w:before="0" w:after="283"/>
              <w:jc w:val="left"/>
              <w:rPr/>
            </w:pPr>
            <w:r>
              <w:rPr/>
              <w:t>Foreign currency translation</w:t>
            </w:r>
          </w:p>
        </w:tc>
        <w:tc>
          <w:tcPr>
            <w:tcW w:w="60" w:type="dxa"/>
            <w:tcBorders/>
            <w:shd w:fill="E6EFFF" w:val="clear"/>
            <w:vAlign w:val="center"/>
          </w:tcPr>
          <w:p>
            <w:pPr>
              <w:pStyle w:val="TableContents"/>
              <w:bidi w:val="0"/>
              <w:spacing w:before="0" w:after="283"/>
              <w:jc w:val="left"/>
              <w:rPr/>
            </w:pPr>
            <w:r>
              <w:rPr/>
              <w:t> </w:t>
            </w:r>
          </w:p>
        </w:tc>
        <w:tc>
          <w:tcPr>
            <w:tcW w:w="1655" w:type="dxa"/>
            <w:tcBorders/>
            <w:shd w:fill="E6EFFF" w:val="clear"/>
            <w:vAlign w:val="center"/>
          </w:tcPr>
          <w:p>
            <w:pPr>
              <w:pStyle w:val="TableContents"/>
              <w:bidi w:val="0"/>
              <w:spacing w:before="0" w:after="283"/>
              <w:jc w:val="right"/>
              <w:rPr/>
            </w:pPr>
            <w:r>
              <w:rPr/>
              <w:t>(3,282</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05" w:type="dxa"/>
            <w:tcBorders/>
            <w:shd w:fill="E6EFFF" w:val="clear"/>
            <w:vAlign w:val="center"/>
          </w:tcPr>
          <w:p>
            <w:pPr>
              <w:pStyle w:val="TableContents"/>
              <w:bidi w:val="0"/>
              <w:spacing w:before="0" w:after="283"/>
              <w:jc w:val="right"/>
              <w:rPr/>
            </w:pPr>
            <w:r>
              <w:rPr/>
              <w:t>-</w:t>
            </w:r>
          </w:p>
        </w:tc>
        <w:tc>
          <w:tcPr>
            <w:tcW w:w="110" w:type="dxa"/>
            <w:tcBorders/>
            <w:shd w:fill="E6EFFF" w:val="clear"/>
            <w:vAlign w:val="center"/>
          </w:tcPr>
          <w:p>
            <w:pPr>
              <w:pStyle w:val="TableContents"/>
              <w:bidi w:val="0"/>
              <w:spacing w:before="0" w:after="283"/>
              <w:jc w:val="left"/>
              <w:rPr/>
            </w:pPr>
            <w:r>
              <w:rPr/>
              <w:t> </w:t>
            </w:r>
          </w:p>
        </w:tc>
      </w:tr>
      <w:tr>
        <w:trPr/>
        <w:tc>
          <w:tcPr>
            <w:tcW w:w="3530" w:type="dxa"/>
            <w:tcBorders>
              <w:bottom w:val="single" w:sz="6" w:space="0" w:color="000000"/>
            </w:tcBorders>
            <w:tcMar>
              <w:bottom w:w="28" w:type="dxa"/>
            </w:tcMar>
            <w:vAlign w:val="center"/>
          </w:tcPr>
          <w:p>
            <w:pPr>
              <w:pStyle w:val="TableContents"/>
              <w:bidi w:val="0"/>
              <w:spacing w:before="0" w:after="283"/>
              <w:jc w:val="left"/>
              <w:rPr/>
            </w:pPr>
            <w:r>
              <w:rPr/>
              <w:t>Additions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55" w:type="dxa"/>
            <w:tcBorders>
              <w:bottom w:val="single" w:sz="6" w:space="0" w:color="000000"/>
            </w:tcBorders>
            <w:tcMar>
              <w:bottom w:w="28" w:type="dxa"/>
            </w:tcMar>
            <w:vAlign w:val="center"/>
          </w:tcPr>
          <w:p>
            <w:pPr>
              <w:pStyle w:val="TableContents"/>
              <w:bidi w:val="0"/>
              <w:spacing w:before="0" w:after="283"/>
              <w:jc w:val="right"/>
              <w:rPr/>
            </w:pPr>
            <w:r>
              <w:rPr/>
              <w:t>12,957</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tcMar>
              <w:bottom w:w="28" w:type="dxa"/>
            </w:tcMar>
            <w:vAlign w:val="center"/>
          </w:tcPr>
          <w:p>
            <w:pPr>
              <w:pStyle w:val="TableContents"/>
              <w:bidi w:val="0"/>
              <w:spacing w:before="0" w:after="283"/>
              <w:jc w:val="right"/>
              <w:rPr/>
            </w:pPr>
            <w:r>
              <w:rPr/>
              <w:t>-</w:t>
            </w:r>
          </w:p>
        </w:tc>
        <w:tc>
          <w:tcPr>
            <w:tcW w:w="11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53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Balance, February 28, 2022</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65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91,320</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0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w:t>
            </w:r>
          </w:p>
        </w:tc>
        <w:tc>
          <w:tcPr>
            <w:tcW w:w="11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3530" w:type="dxa"/>
            <w:tcBorders>
              <w:top w:val="single" w:sz="6" w:space="0" w:color="000000"/>
            </w:tcBorders>
            <w:tcMar>
              <w:top w:w="28" w:type="dxa"/>
            </w:tcMar>
            <w:vAlign w:val="center"/>
          </w:tcPr>
          <w:p>
            <w:pPr>
              <w:pStyle w:val="TableContents"/>
              <w:bidi w:val="0"/>
              <w:spacing w:before="0" w:after="283"/>
              <w:jc w:val="left"/>
              <w:rPr/>
            </w:pPr>
            <w:r>
              <w:rPr/>
              <w:t>Accumulated depreciation:</w:t>
            </w:r>
          </w:p>
        </w:tc>
        <w:tc>
          <w:tcPr>
            <w:tcW w:w="6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left"/>
              <w:rPr/>
            </w:pPr>
            <w:r>
              <w:rPr/>
              <w:t> </w:t>
            </w:r>
          </w:p>
        </w:tc>
      </w:tr>
      <w:tr>
        <w:trPr/>
        <w:tc>
          <w:tcPr>
            <w:tcW w:w="3530" w:type="dxa"/>
            <w:tcBorders/>
            <w:shd w:fill="E6EFFF" w:val="clear"/>
            <w:vAlign w:val="center"/>
          </w:tcPr>
          <w:p>
            <w:pPr>
              <w:pStyle w:val="TableContents"/>
              <w:bidi w:val="0"/>
              <w:spacing w:before="0" w:after="283"/>
              <w:jc w:val="left"/>
              <w:rPr/>
            </w:pPr>
            <w:r>
              <w:rPr/>
              <w:t>Balance, February 28, 2021</w:t>
            </w:r>
          </w:p>
        </w:tc>
        <w:tc>
          <w:tcPr>
            <w:tcW w:w="60" w:type="dxa"/>
            <w:tcBorders/>
            <w:shd w:fill="E6EFFF" w:val="clear"/>
            <w:vAlign w:val="center"/>
          </w:tcPr>
          <w:p>
            <w:pPr>
              <w:pStyle w:val="TableContents"/>
              <w:bidi w:val="0"/>
              <w:spacing w:before="0" w:after="283"/>
              <w:jc w:val="left"/>
              <w:rPr/>
            </w:pPr>
            <w:r>
              <w:rPr/>
              <w:t> </w:t>
            </w:r>
          </w:p>
        </w:tc>
        <w:tc>
          <w:tcPr>
            <w:tcW w:w="1655" w:type="dxa"/>
            <w:tcBorders/>
            <w:shd w:fill="E6EFFF" w:val="clear"/>
            <w:vAlign w:val="center"/>
          </w:tcPr>
          <w:p>
            <w:pPr>
              <w:pStyle w:val="TableContents"/>
              <w:bidi w:val="0"/>
              <w:spacing w:before="0" w:after="283"/>
              <w:jc w:val="right"/>
              <w:rPr/>
            </w:pPr>
            <w:r>
              <w:rPr/>
              <w:t>(9,637</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05" w:type="dxa"/>
            <w:tcBorders/>
            <w:shd w:fill="E6EFFF" w:val="clear"/>
            <w:vAlign w:val="center"/>
          </w:tcPr>
          <w:p>
            <w:pPr>
              <w:pStyle w:val="TableContents"/>
              <w:bidi w:val="0"/>
              <w:spacing w:before="0" w:after="283"/>
              <w:jc w:val="right"/>
              <w:rPr/>
            </w:pPr>
            <w:r>
              <w:rPr/>
              <w:t>-</w:t>
            </w:r>
          </w:p>
        </w:tc>
        <w:tc>
          <w:tcPr>
            <w:tcW w:w="110" w:type="dxa"/>
            <w:tcBorders/>
            <w:shd w:fill="E6EF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Foreign currency translation</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592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3530" w:type="dxa"/>
            <w:tcBorders>
              <w:bottom w:val="single" w:sz="6" w:space="0" w:color="000000"/>
            </w:tcBorders>
            <w:shd w:fill="E6EFFF" w:val="clear"/>
            <w:tcMar>
              <w:bottom w:w="28" w:type="dxa"/>
            </w:tcMar>
            <w:vAlign w:val="center"/>
          </w:tcPr>
          <w:p>
            <w:pPr>
              <w:pStyle w:val="TableContents"/>
              <w:bidi w:val="0"/>
              <w:spacing w:before="0" w:after="283"/>
              <w:jc w:val="left"/>
              <w:rPr/>
            </w:pPr>
            <w:r>
              <w:rPr/>
              <w:t>Depreciation</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655" w:type="dxa"/>
            <w:tcBorders>
              <w:bottom w:val="single" w:sz="6" w:space="0" w:color="000000"/>
            </w:tcBorders>
            <w:shd w:fill="E6EFFF" w:val="clear"/>
            <w:tcMar>
              <w:bottom w:w="28" w:type="dxa"/>
            </w:tcMar>
            <w:vAlign w:val="center"/>
          </w:tcPr>
          <w:p>
            <w:pPr>
              <w:pStyle w:val="TableContents"/>
              <w:bidi w:val="0"/>
              <w:spacing w:before="0" w:after="283"/>
              <w:jc w:val="right"/>
              <w:rPr/>
            </w:pPr>
            <w:r>
              <w:rPr/>
              <w:t>(20,486</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shd w:fill="E6EFFF" w:val="clear"/>
            <w:tcMar>
              <w:bottom w:w="28" w:type="dxa"/>
            </w:tcMar>
            <w:vAlign w:val="center"/>
          </w:tcPr>
          <w:p>
            <w:pPr>
              <w:pStyle w:val="TableContents"/>
              <w:bidi w:val="0"/>
              <w:spacing w:before="0" w:after="283"/>
              <w:jc w:val="right"/>
              <w:rPr/>
            </w:pPr>
            <w:r>
              <w:rPr/>
              <w:t>-</w:t>
            </w:r>
          </w:p>
        </w:tc>
        <w:tc>
          <w:tcPr>
            <w:tcW w:w="11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353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Balance, February 28, 2022</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6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(29,531</w:t>
            </w:r>
          </w:p>
        </w:tc>
        <w:tc>
          <w:tcPr>
            <w:tcW w:w="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w:t>
            </w:r>
          </w:p>
        </w:tc>
        <w:tc>
          <w:tcPr>
            <w:tcW w:w="1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r>
        <w:trPr/>
        <w:tc>
          <w:tcPr>
            <w:tcW w:w="353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Net book value at February 28, 2022</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65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61,789</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0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w:t>
            </w:r>
          </w:p>
        </w:tc>
        <w:tc>
          <w:tcPr>
            <w:tcW w:w="11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bl>
    <w:p>
      <w:pPr>
        <w:pStyle w:val="TextBody"/>
        <w:bidi w:val="0"/>
        <w:ind w:left="480" w:right="0" w:hanging="0"/>
        <w:jc w:val="both"/>
        <w:rPr/>
      </w:pPr>
      <w:r>
        <w:rPr/>
        <w:t>The right-of-use asset relates to the lease of office space. Refer to Note 6.</w:t>
      </w:r>
    </w:p>
    <w:p>
      <w:pPr>
        <w:pStyle w:val="TextBody"/>
        <w:bidi w:val="0"/>
        <w:ind w:left="0" w:right="0" w:hanging="0"/>
        <w:jc w:val="both"/>
        <w:rPr/>
      </w:pPr>
      <w:r>
        <w:rPr>
          <w:b/>
        </w:rPr>
        <w:t>5.</w:t>
      </w:r>
      <w:r>
        <w:rPr/>
        <w:t> </w:t>
      </w:r>
      <w:r>
        <w:rPr>
          <w:b/>
        </w:rPr>
        <w:t>Restricted Cash</w:t>
      </w:r>
    </w:p>
    <w:p>
      <w:pPr>
        <w:pStyle w:val="TextBody"/>
        <w:bidi w:val="0"/>
        <w:spacing w:before="0" w:after="0"/>
        <w:ind w:left="480" w:right="0" w:hanging="0"/>
        <w:jc w:val="both"/>
        <w:rPr/>
      </w:pPr>
      <w:r>
        <w:rPr/>
        <w:t>Following completion of the Qualifying Transaction, the Company had long-term restricted cash of $2,500,000 in relation to a trust arrangement with a third-party trustee to cover indemnity claims available under applicable law to the directors and officers of the Company. On August 1, 2022 an insurance policy was taken out by the Company to cover such claims and as a result, on August 29, 2022 the Company terminated the trust arrangement and the restricted cash was released back into unrestricted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hanging="0"/>
        <w:jc w:val="both"/>
        <w:rPr/>
      </w:pPr>
      <w:r>
        <w:rPr>
          <w:b/>
        </w:rPr>
        <w:t>6.</w:t>
      </w:r>
      <w:r>
        <w:rPr/>
        <w:t> </w:t>
      </w:r>
      <w:r>
        <w:rPr>
          <w:b/>
        </w:rPr>
        <w:t>Lease Liabilities</w:t>
      </w:r>
    </w:p>
    <w:p>
      <w:pPr>
        <w:pStyle w:val="TextBody"/>
        <w:bidi w:val="0"/>
        <w:ind w:left="480" w:right="0" w:hanging="0"/>
        <w:jc w:val="both"/>
        <w:rPr/>
      </w:pPr>
      <w:r>
        <w:rPr/>
        <w:t>The Company's leases are for office space. This lease contains no renewal options.</w:t>
      </w:r>
    </w:p>
    <w:p>
      <w:pPr>
        <w:pStyle w:val="TextBody"/>
        <w:bidi w:val="0"/>
        <w:ind w:left="480" w:right="0" w:hanging="0"/>
        <w:jc w:val="both"/>
        <w:rPr/>
      </w:pPr>
      <w:r>
        <w:rPr/>
        <w:t>As at February 28, 2023 and February 28, 2022, the Company had lease liabilities as follows:</w:t>
      </w:r>
    </w:p>
    <w:tbl>
      <w:tblPr>
        <w:tblW w:w="4290" w:type="dxa"/>
        <w:jc w:val="left"/>
        <w:tblInd w:w="480" w:type="dxa"/>
        <w:tblLayout w:type="fixed"/>
        <w:tblCellMar>
          <w:top w:w="0" w:type="dxa"/>
          <w:left w:w="0" w:type="dxa"/>
          <w:bottom w:w="0" w:type="dxa"/>
          <w:right w:w="0" w:type="dxa"/>
        </w:tblCellMar>
      </w:tblPr>
      <w:tblGrid>
        <w:gridCol w:w="3320"/>
        <w:gridCol w:w="60"/>
        <w:gridCol w:w="800"/>
        <w:gridCol w:w="110"/>
      </w:tblGrid>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w:t>
            </w:r>
          </w:p>
        </w:tc>
        <w:tc>
          <w:tcPr>
            <w:tcW w:w="110" w:type="dxa"/>
            <w:tcBorders/>
            <w:vAlign w:val="center"/>
          </w:tcPr>
          <w:p>
            <w:pPr>
              <w:pStyle w:val="TableContents"/>
              <w:bidi w:val="0"/>
              <w:spacing w:before="0" w:after="283"/>
              <w:jc w:val="center"/>
              <w:rPr/>
            </w:pPr>
            <w:r>
              <w:rPr/>
              <w:t> </w:t>
            </w:r>
          </w:p>
        </w:tc>
      </w:tr>
      <w:tr>
        <w:trPr/>
        <w:tc>
          <w:tcPr>
            <w:tcW w:w="3320" w:type="dxa"/>
            <w:tcBorders>
              <w:top w:val="single" w:sz="6" w:space="0" w:color="000000"/>
            </w:tcBorders>
            <w:shd w:fill="E6EFFF" w:val="clear"/>
            <w:tcMar>
              <w:top w:w="28" w:type="dxa"/>
            </w:tcMar>
            <w:vAlign w:val="center"/>
          </w:tcPr>
          <w:p>
            <w:pPr>
              <w:pStyle w:val="TableContents"/>
              <w:bidi w:val="0"/>
              <w:spacing w:before="0" w:after="283"/>
              <w:jc w:val="left"/>
              <w:rPr/>
            </w:pPr>
            <w:r>
              <w:rPr/>
              <w:t>Carrying value, February 28, 2022</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800" w:type="dxa"/>
            <w:tcBorders>
              <w:top w:val="single" w:sz="6" w:space="0" w:color="000000"/>
            </w:tcBorders>
            <w:shd w:fill="E6EFFF" w:val="clear"/>
            <w:tcMar>
              <w:top w:w="28" w:type="dxa"/>
            </w:tcMar>
            <w:vAlign w:val="center"/>
          </w:tcPr>
          <w:p>
            <w:pPr>
              <w:pStyle w:val="TableContents"/>
              <w:bidi w:val="0"/>
              <w:spacing w:before="0" w:after="283"/>
              <w:jc w:val="right"/>
              <w:rPr/>
            </w:pPr>
            <w:r>
              <w:rPr/>
              <w:t>-</w:t>
            </w:r>
          </w:p>
        </w:tc>
        <w:tc>
          <w:tcPr>
            <w:tcW w:w="11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Recognition on inception</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620,149</w:t>
            </w:r>
          </w:p>
        </w:tc>
        <w:tc>
          <w:tcPr>
            <w:tcW w:w="110" w:type="dxa"/>
            <w:tcBorders/>
            <w:vAlign w:val="center"/>
          </w:tcPr>
          <w:p>
            <w:pPr>
              <w:pStyle w:val="TableContents"/>
              <w:bidi w:val="0"/>
              <w:spacing w:before="0" w:after="283"/>
              <w:jc w:val="left"/>
              <w:rPr/>
            </w:pPr>
            <w:r>
              <w:rPr/>
              <w:t> </w:t>
            </w:r>
          </w:p>
        </w:tc>
      </w:tr>
      <w:tr>
        <w:trPr/>
        <w:tc>
          <w:tcPr>
            <w:tcW w:w="3320" w:type="dxa"/>
            <w:tcBorders/>
            <w:shd w:fill="E6EFFF" w:val="clear"/>
            <w:vAlign w:val="center"/>
          </w:tcPr>
          <w:p>
            <w:pPr>
              <w:pStyle w:val="TableContents"/>
              <w:bidi w:val="0"/>
              <w:spacing w:before="0" w:after="283"/>
              <w:jc w:val="left"/>
              <w:rPr/>
            </w:pPr>
            <w:r>
              <w:rPr/>
              <w:t>Accretion of interest</w:t>
            </w:r>
          </w:p>
        </w:tc>
        <w:tc>
          <w:tcPr>
            <w:tcW w:w="60" w:type="dxa"/>
            <w:tcBorders/>
            <w:shd w:fill="E6EFFF" w:val="clear"/>
            <w:vAlign w:val="center"/>
          </w:tcPr>
          <w:p>
            <w:pPr>
              <w:pStyle w:val="TableContents"/>
              <w:bidi w:val="0"/>
              <w:spacing w:before="0" w:after="283"/>
              <w:jc w:val="left"/>
              <w:rPr/>
            </w:pPr>
            <w:r>
              <w:rPr/>
              <w:t> </w:t>
            </w:r>
          </w:p>
        </w:tc>
        <w:tc>
          <w:tcPr>
            <w:tcW w:w="800" w:type="dxa"/>
            <w:tcBorders/>
            <w:shd w:fill="E6EFFF" w:val="clear"/>
            <w:vAlign w:val="center"/>
          </w:tcPr>
          <w:p>
            <w:pPr>
              <w:pStyle w:val="TableContents"/>
              <w:bidi w:val="0"/>
              <w:spacing w:before="0" w:after="283"/>
              <w:jc w:val="right"/>
              <w:rPr/>
            </w:pPr>
            <w:r>
              <w:rPr/>
              <w:t>2,565</w:t>
            </w:r>
          </w:p>
        </w:tc>
        <w:tc>
          <w:tcPr>
            <w:tcW w:w="110" w:type="dxa"/>
            <w:tcBorders/>
            <w:shd w:fill="E6EF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Foreign currency translation gain</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75</w:t>
            </w:r>
          </w:p>
        </w:tc>
        <w:tc>
          <w:tcPr>
            <w:tcW w:w="110" w:type="dxa"/>
            <w:tcBorders/>
            <w:vAlign w:val="center"/>
          </w:tcPr>
          <w:p>
            <w:pPr>
              <w:pStyle w:val="TableContents"/>
              <w:bidi w:val="0"/>
              <w:spacing w:before="0" w:after="283"/>
              <w:jc w:val="left"/>
              <w:rPr/>
            </w:pPr>
            <w:r>
              <w:rPr/>
              <w:t> </w:t>
            </w:r>
          </w:p>
        </w:tc>
      </w:tr>
      <w:tr>
        <w:trPr/>
        <w:tc>
          <w:tcPr>
            <w:tcW w:w="3320" w:type="dxa"/>
            <w:tcBorders>
              <w:bottom w:val="single" w:sz="6" w:space="0" w:color="000000"/>
            </w:tcBorders>
            <w:shd w:fill="E6EFFF" w:val="clear"/>
            <w:tcMar>
              <w:bottom w:w="28" w:type="dxa"/>
            </w:tcMar>
            <w:vAlign w:val="center"/>
          </w:tcPr>
          <w:p>
            <w:pPr>
              <w:pStyle w:val="TableContents"/>
              <w:bidi w:val="0"/>
              <w:spacing w:before="0" w:after="283"/>
              <w:jc w:val="left"/>
              <w:rPr/>
            </w:pPr>
            <w:r>
              <w:rPr/>
              <w:t>Rental payments made</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shd w:fill="E6EFFF" w:val="clear"/>
            <w:tcMar>
              <w:bottom w:w="28" w:type="dxa"/>
            </w:tcMar>
            <w:vAlign w:val="center"/>
          </w:tcPr>
          <w:p>
            <w:pPr>
              <w:pStyle w:val="TableContents"/>
              <w:bidi w:val="0"/>
              <w:spacing w:before="0" w:after="283"/>
              <w:jc w:val="right"/>
              <w:rPr/>
            </w:pPr>
            <w:r>
              <w:rPr/>
              <w:t>(13,236</w:t>
            </w:r>
          </w:p>
        </w:tc>
        <w:tc>
          <w:tcPr>
            <w:tcW w:w="110"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r>
      <w:tr>
        <w:trPr/>
        <w:tc>
          <w:tcPr>
            <w:tcW w:w="332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Carrying value, February 28, 2023</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609,553</w:t>
            </w:r>
          </w:p>
        </w:tc>
        <w:tc>
          <w:tcPr>
            <w:tcW w:w="11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ind w:left="480" w:right="0" w:hanging="0"/>
        <w:jc w:val="both"/>
        <w:rPr/>
      </w:pPr>
      <w:r>
        <w:rPr/>
        <w:t>The following amounts are the future minimum annual lease payments as at February 28, 2023: </w:t>
      </w:r>
    </w:p>
    <w:tbl>
      <w:tblPr>
        <w:tblW w:w="6060" w:type="dxa"/>
        <w:jc w:val="left"/>
        <w:tblInd w:w="480" w:type="dxa"/>
        <w:tblLayout w:type="fixed"/>
        <w:tblCellMar>
          <w:top w:w="0" w:type="dxa"/>
          <w:left w:w="0" w:type="dxa"/>
          <w:bottom w:w="0" w:type="dxa"/>
          <w:right w:w="0" w:type="dxa"/>
        </w:tblCellMar>
      </w:tblPr>
      <w:tblGrid>
        <w:gridCol w:w="4655"/>
        <w:gridCol w:w="60"/>
        <w:gridCol w:w="1235"/>
        <w:gridCol w:w="110"/>
      </w:tblGrid>
      <w:tr>
        <w:trPr/>
        <w:tc>
          <w:tcPr>
            <w:tcW w:w="4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February 28,</w:t>
            </w:r>
          </w:p>
        </w:tc>
        <w:tc>
          <w:tcPr>
            <w:tcW w:w="110" w:type="dxa"/>
            <w:tcBorders/>
            <w:vAlign w:val="center"/>
          </w:tcPr>
          <w:p>
            <w:pPr>
              <w:pStyle w:val="TableContents"/>
              <w:bidi w:val="0"/>
              <w:spacing w:before="0" w:after="283"/>
              <w:jc w:val="center"/>
              <w:rPr/>
            </w:pPr>
            <w:r>
              <w:rPr/>
              <w:t> </w:t>
            </w:r>
          </w:p>
        </w:tc>
      </w:tr>
      <w:tr>
        <w:trPr/>
        <w:tc>
          <w:tcPr>
            <w:tcW w:w="4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jc w:val="center"/>
              <w:rPr/>
            </w:pPr>
            <w:r>
              <w:rPr/>
              <w:t> </w:t>
            </w:r>
          </w:p>
        </w:tc>
      </w:tr>
      <w:tr>
        <w:trPr/>
        <w:tc>
          <w:tcPr>
            <w:tcW w:w="4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w:t>
            </w:r>
          </w:p>
        </w:tc>
        <w:tc>
          <w:tcPr>
            <w:tcW w:w="110" w:type="dxa"/>
            <w:tcBorders/>
            <w:vAlign w:val="center"/>
          </w:tcPr>
          <w:p>
            <w:pPr>
              <w:pStyle w:val="TableContents"/>
              <w:bidi w:val="0"/>
              <w:spacing w:before="0" w:after="283"/>
              <w:jc w:val="center"/>
              <w:rPr/>
            </w:pPr>
            <w:r>
              <w:rPr/>
              <w:t> </w:t>
            </w:r>
          </w:p>
        </w:tc>
      </w:tr>
      <w:tr>
        <w:trPr/>
        <w:tc>
          <w:tcPr>
            <w:tcW w:w="4655" w:type="dxa"/>
            <w:tcBorders>
              <w:top w:val="single" w:sz="6" w:space="0" w:color="000000"/>
            </w:tcBorders>
            <w:shd w:fill="E6EFFF" w:val="clear"/>
            <w:tcMar>
              <w:top w:w="28" w:type="dxa"/>
            </w:tcMar>
            <w:vAlign w:val="center"/>
          </w:tcPr>
          <w:p>
            <w:pPr>
              <w:pStyle w:val="TableContents"/>
              <w:bidi w:val="0"/>
              <w:spacing w:before="0" w:after="283"/>
              <w:jc w:val="left"/>
              <w:rPr/>
            </w:pPr>
            <w:r>
              <w:rPr/>
              <w:t>Within one year</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35" w:type="dxa"/>
            <w:tcBorders>
              <w:top w:val="single" w:sz="6" w:space="0" w:color="000000"/>
            </w:tcBorders>
            <w:shd w:fill="E6EFFF" w:val="clear"/>
            <w:tcMar>
              <w:top w:w="28" w:type="dxa"/>
            </w:tcMar>
            <w:vAlign w:val="center"/>
          </w:tcPr>
          <w:p>
            <w:pPr>
              <w:pStyle w:val="TableContents"/>
              <w:bidi w:val="0"/>
              <w:spacing w:before="0" w:after="283"/>
              <w:jc w:val="right"/>
              <w:rPr/>
            </w:pPr>
            <w:r>
              <w:rPr/>
              <w:t>327,791</w:t>
            </w:r>
          </w:p>
        </w:tc>
        <w:tc>
          <w:tcPr>
            <w:tcW w:w="11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4655" w:type="dxa"/>
            <w:tcBorders>
              <w:bottom w:val="single" w:sz="6" w:space="0" w:color="000000"/>
            </w:tcBorders>
            <w:tcMar>
              <w:bottom w:w="28" w:type="dxa"/>
            </w:tcMar>
            <w:vAlign w:val="center"/>
          </w:tcPr>
          <w:p>
            <w:pPr>
              <w:pStyle w:val="TableContents"/>
              <w:bidi w:val="0"/>
              <w:spacing w:before="0" w:after="283"/>
              <w:jc w:val="left"/>
              <w:rPr/>
            </w:pPr>
            <w:r>
              <w:rPr/>
              <w:t>In the second to third years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314,133</w:t>
            </w:r>
          </w:p>
        </w:tc>
        <w:tc>
          <w:tcPr>
            <w:tcW w:w="11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65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Total lease obligations</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641,923</w:t>
            </w:r>
          </w:p>
        </w:tc>
        <w:tc>
          <w:tcPr>
            <w:tcW w:w="11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46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Discount at incremental borrowing rate of 5.24%</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(32,370</w:t>
            </w:r>
          </w:p>
        </w:tc>
        <w:tc>
          <w:tcPr>
            <w:tcW w:w="1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r>
      <w:tr>
        <w:trPr/>
        <w:tc>
          <w:tcPr>
            <w:tcW w:w="465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Net lease liabilities, February 28, 2023</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609,553</w:t>
            </w:r>
          </w:p>
        </w:tc>
        <w:tc>
          <w:tcPr>
            <w:tcW w:w="11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4655"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235" w:type="dxa"/>
            <w:tcBorders>
              <w:top w:val="single" w:sz="12" w:space="0" w:color="000000"/>
            </w:tcBorders>
            <w:tcMar>
              <w:top w:w="28" w:type="dxa"/>
            </w:tcMar>
            <w:vAlign w:val="center"/>
          </w:tcPr>
          <w:p>
            <w:pPr>
              <w:pStyle w:val="TableContents"/>
              <w:bidi w:val="0"/>
              <w:spacing w:before="0" w:after="283"/>
              <w:jc w:val="right"/>
              <w:rPr/>
            </w:pPr>
            <w:r>
              <w:rPr/>
              <w:t> </w:t>
            </w:r>
          </w:p>
        </w:tc>
        <w:tc>
          <w:tcPr>
            <w:tcW w:w="110" w:type="dxa"/>
            <w:tcBorders>
              <w:top w:val="single" w:sz="12" w:space="0" w:color="000000"/>
            </w:tcBorders>
            <w:tcMar>
              <w:top w:w="28" w:type="dxa"/>
            </w:tcMar>
            <w:vAlign w:val="center"/>
          </w:tcPr>
          <w:p>
            <w:pPr>
              <w:pStyle w:val="TableContents"/>
              <w:bidi w:val="0"/>
              <w:spacing w:before="0" w:after="283"/>
              <w:jc w:val="left"/>
              <w:rPr/>
            </w:pPr>
            <w:r>
              <w:rPr/>
              <w:t> </w:t>
            </w:r>
          </w:p>
        </w:tc>
      </w:tr>
      <w:tr>
        <w:trPr/>
        <w:tc>
          <w:tcPr>
            <w:tcW w:w="4655" w:type="dxa"/>
            <w:tcBorders>
              <w:bottom w:val="single" w:sz="12" w:space="0" w:color="000000"/>
            </w:tcBorders>
            <w:shd w:fill="E6EFFF" w:val="clear"/>
            <w:tcMar>
              <w:bottom w:w="28" w:type="dxa"/>
            </w:tcMar>
            <w:vAlign w:val="center"/>
          </w:tcPr>
          <w:p>
            <w:pPr>
              <w:pStyle w:val="TableContents"/>
              <w:bidi w:val="0"/>
              <w:spacing w:before="0" w:after="283"/>
              <w:jc w:val="left"/>
              <w:rPr/>
            </w:pPr>
            <w:r>
              <w:rPr/>
              <w:t>Current lease liabilities, February 28, 2023</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E6EFFF" w:val="clear"/>
            <w:tcMar>
              <w:bottom w:w="28" w:type="dxa"/>
            </w:tcMar>
            <w:vAlign w:val="center"/>
          </w:tcPr>
          <w:p>
            <w:pPr>
              <w:pStyle w:val="TableContents"/>
              <w:bidi w:val="0"/>
              <w:spacing w:before="0" w:after="283"/>
              <w:jc w:val="right"/>
              <w:rPr/>
            </w:pPr>
            <w:r>
              <w:rPr/>
              <w:t>303,650</w:t>
            </w:r>
          </w:p>
        </w:tc>
        <w:tc>
          <w:tcPr>
            <w:tcW w:w="11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r>
      <w:tr>
        <w:trPr/>
        <w:tc>
          <w:tcPr>
            <w:tcW w:w="4655"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pPr>
            <w:r>
              <w:rPr/>
              <w:t>Non-current lease liabilities, February 28, 2023</w:t>
            </w:r>
          </w:p>
        </w:tc>
        <w:tc>
          <w:tcPr>
            <w:tcW w:w="60"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right"/>
              <w:rPr/>
            </w:pPr>
            <w:r>
              <w:rPr/>
              <w:t>305,903</w:t>
            </w:r>
          </w:p>
        </w:tc>
        <w:tc>
          <w:tcPr>
            <w:tcW w:w="110"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ind w:left="480" w:right="0" w:hanging="0"/>
        <w:jc w:val="both"/>
        <w:rPr/>
      </w:pPr>
      <w:r>
        <w:rPr/>
        <w:t>Total cash outflows for lease liabilities for the year ended February 28, 2023 was $13,236 (year ended February 28, 2022: nil). In addition there were cash outflows for short-term leases for the year ended February 28, 2023 of $199,032 (year ended February 28, 2022: $153,015).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hanging="0"/>
        <w:jc w:val="both"/>
        <w:rPr/>
      </w:pPr>
      <w:r>
        <w:rPr>
          <w:b/>
        </w:rPr>
        <w:t>7.</w:t>
      </w:r>
      <w:r>
        <w:rPr/>
        <w:t> </w:t>
      </w:r>
      <w:r>
        <w:rPr>
          <w:b/>
        </w:rPr>
        <w:t>Notes Payable</w:t>
      </w:r>
    </w:p>
    <w:p>
      <w:pPr>
        <w:pStyle w:val="TextBody"/>
        <w:bidi w:val="0"/>
        <w:ind w:left="480" w:right="0" w:hanging="0"/>
        <w:jc w:val="both"/>
        <w:rPr/>
      </w:pPr>
      <w:r>
        <w:rPr/>
        <w:t xml:space="preserve">During the year ended February 28, 2021, the Company issued two tranches of convertible notes payable bearing interest at 6% per annum. The conversion feature, upon triggering of certain events, converted the notes payable into the Company's common shares at 20% discount to relevant fund-raising share price. As a result, the number of common shares of the Company to be issued upon conversion was variable. Therefore, the conversion feature was classified as a derivative liability in accordance with IAS 32, </w:t>
      </w:r>
      <w:r>
        <w:rPr>
          <w:i/>
        </w:rPr>
        <w:t>Financial Instruments: Presentation</w:t>
      </w:r>
      <w:r>
        <w:rPr/>
        <w:t>.</w:t>
      </w:r>
    </w:p>
    <w:p>
      <w:pPr>
        <w:pStyle w:val="TextBody"/>
        <w:bidi w:val="0"/>
        <w:ind w:left="480" w:right="0" w:hanging="0"/>
        <w:jc w:val="both"/>
        <w:rPr/>
      </w:pPr>
      <w:r>
        <w:rPr/>
        <w:t>On March 8, 2021, the Company modified the conversion price of certain convertible notes payable in the amount of £2,597,512 from a 20% discount to relevant fund-raising share price to a 36% discount.</w:t>
      </w:r>
    </w:p>
    <w:p>
      <w:pPr>
        <w:pStyle w:val="TextBody"/>
        <w:bidi w:val="0"/>
        <w:ind w:left="480" w:right="0" w:hanging="0"/>
        <w:jc w:val="both"/>
        <w:rPr/>
      </w:pPr>
      <w:r>
        <w:rPr/>
        <w:t>On April 29, 2021, the Company completed a reverse takeover transaction and concurrent financing event. As a result, the carrying value of the convertible notes payable in the amount of $9,056,561, and the fair value of the derivative liabilities on April 29, 2021 in the amount of $3,850,458, together with accrued interest payable of $281,572, were converted into common shares of the Company. Therefore, the share capital was increased by the respective amount. Refer to Note 10 (d).</w:t>
      </w:r>
    </w:p>
    <w:tbl>
      <w:tblPr>
        <w:tblW w:w="6765" w:type="dxa"/>
        <w:jc w:val="left"/>
        <w:tblInd w:w="480" w:type="dxa"/>
        <w:tblLayout w:type="fixed"/>
        <w:tblCellMar>
          <w:top w:w="0" w:type="dxa"/>
          <w:left w:w="0" w:type="dxa"/>
          <w:bottom w:w="0" w:type="dxa"/>
          <w:right w:w="0" w:type="dxa"/>
        </w:tblCellMar>
      </w:tblPr>
      <w:tblGrid>
        <w:gridCol w:w="5540"/>
        <w:gridCol w:w="60"/>
        <w:gridCol w:w="1055"/>
        <w:gridCol w:w="110"/>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55" w:type="dxa"/>
            <w:tcBorders/>
            <w:vAlign w:val="center"/>
          </w:tcPr>
          <w:p>
            <w:pPr>
              <w:pStyle w:val="TableContents"/>
              <w:bidi w:val="0"/>
              <w:spacing w:before="0" w:after="283"/>
              <w:jc w:val="center"/>
              <w:rPr/>
            </w:pPr>
            <w:r>
              <w:rPr/>
              <w:t>$</w:t>
            </w:r>
          </w:p>
        </w:tc>
        <w:tc>
          <w:tcPr>
            <w:tcW w:w="110" w:type="dxa"/>
            <w:tcBorders/>
            <w:vAlign w:val="center"/>
          </w:tcPr>
          <w:p>
            <w:pPr>
              <w:pStyle w:val="TableContents"/>
              <w:bidi w:val="0"/>
              <w:spacing w:before="0" w:after="283"/>
              <w:jc w:val="center"/>
              <w:rPr/>
            </w:pPr>
            <w:r>
              <w:rPr/>
              <w:t> </w:t>
            </w:r>
          </w:p>
        </w:tc>
      </w:tr>
      <w:tr>
        <w:trPr/>
        <w:tc>
          <w:tcPr>
            <w:tcW w:w="5540" w:type="dxa"/>
            <w:tcBorders>
              <w:top w:val="single" w:sz="6" w:space="0" w:color="000000"/>
            </w:tcBorders>
            <w:shd w:fill="E6EFFF" w:val="clear"/>
            <w:tcMar>
              <w:top w:w="28" w:type="dxa"/>
            </w:tcMar>
            <w:vAlign w:val="center"/>
          </w:tcPr>
          <w:p>
            <w:pPr>
              <w:pStyle w:val="TableContents"/>
              <w:bidi w:val="0"/>
              <w:spacing w:before="0" w:after="283"/>
              <w:jc w:val="left"/>
              <w:rPr/>
            </w:pPr>
            <w:r>
              <w:rPr/>
              <w:t>Carrying value, February 29, 2021</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055" w:type="dxa"/>
            <w:tcBorders>
              <w:top w:val="single" w:sz="6" w:space="0" w:color="000000"/>
            </w:tcBorders>
            <w:shd w:fill="E6EFFF" w:val="clear"/>
            <w:tcMar>
              <w:top w:w="28" w:type="dxa"/>
            </w:tcMar>
            <w:vAlign w:val="center"/>
          </w:tcPr>
          <w:p>
            <w:pPr>
              <w:pStyle w:val="TableContents"/>
              <w:bidi w:val="0"/>
              <w:spacing w:before="0" w:after="283"/>
              <w:jc w:val="right"/>
              <w:rPr/>
            </w:pPr>
            <w:r>
              <w:rPr/>
              <w:t>8,826,946</w:t>
            </w:r>
          </w:p>
        </w:tc>
        <w:tc>
          <w:tcPr>
            <w:tcW w:w="11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Accretion of discount</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372,759</w:t>
            </w:r>
          </w:p>
        </w:tc>
        <w:tc>
          <w:tcPr>
            <w:tcW w:w="110" w:type="dxa"/>
            <w:tcBorders/>
            <w:vAlign w:val="center"/>
          </w:tcPr>
          <w:p>
            <w:pPr>
              <w:pStyle w:val="TableContents"/>
              <w:bidi w:val="0"/>
              <w:spacing w:before="0" w:after="283"/>
              <w:jc w:val="left"/>
              <w:rPr/>
            </w:pPr>
            <w:r>
              <w:rPr/>
              <w:t> </w:t>
            </w:r>
          </w:p>
        </w:tc>
      </w:tr>
      <w:tr>
        <w:trPr/>
        <w:tc>
          <w:tcPr>
            <w:tcW w:w="5540" w:type="dxa"/>
            <w:tcBorders/>
            <w:shd w:fill="E6EFFF" w:val="clear"/>
            <w:vAlign w:val="center"/>
          </w:tcPr>
          <w:p>
            <w:pPr>
              <w:pStyle w:val="TableContents"/>
              <w:bidi w:val="0"/>
              <w:spacing w:before="0" w:after="283"/>
              <w:jc w:val="left"/>
              <w:rPr/>
            </w:pPr>
            <w:r>
              <w:rPr/>
              <w:t>Foreign exchange loss</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122,066</w:t>
            </w:r>
          </w:p>
        </w:tc>
        <w:tc>
          <w:tcPr>
            <w:tcW w:w="110" w:type="dxa"/>
            <w:tcBorders/>
            <w:shd w:fill="E6EFFF" w:val="clear"/>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Foreign currency translation gain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(265,210</w:t>
            </w:r>
          </w:p>
        </w:tc>
        <w:tc>
          <w:tcPr>
            <w:tcW w:w="110" w:type="dxa"/>
            <w:tcBorders/>
            <w:vAlign w:val="center"/>
          </w:tcPr>
          <w:p>
            <w:pPr>
              <w:pStyle w:val="TableContents"/>
              <w:bidi w:val="0"/>
              <w:spacing w:before="0" w:after="283"/>
              <w:jc w:val="left"/>
              <w:rPr/>
            </w:pPr>
            <w:r>
              <w:rPr/>
              <w:t>)</w:t>
            </w:r>
          </w:p>
        </w:tc>
      </w:tr>
      <w:tr>
        <w:trPr/>
        <w:tc>
          <w:tcPr>
            <w:tcW w:w="5540" w:type="dxa"/>
            <w:tcBorders>
              <w:bottom w:val="single" w:sz="6" w:space="0" w:color="000000"/>
            </w:tcBorders>
            <w:shd w:fill="E6EFFF" w:val="clear"/>
            <w:tcMar>
              <w:bottom w:w="28" w:type="dxa"/>
            </w:tcMar>
            <w:vAlign w:val="center"/>
          </w:tcPr>
          <w:p>
            <w:pPr>
              <w:pStyle w:val="TableContents"/>
              <w:bidi w:val="0"/>
              <w:spacing w:before="0" w:after="283"/>
              <w:jc w:val="left"/>
              <w:rPr/>
            </w:pPr>
            <w:r>
              <w:rPr/>
              <w:t>Amount transferred to share capital upon conversion</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shd w:fill="E6EFFF" w:val="clear"/>
            <w:tcMar>
              <w:bottom w:w="28" w:type="dxa"/>
            </w:tcMar>
            <w:vAlign w:val="center"/>
          </w:tcPr>
          <w:p>
            <w:pPr>
              <w:pStyle w:val="TableContents"/>
              <w:bidi w:val="0"/>
              <w:spacing w:before="0" w:after="283"/>
              <w:jc w:val="right"/>
              <w:rPr/>
            </w:pPr>
            <w:r>
              <w:rPr/>
              <w:t>(9,056,561</w:t>
            </w:r>
          </w:p>
        </w:tc>
        <w:tc>
          <w:tcPr>
            <w:tcW w:w="110"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r>
      <w:tr>
        <w:trPr/>
        <w:tc>
          <w:tcPr>
            <w:tcW w:w="554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Carrying value, February 28, 2022 and February 28, 2023</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05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w:t>
            </w:r>
          </w:p>
        </w:tc>
        <w:tc>
          <w:tcPr>
            <w:tcW w:w="11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ind w:left="820" w:right="0" w:hanging="0"/>
        <w:jc w:val="both"/>
        <w:rPr/>
      </w:pPr>
      <w:r>
        <w:rPr/>
        <w:t>(a) As at February 29, 2021, the Company had convertible notes payable of $5,000,000. The notes bore interest at 6% per annum and were to mature on July 1, 2021. The notes payable and accrued interest were converted to ordinary shares of Small Pharma Ltd at $0.768 per share on April 29, 2021. Refer to Note 10 (d).</w:t>
      </w:r>
    </w:p>
    <w:p>
      <w:pPr>
        <w:pStyle w:val="TextBody"/>
        <w:bidi w:val="0"/>
        <w:ind w:left="820" w:right="0" w:hanging="0"/>
        <w:jc w:val="both"/>
        <w:rPr/>
      </w:pPr>
      <w:r>
        <w:rPr/>
        <w:t>(b) As at February 29, 2021, the Company had convertible notes payable of $4,607,207 (£2,597,512). The notes bore interest at 6% per annum and were to mature on July 1, 2021. The notes payable and accrued interest were converted to ordinary shares of Small Pharma Ltd at approximately $0.61 (£0.36) per share on April 29, 2021. Refer to Note 10 (d).</w:t>
      </w:r>
    </w:p>
    <w:p>
      <w:pPr>
        <w:pStyle w:val="TextBody"/>
        <w:bidi w:val="0"/>
        <w:ind w:left="820" w:right="0" w:hanging="0"/>
        <w:jc w:val="both"/>
        <w:rPr/>
      </w:pPr>
      <w:r>
        <w:rPr/>
        <w:t>(c) As at February 28, 2023, the accrued interest payable was $nil (February 28, 2022 - $nil). For the year ended February 28, 2023 the Company incurred interest expense of $nil (February 28, 2022 - $92,959 (£54,030)).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hanging="0"/>
        <w:jc w:val="both"/>
        <w:rPr/>
      </w:pPr>
      <w:r>
        <w:rPr>
          <w:b/>
        </w:rPr>
        <w:t>8.</w:t>
      </w:r>
      <w:r>
        <w:rPr/>
        <w:t> </w:t>
      </w:r>
      <w:r>
        <w:rPr>
          <w:b/>
        </w:rPr>
        <w:t>Derivative Liabilities</w:t>
      </w:r>
    </w:p>
    <w:p>
      <w:pPr>
        <w:pStyle w:val="TextBody"/>
        <w:bidi w:val="0"/>
        <w:ind w:left="480" w:right="0" w:hanging="0"/>
        <w:jc w:val="both"/>
        <w:rPr/>
      </w:pPr>
      <w:r>
        <w:rPr/>
        <w:t>As the conversion price of the notes payable at February 28, 2021 varied depending on certain factors, the Company recorded embedded derivative liabilities in its consolidated statement of financial position with a corresponding discount which was netted against the principal amount of the convertible notes payable. Refer to Note 7. The Company accreted the discount associated with the embedded derivative liabilities to accretion expense over the term of the convertible notes payable using effective interest rates between 15% and 23%. The embedded derivative liabilities were initially measured at fair value and re- measured at the end of each reporting period with any changes in fair value reported in the consolidated statements of operations and comprehensive loss.</w:t>
      </w:r>
    </w:p>
    <w:tbl>
      <w:tblPr>
        <w:tblW w:w="6270" w:type="dxa"/>
        <w:jc w:val="left"/>
        <w:tblInd w:w="480" w:type="dxa"/>
        <w:tblLayout w:type="fixed"/>
        <w:tblCellMar>
          <w:top w:w="0" w:type="dxa"/>
          <w:left w:w="0" w:type="dxa"/>
          <w:bottom w:w="0" w:type="dxa"/>
          <w:right w:w="0" w:type="dxa"/>
        </w:tblCellMar>
      </w:tblPr>
      <w:tblGrid>
        <w:gridCol w:w="5045"/>
        <w:gridCol w:w="60"/>
        <w:gridCol w:w="1055"/>
        <w:gridCol w:w="110"/>
      </w:tblGrid>
      <w:tr>
        <w:trPr/>
        <w:tc>
          <w:tcPr>
            <w:tcW w:w="5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55" w:type="dxa"/>
            <w:tcBorders/>
            <w:vAlign w:val="center"/>
          </w:tcPr>
          <w:p>
            <w:pPr>
              <w:pStyle w:val="TableContents"/>
              <w:bidi w:val="0"/>
              <w:spacing w:before="0" w:after="283"/>
              <w:jc w:val="center"/>
              <w:rPr/>
            </w:pPr>
            <w:r>
              <w:rPr/>
              <w:t>$</w:t>
            </w:r>
          </w:p>
        </w:tc>
        <w:tc>
          <w:tcPr>
            <w:tcW w:w="110" w:type="dxa"/>
            <w:tcBorders/>
            <w:vAlign w:val="center"/>
          </w:tcPr>
          <w:p>
            <w:pPr>
              <w:pStyle w:val="TableContents"/>
              <w:bidi w:val="0"/>
              <w:spacing w:before="0" w:after="283"/>
              <w:jc w:val="center"/>
              <w:rPr/>
            </w:pPr>
            <w:r>
              <w:rPr/>
              <w:t> </w:t>
            </w:r>
          </w:p>
        </w:tc>
      </w:tr>
      <w:tr>
        <w:trPr/>
        <w:tc>
          <w:tcPr>
            <w:tcW w:w="5045" w:type="dxa"/>
            <w:tcBorders>
              <w:top w:val="single" w:sz="6" w:space="0" w:color="000000"/>
            </w:tcBorders>
            <w:shd w:fill="E6EFFF" w:val="clear"/>
            <w:tcMar>
              <w:top w:w="28" w:type="dxa"/>
            </w:tcMar>
            <w:vAlign w:val="center"/>
          </w:tcPr>
          <w:p>
            <w:pPr>
              <w:pStyle w:val="TableContents"/>
              <w:bidi w:val="0"/>
              <w:spacing w:before="0" w:after="283"/>
              <w:jc w:val="left"/>
              <w:rPr/>
            </w:pPr>
            <w:r>
              <w:rPr/>
              <w:t>Balance, February 29, 2021</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055" w:type="dxa"/>
            <w:tcBorders>
              <w:top w:val="single" w:sz="6" w:space="0" w:color="000000"/>
            </w:tcBorders>
            <w:shd w:fill="E6EFFF" w:val="clear"/>
            <w:tcMar>
              <w:top w:w="28" w:type="dxa"/>
            </w:tcMar>
            <w:vAlign w:val="center"/>
          </w:tcPr>
          <w:p>
            <w:pPr>
              <w:pStyle w:val="TableContents"/>
              <w:bidi w:val="0"/>
              <w:spacing w:before="0" w:after="283"/>
              <w:jc w:val="right"/>
              <w:rPr/>
            </w:pPr>
            <w:r>
              <w:rPr/>
              <w:t>1,958,406</w:t>
            </w:r>
          </w:p>
        </w:tc>
        <w:tc>
          <w:tcPr>
            <w:tcW w:w="11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Change in fair value resulting from loan modification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1,220,606</w:t>
            </w:r>
          </w:p>
        </w:tc>
        <w:tc>
          <w:tcPr>
            <w:tcW w:w="110" w:type="dxa"/>
            <w:tcBorders/>
            <w:vAlign w:val="center"/>
          </w:tcPr>
          <w:p>
            <w:pPr>
              <w:pStyle w:val="TableContents"/>
              <w:bidi w:val="0"/>
              <w:spacing w:before="0" w:after="283"/>
              <w:jc w:val="left"/>
              <w:rPr/>
            </w:pPr>
            <w:r>
              <w:rPr/>
              <w:t> </w:t>
            </w:r>
          </w:p>
        </w:tc>
      </w:tr>
      <w:tr>
        <w:trPr/>
        <w:tc>
          <w:tcPr>
            <w:tcW w:w="5045" w:type="dxa"/>
            <w:tcBorders/>
            <w:shd w:fill="E6EFFF" w:val="clear"/>
            <w:vAlign w:val="center"/>
          </w:tcPr>
          <w:p>
            <w:pPr>
              <w:pStyle w:val="TableContents"/>
              <w:bidi w:val="0"/>
              <w:spacing w:before="0" w:after="283"/>
              <w:jc w:val="left"/>
              <w:rPr/>
            </w:pPr>
            <w:r>
              <w:rPr/>
              <w:t>Change in fair value as of conversion date</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709,810</w:t>
            </w:r>
          </w:p>
        </w:tc>
        <w:tc>
          <w:tcPr>
            <w:tcW w:w="110" w:type="dxa"/>
            <w:tcBorders/>
            <w:shd w:fill="E6EF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Foreign exchange gain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32,949</w:t>
            </w:r>
          </w:p>
        </w:tc>
        <w:tc>
          <w:tcPr>
            <w:tcW w:w="110" w:type="dxa"/>
            <w:tcBorders/>
            <w:vAlign w:val="center"/>
          </w:tcPr>
          <w:p>
            <w:pPr>
              <w:pStyle w:val="TableContents"/>
              <w:bidi w:val="0"/>
              <w:spacing w:before="0" w:after="283"/>
              <w:jc w:val="left"/>
              <w:rPr/>
            </w:pPr>
            <w:r>
              <w:rPr/>
              <w:t> </w:t>
            </w:r>
          </w:p>
        </w:tc>
      </w:tr>
      <w:tr>
        <w:trPr/>
        <w:tc>
          <w:tcPr>
            <w:tcW w:w="5045" w:type="dxa"/>
            <w:tcBorders/>
            <w:shd w:fill="E6EFFF" w:val="clear"/>
            <w:vAlign w:val="center"/>
          </w:tcPr>
          <w:p>
            <w:pPr>
              <w:pStyle w:val="TableContents"/>
              <w:bidi w:val="0"/>
              <w:spacing w:before="0" w:after="283"/>
              <w:jc w:val="left"/>
              <w:rPr/>
            </w:pPr>
            <w:r>
              <w:rPr/>
              <w:t>Foreign currency translation adjustment</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(71,313</w:t>
            </w:r>
          </w:p>
        </w:tc>
        <w:tc>
          <w:tcPr>
            <w:tcW w:w="110" w:type="dxa"/>
            <w:tcBorders/>
            <w:shd w:fill="E6EFFF" w:val="clear"/>
            <w:vAlign w:val="center"/>
          </w:tcPr>
          <w:p>
            <w:pPr>
              <w:pStyle w:val="TableContents"/>
              <w:bidi w:val="0"/>
              <w:spacing w:before="0" w:after="283"/>
              <w:jc w:val="left"/>
              <w:rPr/>
            </w:pPr>
            <w:r>
              <w:rPr/>
              <w:t>)</w:t>
            </w:r>
          </w:p>
        </w:tc>
      </w:tr>
      <w:tr>
        <w:trPr/>
        <w:tc>
          <w:tcPr>
            <w:tcW w:w="5045" w:type="dxa"/>
            <w:tcBorders>
              <w:bottom w:val="single" w:sz="6" w:space="0" w:color="000000"/>
            </w:tcBorders>
            <w:tcMar>
              <w:bottom w:w="28" w:type="dxa"/>
            </w:tcMar>
            <w:vAlign w:val="center"/>
          </w:tcPr>
          <w:p>
            <w:pPr>
              <w:pStyle w:val="TableContents"/>
              <w:bidi w:val="0"/>
              <w:spacing w:before="0" w:after="283"/>
              <w:jc w:val="left"/>
              <w:rPr/>
            </w:pPr>
            <w:r>
              <w:rPr/>
              <w:t>Amount transferred to share capital upon conversion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tcMar>
              <w:bottom w:w="28" w:type="dxa"/>
            </w:tcMar>
            <w:vAlign w:val="center"/>
          </w:tcPr>
          <w:p>
            <w:pPr>
              <w:pStyle w:val="TableContents"/>
              <w:bidi w:val="0"/>
              <w:spacing w:before="0" w:after="283"/>
              <w:jc w:val="right"/>
              <w:rPr/>
            </w:pPr>
            <w:r>
              <w:rPr/>
              <w:t>(3,850,458</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504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Balance, February 28, 2022 and February 28, 2023</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05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w:t>
            </w:r>
          </w:p>
        </w:tc>
        <w:tc>
          <w:tcPr>
            <w:tcW w:w="11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bl>
    <w:p>
      <w:pPr>
        <w:pStyle w:val="TextBody"/>
        <w:bidi w:val="0"/>
        <w:ind w:left="480" w:right="0" w:hanging="0"/>
        <w:jc w:val="both"/>
        <w:rPr/>
      </w:pPr>
      <w:r>
        <w:rPr/>
        <w:t>In relation to the modification of the conversion price from a 20% discount to the relevant fund-raising share price to a 36% discount, the Company remeasured the fair value of derivative liabilities and recognized a loss in change in fair value of derivative liabilities in the amount of $1,220,606 on March 8, 2021.</w:t>
      </w:r>
    </w:p>
    <w:p>
      <w:pPr>
        <w:pStyle w:val="TextBody"/>
        <w:bidi w:val="0"/>
        <w:ind w:left="480" w:right="0" w:hanging="0"/>
        <w:jc w:val="both"/>
        <w:rPr/>
      </w:pPr>
      <w:r>
        <w:rPr/>
        <w:t>The fair value of derivative liabilities as at the date of conversion (April 29, 2021) was calculated using an estimated share price which is based on a probability weighted scenario approach, whereby the probability of conversion of the notes payable is 100% and the probability of the notes payable being held to maturity is 0%. The calculation utilized an estimated discount rate from 0% to 1%.</w:t>
      </w:r>
    </w:p>
    <w:p>
      <w:pPr>
        <w:pStyle w:val="TextBody"/>
        <w:bidi w:val="0"/>
        <w:ind w:left="0" w:right="0" w:hanging="0"/>
        <w:jc w:val="both"/>
        <w:rPr/>
      </w:pPr>
      <w:r>
        <w:rPr>
          <w:b/>
        </w:rPr>
        <w:t>9.</w:t>
      </w:r>
      <w:r>
        <w:rPr/>
        <w:t> </w:t>
      </w:r>
      <w:r>
        <w:rPr>
          <w:b/>
        </w:rPr>
        <w:t>Related Party Transactions</w:t>
      </w:r>
    </w:p>
    <w:p>
      <w:pPr>
        <w:pStyle w:val="TextBody"/>
        <w:bidi w:val="0"/>
        <w:ind w:left="480" w:right="0" w:hanging="0"/>
        <w:jc w:val="both"/>
        <w:rPr/>
      </w:pPr>
      <w:r>
        <w:rPr/>
        <w:t>The key management personnel of the Company are considered to be the directors of the Company and those other members of senior management who are directly involved in strategic decision-making.</w:t>
      </w:r>
    </w:p>
    <w:p>
      <w:pPr>
        <w:pStyle w:val="TextBody"/>
        <w:bidi w:val="0"/>
        <w:ind w:left="480" w:right="0" w:hanging="0"/>
        <w:jc w:val="both"/>
        <w:rPr/>
      </w:pPr>
      <w:r>
        <w:rPr/>
        <w:t>The Company incurred salaries and benefits to key management personnel as follows:</w:t>
      </w:r>
    </w:p>
    <w:tbl>
      <w:tblPr>
        <w:tblW w:w="5820" w:type="dxa"/>
        <w:jc w:val="left"/>
        <w:tblInd w:w="480" w:type="dxa"/>
        <w:tblLayout w:type="fixed"/>
        <w:tblCellMar>
          <w:top w:w="0" w:type="dxa"/>
          <w:left w:w="0" w:type="dxa"/>
          <w:bottom w:w="0" w:type="dxa"/>
          <w:right w:w="0" w:type="dxa"/>
        </w:tblCellMar>
      </w:tblPr>
      <w:tblGrid>
        <w:gridCol w:w="3095"/>
        <w:gridCol w:w="60"/>
        <w:gridCol w:w="1235"/>
        <w:gridCol w:w="60"/>
        <w:gridCol w:w="60"/>
        <w:gridCol w:w="1235"/>
        <w:gridCol w:w="75"/>
      </w:tblGrid>
      <w:tr>
        <w:trPr/>
        <w:tc>
          <w:tcPr>
            <w:tcW w:w="3095"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Year ended</w:t>
              <w:br/>
              <w:t>February 28,</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Year ended</w:t>
              <w:br/>
              <w:t>February 28,</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2023</w:t>
              <w:b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2022</w:t>
              <w:br/>
              <w:t>$</w:t>
            </w:r>
          </w:p>
        </w:tc>
        <w:tc>
          <w:tcPr>
            <w:tcW w:w="75"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095" w:type="dxa"/>
            <w:tcBorders>
              <w:top w:val="single" w:sz="6" w:space="0" w:color="000000"/>
            </w:tcBorders>
            <w:shd w:fill="E6EFFF" w:val="clear"/>
            <w:tcMar>
              <w:top w:w="28" w:type="dxa"/>
            </w:tcMar>
            <w:vAlign w:val="center"/>
          </w:tcPr>
          <w:p>
            <w:pPr>
              <w:pStyle w:val="TableContents"/>
              <w:bidi w:val="0"/>
              <w:spacing w:before="0" w:after="283"/>
              <w:jc w:val="left"/>
              <w:rPr/>
            </w:pPr>
            <w:r>
              <w:rPr/>
              <w:t>Base compensation and bonuses</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35" w:type="dxa"/>
            <w:tcBorders>
              <w:top w:val="single" w:sz="6" w:space="0" w:color="000000"/>
            </w:tcBorders>
            <w:shd w:fill="E6EFFF" w:val="clear"/>
            <w:tcMar>
              <w:top w:w="28" w:type="dxa"/>
            </w:tcMar>
            <w:vAlign w:val="center"/>
          </w:tcPr>
          <w:p>
            <w:pPr>
              <w:pStyle w:val="TableContents"/>
              <w:bidi w:val="0"/>
              <w:spacing w:before="0" w:after="283"/>
              <w:jc w:val="right"/>
              <w:rPr/>
            </w:pPr>
            <w:r>
              <w:rPr/>
              <w:t>3,844,991</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35" w:type="dxa"/>
            <w:tcBorders>
              <w:top w:val="single" w:sz="6" w:space="0" w:color="000000"/>
            </w:tcBorders>
            <w:shd w:fill="E6EFFF" w:val="clear"/>
            <w:tcMar>
              <w:top w:w="28" w:type="dxa"/>
            </w:tcMar>
            <w:vAlign w:val="center"/>
          </w:tcPr>
          <w:p>
            <w:pPr>
              <w:pStyle w:val="TableContents"/>
              <w:bidi w:val="0"/>
              <w:spacing w:before="0" w:after="283"/>
              <w:jc w:val="right"/>
              <w:rPr/>
            </w:pPr>
            <w:r>
              <w:rPr/>
              <w:t>4,873,030</w:t>
            </w:r>
          </w:p>
        </w:tc>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Pension benefits</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57,105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129,680</w:t>
            </w:r>
          </w:p>
        </w:tc>
        <w:tc>
          <w:tcPr>
            <w:tcW w:w="75" w:type="dxa"/>
            <w:tcBorders/>
            <w:vAlign w:val="center"/>
          </w:tcPr>
          <w:p>
            <w:pPr>
              <w:pStyle w:val="TableContents"/>
              <w:bidi w:val="0"/>
              <w:spacing w:before="0" w:after="283"/>
              <w:jc w:val="left"/>
              <w:rPr/>
            </w:pPr>
            <w:r>
              <w:rPr/>
              <w:t> </w:t>
            </w:r>
          </w:p>
        </w:tc>
      </w:tr>
      <w:tr>
        <w:trPr/>
        <w:tc>
          <w:tcPr>
            <w:tcW w:w="3095" w:type="dxa"/>
            <w:tcBorders>
              <w:bottom w:val="single" w:sz="6" w:space="0" w:color="000000"/>
            </w:tcBorders>
            <w:shd w:fill="E6EFFF" w:val="clear"/>
            <w:tcMar>
              <w:bottom w:w="28" w:type="dxa"/>
            </w:tcMar>
            <w:vAlign w:val="center"/>
          </w:tcPr>
          <w:p>
            <w:pPr>
              <w:pStyle w:val="TableContents"/>
              <w:bidi w:val="0"/>
              <w:spacing w:before="0" w:after="283"/>
              <w:jc w:val="left"/>
              <w:rPr/>
            </w:pPr>
            <w:r>
              <w:rPr/>
              <w:t>Share-based payments</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814,961</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611,416</w:t>
            </w:r>
          </w:p>
        </w:tc>
        <w:tc>
          <w:tcPr>
            <w:tcW w:w="7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309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Total</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4,717,057</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5,614,126</w:t>
            </w:r>
          </w:p>
        </w:tc>
        <w:tc>
          <w:tcPr>
            <w:tcW w:w="7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ind w:left="48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hanging="0"/>
        <w:jc w:val="both"/>
        <w:rPr/>
      </w:pPr>
      <w:r>
        <w:rPr>
          <w:b/>
        </w:rPr>
        <w:t>9.</w:t>
      </w:r>
      <w:r>
        <w:rPr/>
        <w:t> </w:t>
      </w:r>
      <w:r>
        <w:rPr>
          <w:b/>
        </w:rPr>
        <w:t xml:space="preserve">Related Party Transactions </w:t>
      </w:r>
      <w:r>
        <w:rPr/>
        <w:t>(continued)</w:t>
      </w:r>
    </w:p>
    <w:p>
      <w:pPr>
        <w:pStyle w:val="TextBody"/>
        <w:bidi w:val="0"/>
        <w:spacing w:before="0" w:after="0"/>
        <w:ind w:left="480" w:right="0" w:hanging="0"/>
        <w:jc w:val="both"/>
        <w:rPr/>
      </w:pPr>
      <w:r>
        <w:rPr/>
        <w:t>At February 28, 2023, amounts owed by the Company to related parties in relation to directors' fees of $21,250 (February 28, 2022 - $73,929) as well as key management compensation and bonuses of $67,184 (February 28, 2022 - $2,217,543) were included in accounts payable and accrued liabilities.</w:t>
      </w:r>
    </w:p>
    <w:p>
      <w:pPr>
        <w:pStyle w:val="TextBody"/>
        <w:bidi w:val="0"/>
        <w:ind w:left="480" w:right="0" w:hanging="0"/>
        <w:jc w:val="both"/>
        <w:rPr/>
      </w:pPr>
      <w:r>
        <w:rPr/>
        <w:t>At February 28, 2023, $617,138 (February 28, 2022 - $nil) in key management compensation was included in prepaid expenses. This amount reflects a retention payment to an officer of the Company which may be subject to clawback in whole or in part pursuant to the terms and conditions of such officer's retention agreement. The amount included in prepaid expenses will be amortized into salaries and benefits over the course of the agreement, which concludes on March 1, 2024.</w:t>
      </w:r>
    </w:p>
    <w:p>
      <w:pPr>
        <w:pStyle w:val="TextBody"/>
        <w:bidi w:val="0"/>
        <w:jc w:val="both"/>
        <w:rPr/>
      </w:pPr>
      <w:r>
        <w:rPr>
          <w:b/>
        </w:rPr>
        <w:t>10.</w:t>
      </w:r>
      <w:r>
        <w:rPr/>
        <w:t> </w:t>
      </w:r>
      <w:r>
        <w:rPr>
          <w:b/>
        </w:rPr>
        <w:t>Share Capital</w:t>
      </w:r>
    </w:p>
    <w:p>
      <w:pPr>
        <w:pStyle w:val="TextBody"/>
        <w:bidi w:val="0"/>
        <w:ind w:left="480" w:right="0" w:hanging="0"/>
        <w:jc w:val="both"/>
        <w:rPr/>
      </w:pPr>
      <w:r>
        <w:rPr>
          <w:b/>
        </w:rPr>
        <w:t xml:space="preserve">Authorized: </w:t>
      </w:r>
      <w:r>
        <w:rPr/>
        <w:t>Unlimited number of common shares without par value.</w:t>
      </w:r>
    </w:p>
    <w:p>
      <w:pPr>
        <w:pStyle w:val="TextBody"/>
        <w:bidi w:val="0"/>
        <w:ind w:left="480" w:right="0" w:hanging="0"/>
        <w:jc w:val="both"/>
        <w:rPr/>
      </w:pPr>
      <w:r>
        <w:rPr>
          <w:b/>
        </w:rPr>
        <w:t>(a)</w:t>
      </w:r>
      <w:r>
        <w:rPr/>
        <w:t> </w:t>
      </w:r>
      <w:r>
        <w:rPr>
          <w:b/>
        </w:rPr>
        <w:t>Share capital continuity:</w:t>
      </w:r>
    </w:p>
    <w:tbl>
      <w:tblPr>
        <w:tblW w:w="9385" w:type="dxa"/>
        <w:jc w:val="left"/>
        <w:tblInd w:w="820" w:type="dxa"/>
        <w:tblLayout w:type="fixed"/>
        <w:tblCellMar>
          <w:top w:w="0" w:type="dxa"/>
          <w:left w:w="0" w:type="dxa"/>
          <w:bottom w:w="0" w:type="dxa"/>
          <w:right w:w="0" w:type="dxa"/>
        </w:tblCellMar>
      </w:tblPr>
      <w:tblGrid>
        <w:gridCol w:w="6752"/>
        <w:gridCol w:w="60"/>
        <w:gridCol w:w="1220"/>
        <w:gridCol w:w="95"/>
        <w:gridCol w:w="60"/>
        <w:gridCol w:w="1100"/>
        <w:gridCol w:w="98"/>
      </w:tblGrid>
      <w:tr>
        <w:trPr/>
        <w:tc>
          <w:tcPr>
            <w:tcW w:w="6752"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20" w:type="dxa"/>
            <w:tcBorders>
              <w:bottom w:val="single" w:sz="6" w:space="0" w:color="000000"/>
            </w:tcBorders>
            <w:tcMar>
              <w:bottom w:w="28" w:type="dxa"/>
            </w:tcMar>
            <w:vAlign w:val="center"/>
          </w:tcPr>
          <w:p>
            <w:pPr>
              <w:pStyle w:val="TableContents"/>
              <w:bidi w:val="0"/>
              <w:spacing w:before="0" w:after="283"/>
              <w:jc w:val="center"/>
              <w:rPr/>
            </w:pPr>
            <w:r>
              <w:rPr/>
              <w:t>Number of</w:t>
              <w:br/>
              <w:t>shares</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6" w:space="0" w:color="000000"/>
            </w:tcBorders>
            <w:tcMar>
              <w:bottom w:w="28" w:type="dxa"/>
            </w:tcMar>
            <w:vAlign w:val="center"/>
          </w:tcPr>
          <w:p>
            <w:pPr>
              <w:pStyle w:val="TableContents"/>
              <w:bidi w:val="0"/>
              <w:spacing w:before="0" w:after="283"/>
              <w:jc w:val="center"/>
              <w:rPr/>
            </w:pPr>
            <w:r>
              <w:rPr/>
              <w:t>$</w:t>
            </w:r>
          </w:p>
        </w:tc>
        <w:tc>
          <w:tcPr>
            <w:tcW w:w="98" w:type="dxa"/>
            <w:tcBorders>
              <w:bottom w:val="single" w:sz="6" w:space="0" w:color="000000"/>
            </w:tcBorders>
            <w:tcMar>
              <w:bottom w:w="28" w:type="dxa"/>
            </w:tcMar>
            <w:vAlign w:val="center"/>
          </w:tcPr>
          <w:p>
            <w:pPr>
              <w:pStyle w:val="TableContents"/>
              <w:bidi w:val="0"/>
              <w:spacing w:before="0" w:after="283"/>
              <w:ind w:left="0" w:right="0" w:hanging="300"/>
              <w:jc w:val="center"/>
              <w:rPr/>
            </w:pPr>
            <w:r>
              <w:rPr/>
              <w:t> </w:t>
            </w:r>
          </w:p>
        </w:tc>
      </w:tr>
      <w:tr>
        <w:trPr/>
        <w:tc>
          <w:tcPr>
            <w:tcW w:w="6752" w:type="dxa"/>
            <w:tcBorders>
              <w:top w:val="single" w:sz="6" w:space="0" w:color="000000"/>
            </w:tcBorders>
            <w:shd w:fill="E6EFFF" w:val="clear"/>
            <w:tcMar>
              <w:top w:w="28" w:type="dxa"/>
            </w:tcMar>
            <w:vAlign w:val="center"/>
          </w:tcPr>
          <w:p>
            <w:pPr>
              <w:pStyle w:val="TableContents"/>
              <w:bidi w:val="0"/>
              <w:spacing w:before="0" w:after="283"/>
              <w:jc w:val="left"/>
              <w:rPr/>
            </w:pPr>
            <w:r>
              <w:rPr/>
              <w:t>Balance, February 28, 2021</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20" w:type="dxa"/>
            <w:tcBorders>
              <w:top w:val="single" w:sz="6" w:space="0" w:color="000000"/>
            </w:tcBorders>
            <w:shd w:fill="E6EFFF" w:val="clear"/>
            <w:tcMar>
              <w:top w:w="28" w:type="dxa"/>
            </w:tcMar>
            <w:vAlign w:val="center"/>
          </w:tcPr>
          <w:p>
            <w:pPr>
              <w:pStyle w:val="TableContents"/>
              <w:bidi w:val="0"/>
              <w:spacing w:before="0" w:after="283"/>
              <w:jc w:val="right"/>
              <w:rPr/>
            </w:pPr>
            <w:r>
              <w:rPr/>
              <w:t>228,621,500</w:t>
            </w:r>
          </w:p>
        </w:tc>
        <w:tc>
          <w:tcPr>
            <w:tcW w:w="9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100" w:type="dxa"/>
            <w:tcBorders>
              <w:top w:val="single" w:sz="6" w:space="0" w:color="000000"/>
            </w:tcBorders>
            <w:shd w:fill="E6EFFF" w:val="clear"/>
            <w:tcMar>
              <w:top w:w="28" w:type="dxa"/>
            </w:tcMar>
            <w:vAlign w:val="center"/>
          </w:tcPr>
          <w:p>
            <w:pPr>
              <w:pStyle w:val="TableContents"/>
              <w:bidi w:val="0"/>
              <w:spacing w:before="0" w:after="283"/>
              <w:jc w:val="right"/>
              <w:rPr/>
            </w:pPr>
            <w:r>
              <w:rPr/>
              <w:t>3,244,312</w:t>
            </w:r>
          </w:p>
        </w:tc>
        <w:tc>
          <w:tcPr>
            <w:tcW w:w="98" w:type="dxa"/>
            <w:tcBorders>
              <w:top w:val="single" w:sz="6" w:space="0" w:color="000000"/>
            </w:tcBorders>
            <w:shd w:fill="E6EFFF" w:val="clear"/>
            <w:tcMar>
              <w:top w:w="28" w:type="dxa"/>
            </w:tcMar>
            <w:vAlign w:val="center"/>
          </w:tcPr>
          <w:p>
            <w:pPr>
              <w:pStyle w:val="TableContents"/>
              <w:bidi w:val="0"/>
              <w:spacing w:before="0" w:after="283"/>
              <w:ind w:left="0" w:right="0" w:hanging="300"/>
              <w:jc w:val="left"/>
              <w:rPr/>
            </w:pPr>
            <w:r>
              <w:rPr/>
              <w:t> </w:t>
            </w:r>
          </w:p>
        </w:tc>
      </w:tr>
      <w:tr>
        <w:trPr/>
        <w:tc>
          <w:tcPr>
            <w:tcW w:w="6752" w:type="dxa"/>
            <w:tcBorders/>
            <w:vAlign w:val="center"/>
          </w:tcPr>
          <w:p>
            <w:pPr>
              <w:pStyle w:val="TableContents"/>
              <w:bidi w:val="0"/>
              <w:spacing w:before="0" w:after="283"/>
              <w:jc w:val="left"/>
              <w:rPr/>
            </w:pPr>
            <w:r>
              <w:rPr/>
              <w:t>Shares issued pursuant to exercise of stock options</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15,121,400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463,464</w:t>
            </w:r>
          </w:p>
        </w:tc>
        <w:tc>
          <w:tcPr>
            <w:tcW w:w="98" w:type="dxa"/>
            <w:tcBorders/>
            <w:vAlign w:val="center"/>
          </w:tcPr>
          <w:p>
            <w:pPr>
              <w:pStyle w:val="TableContents"/>
              <w:bidi w:val="0"/>
              <w:spacing w:before="0" w:after="283"/>
              <w:ind w:left="0" w:right="0" w:hanging="300"/>
              <w:jc w:val="left"/>
              <w:rPr/>
            </w:pPr>
            <w:r>
              <w:rPr/>
              <w:t> </w:t>
            </w:r>
          </w:p>
        </w:tc>
      </w:tr>
      <w:tr>
        <w:trPr/>
        <w:tc>
          <w:tcPr>
            <w:tcW w:w="6752" w:type="dxa"/>
            <w:tcBorders/>
            <w:shd w:fill="E6EFFF" w:val="clear"/>
            <w:vAlign w:val="center"/>
          </w:tcPr>
          <w:p>
            <w:pPr>
              <w:pStyle w:val="TableContents"/>
              <w:bidi w:val="0"/>
              <w:spacing w:before="0" w:after="283"/>
              <w:jc w:val="left"/>
              <w:rPr/>
            </w:pPr>
            <w:r>
              <w:rPr/>
              <w:t>Shares issued for conversion of notes payable and accrued interest and settlement of derivative liabilities</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14,161,576</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13,188,591</w:t>
            </w:r>
          </w:p>
        </w:tc>
        <w:tc>
          <w:tcPr>
            <w:tcW w:w="98" w:type="dxa"/>
            <w:tcBorders/>
            <w:shd w:fill="E6EFFF" w:val="clear"/>
            <w:vAlign w:val="center"/>
          </w:tcPr>
          <w:p>
            <w:pPr>
              <w:pStyle w:val="TableContents"/>
              <w:bidi w:val="0"/>
              <w:spacing w:before="0" w:after="283"/>
              <w:ind w:left="0" w:right="0" w:hanging="300"/>
              <w:jc w:val="left"/>
              <w:rPr/>
            </w:pPr>
            <w:r>
              <w:rPr/>
              <w:t> </w:t>
            </w:r>
          </w:p>
        </w:tc>
      </w:tr>
      <w:tr>
        <w:trPr/>
        <w:tc>
          <w:tcPr>
            <w:tcW w:w="6752" w:type="dxa"/>
            <w:tcBorders/>
            <w:vAlign w:val="center"/>
          </w:tcPr>
          <w:p>
            <w:pPr>
              <w:pStyle w:val="TableContents"/>
              <w:bidi w:val="0"/>
              <w:spacing w:before="0" w:after="283"/>
              <w:jc w:val="left"/>
              <w:rPr/>
            </w:pPr>
            <w:r>
              <w:rPr/>
              <w:t>Shares of the Company pursuant to closing of the</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pPr>
            <w:r>
              <w:rPr/>
              <w:t> </w:t>
            </w:r>
          </w:p>
        </w:tc>
        <w:tc>
          <w:tcPr>
            <w:tcW w:w="98" w:type="dxa"/>
            <w:tcBorders/>
            <w:vAlign w:val="center"/>
          </w:tcPr>
          <w:p>
            <w:pPr>
              <w:pStyle w:val="TableContents"/>
              <w:bidi w:val="0"/>
              <w:spacing w:before="0" w:after="0"/>
              <w:ind w:left="0" w:right="0" w:hanging="300"/>
              <w:jc w:val="left"/>
              <w:rPr/>
            </w:pPr>
            <w:r>
              <w:rPr/>
              <w:t> </w:t>
            </w:r>
          </w:p>
        </w:tc>
      </w:tr>
      <w:tr>
        <w:trPr/>
        <w:tc>
          <w:tcPr>
            <w:tcW w:w="6752" w:type="dxa"/>
            <w:tcBorders/>
            <w:shd w:fill="E6EFFF" w:val="clear"/>
            <w:vAlign w:val="center"/>
          </w:tcPr>
          <w:p>
            <w:pPr>
              <w:pStyle w:val="TableContents"/>
              <w:bidi w:val="0"/>
              <w:spacing w:before="0" w:after="283"/>
              <w:jc w:val="left"/>
              <w:rPr/>
            </w:pPr>
            <w:r>
              <w:rPr/>
              <w:t>Qualifying Transaction (Note 3)</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1,304,344</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1,252,170</w:t>
            </w:r>
          </w:p>
        </w:tc>
        <w:tc>
          <w:tcPr>
            <w:tcW w:w="98" w:type="dxa"/>
            <w:tcBorders/>
            <w:shd w:fill="E6EFFF" w:val="clear"/>
            <w:vAlign w:val="center"/>
          </w:tcPr>
          <w:p>
            <w:pPr>
              <w:pStyle w:val="TableContents"/>
              <w:bidi w:val="0"/>
              <w:spacing w:before="0" w:after="283"/>
              <w:ind w:left="0" w:right="0" w:hanging="300"/>
              <w:jc w:val="left"/>
              <w:rPr/>
            </w:pPr>
            <w:r>
              <w:rPr/>
              <w:t> </w:t>
            </w:r>
          </w:p>
        </w:tc>
      </w:tr>
      <w:tr>
        <w:trPr/>
        <w:tc>
          <w:tcPr>
            <w:tcW w:w="6752" w:type="dxa"/>
            <w:tcBorders/>
            <w:vAlign w:val="center"/>
          </w:tcPr>
          <w:p>
            <w:pPr>
              <w:pStyle w:val="TableContents"/>
              <w:bidi w:val="0"/>
              <w:spacing w:before="0" w:after="283"/>
              <w:jc w:val="left"/>
              <w:rPr/>
            </w:pPr>
            <w:r>
              <w:rPr/>
              <w:t>Shares issued for cash</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60,416,667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58,000,000</w:t>
            </w:r>
          </w:p>
        </w:tc>
        <w:tc>
          <w:tcPr>
            <w:tcW w:w="98" w:type="dxa"/>
            <w:tcBorders/>
            <w:vAlign w:val="center"/>
          </w:tcPr>
          <w:p>
            <w:pPr>
              <w:pStyle w:val="TableContents"/>
              <w:bidi w:val="0"/>
              <w:spacing w:before="0" w:after="283"/>
              <w:ind w:left="0" w:right="0" w:hanging="300"/>
              <w:jc w:val="left"/>
              <w:rPr/>
            </w:pPr>
            <w:r>
              <w:rPr/>
              <w:t> </w:t>
            </w:r>
          </w:p>
        </w:tc>
      </w:tr>
      <w:tr>
        <w:trPr/>
        <w:tc>
          <w:tcPr>
            <w:tcW w:w="6752" w:type="dxa"/>
            <w:tcBorders/>
            <w:shd w:fill="E6EFFF" w:val="clear"/>
            <w:vAlign w:val="center"/>
          </w:tcPr>
          <w:p>
            <w:pPr>
              <w:pStyle w:val="TableContents"/>
              <w:bidi w:val="0"/>
              <w:spacing w:before="0" w:after="283"/>
              <w:jc w:val="left"/>
              <w:rPr/>
            </w:pPr>
            <w:r>
              <w:rPr/>
              <w:t>Share issuance costs</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(4,200,618</w:t>
            </w:r>
          </w:p>
        </w:tc>
        <w:tc>
          <w:tcPr>
            <w:tcW w:w="98" w:type="dxa"/>
            <w:tcBorders/>
            <w:shd w:fill="E6EFFF" w:val="clear"/>
            <w:vAlign w:val="center"/>
          </w:tcPr>
          <w:p>
            <w:pPr>
              <w:pStyle w:val="TableContents"/>
              <w:bidi w:val="0"/>
              <w:spacing w:before="0" w:after="283"/>
              <w:ind w:left="0" w:right="0" w:hanging="300"/>
              <w:jc w:val="left"/>
              <w:rPr/>
            </w:pPr>
            <w:r>
              <w:rPr/>
              <w:t>)</w:t>
            </w:r>
          </w:p>
        </w:tc>
      </w:tr>
      <w:tr>
        <w:trPr/>
        <w:tc>
          <w:tcPr>
            <w:tcW w:w="6752" w:type="dxa"/>
            <w:tcBorders>
              <w:bottom w:val="single" w:sz="6" w:space="0" w:color="000000"/>
            </w:tcBorders>
            <w:tcMar>
              <w:bottom w:w="28" w:type="dxa"/>
            </w:tcMar>
            <w:vAlign w:val="center"/>
          </w:tcPr>
          <w:p>
            <w:pPr>
              <w:pStyle w:val="TableContents"/>
              <w:bidi w:val="0"/>
              <w:spacing w:before="0" w:after="283"/>
              <w:jc w:val="left"/>
              <w:rPr/>
            </w:pPr>
            <w:r>
              <w:rPr/>
              <w:t>Fair value of brokers' warrants issued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right"/>
              <w:rPr/>
            </w:pPr>
            <w:r>
              <w:rPr/>
              <w:t>(1,977,735</w:t>
            </w:r>
          </w:p>
        </w:tc>
        <w:tc>
          <w:tcPr>
            <w:tcW w:w="98" w:type="dxa"/>
            <w:tcBorders>
              <w:bottom w:val="single" w:sz="6" w:space="0" w:color="000000"/>
            </w:tcBorders>
            <w:tcMar>
              <w:bottom w:w="28" w:type="dxa"/>
            </w:tcMar>
            <w:vAlign w:val="center"/>
          </w:tcPr>
          <w:p>
            <w:pPr>
              <w:pStyle w:val="TableContents"/>
              <w:bidi w:val="0"/>
              <w:spacing w:before="0" w:after="283"/>
              <w:ind w:left="0" w:right="0" w:hanging="300"/>
              <w:jc w:val="left"/>
              <w:rPr/>
            </w:pPr>
            <w:r>
              <w:rPr/>
              <w:t>)</w:t>
            </w:r>
          </w:p>
        </w:tc>
      </w:tr>
      <w:tr>
        <w:trPr/>
        <w:tc>
          <w:tcPr>
            <w:tcW w:w="6752"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Balance, February 28, 2022</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319,625,487</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10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69,970,184</w:t>
            </w:r>
          </w:p>
        </w:tc>
        <w:tc>
          <w:tcPr>
            <w:tcW w:w="98"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ind w:left="0" w:right="0" w:hanging="300"/>
              <w:jc w:val="left"/>
              <w:rPr/>
            </w:pPr>
            <w:r>
              <w:rPr/>
              <w:t> </w:t>
            </w:r>
          </w:p>
        </w:tc>
      </w:tr>
      <w:tr>
        <w:trPr/>
        <w:tc>
          <w:tcPr>
            <w:tcW w:w="6752" w:type="dxa"/>
            <w:tcBorders>
              <w:top w:val="single" w:sz="12" w:space="0" w:color="000000"/>
            </w:tcBorders>
            <w:tcMar>
              <w:top w:w="28" w:type="dxa"/>
            </w:tcMar>
            <w:vAlign w:val="center"/>
          </w:tcPr>
          <w:p>
            <w:pPr>
              <w:pStyle w:val="TableContents"/>
              <w:bidi w:val="0"/>
              <w:spacing w:before="0" w:after="283"/>
              <w:jc w:val="left"/>
              <w:rPr/>
            </w:pPr>
            <w:r>
              <w:rPr/>
              <w:t>Shares issued pursuant to exercise of stock options</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220" w:type="dxa"/>
            <w:tcBorders>
              <w:top w:val="single" w:sz="12" w:space="0" w:color="000000"/>
            </w:tcBorders>
            <w:tcMar>
              <w:top w:w="28" w:type="dxa"/>
            </w:tcMar>
            <w:vAlign w:val="center"/>
          </w:tcPr>
          <w:p>
            <w:pPr>
              <w:pStyle w:val="TableContents"/>
              <w:bidi w:val="0"/>
              <w:spacing w:before="0" w:after="283"/>
              <w:jc w:val="right"/>
              <w:rPr/>
            </w:pPr>
            <w:r>
              <w:rPr/>
              <w:t>3,725,000</w:t>
            </w:r>
          </w:p>
        </w:tc>
        <w:tc>
          <w:tcPr>
            <w:tcW w:w="95"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100" w:type="dxa"/>
            <w:tcBorders>
              <w:top w:val="single" w:sz="12" w:space="0" w:color="000000"/>
            </w:tcBorders>
            <w:tcMar>
              <w:top w:w="28" w:type="dxa"/>
            </w:tcMar>
            <w:vAlign w:val="center"/>
          </w:tcPr>
          <w:p>
            <w:pPr>
              <w:pStyle w:val="TableContents"/>
              <w:bidi w:val="0"/>
              <w:spacing w:before="0" w:after="283"/>
              <w:jc w:val="right"/>
              <w:rPr/>
            </w:pPr>
            <w:r>
              <w:rPr/>
              <w:t>140,307</w:t>
            </w:r>
          </w:p>
        </w:tc>
        <w:tc>
          <w:tcPr>
            <w:tcW w:w="98" w:type="dxa"/>
            <w:tcBorders>
              <w:top w:val="single" w:sz="12" w:space="0" w:color="000000"/>
            </w:tcBorders>
            <w:tcMar>
              <w:top w:w="28" w:type="dxa"/>
            </w:tcMar>
            <w:vAlign w:val="center"/>
          </w:tcPr>
          <w:p>
            <w:pPr>
              <w:pStyle w:val="TableContents"/>
              <w:bidi w:val="0"/>
              <w:spacing w:before="0" w:after="283"/>
              <w:ind w:left="0" w:right="0" w:hanging="300"/>
              <w:jc w:val="left"/>
              <w:rPr/>
            </w:pPr>
            <w:r>
              <w:rPr/>
              <w:t> </w:t>
            </w:r>
          </w:p>
        </w:tc>
      </w:tr>
      <w:tr>
        <w:trPr/>
        <w:tc>
          <w:tcPr>
            <w:tcW w:w="6752" w:type="dxa"/>
            <w:tcBorders>
              <w:bottom w:val="single" w:sz="6" w:space="0" w:color="000000"/>
            </w:tcBorders>
            <w:shd w:fill="E6EFFF" w:val="clear"/>
            <w:tcMar>
              <w:bottom w:w="28" w:type="dxa"/>
            </w:tcMar>
            <w:vAlign w:val="center"/>
          </w:tcPr>
          <w:p>
            <w:pPr>
              <w:pStyle w:val="TableContents"/>
              <w:bidi w:val="0"/>
              <w:spacing w:before="0" w:after="283"/>
              <w:jc w:val="left"/>
              <w:rPr/>
            </w:pPr>
            <w:r>
              <w:rPr/>
              <w:t>Purchase and cancellation of shares through normal course issuer bid</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shd w:fill="E6EFFF" w:val="clear"/>
            <w:tcMar>
              <w:bottom w:w="28" w:type="dxa"/>
            </w:tcMar>
            <w:vAlign w:val="center"/>
          </w:tcPr>
          <w:p>
            <w:pPr>
              <w:pStyle w:val="TableContents"/>
              <w:bidi w:val="0"/>
              <w:spacing w:before="0" w:after="283"/>
              <w:jc w:val="right"/>
              <w:rPr/>
            </w:pPr>
            <w:r>
              <w:rPr/>
              <w:t>(1,788,000</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E6EFFF" w:val="clear"/>
            <w:tcMar>
              <w:bottom w:w="28" w:type="dxa"/>
            </w:tcMar>
            <w:vAlign w:val="center"/>
          </w:tcPr>
          <w:p>
            <w:pPr>
              <w:pStyle w:val="TableContents"/>
              <w:bidi w:val="0"/>
              <w:spacing w:before="0" w:after="283"/>
              <w:jc w:val="right"/>
              <w:rPr/>
            </w:pPr>
            <w:r>
              <w:rPr/>
              <w:t>(387,684</w:t>
            </w:r>
          </w:p>
        </w:tc>
        <w:tc>
          <w:tcPr>
            <w:tcW w:w="98" w:type="dxa"/>
            <w:tcBorders>
              <w:bottom w:val="single" w:sz="6" w:space="0" w:color="000000"/>
            </w:tcBorders>
            <w:shd w:fill="E6EFFF" w:val="clear"/>
            <w:tcMar>
              <w:bottom w:w="28" w:type="dxa"/>
            </w:tcMar>
            <w:vAlign w:val="center"/>
          </w:tcPr>
          <w:p>
            <w:pPr>
              <w:pStyle w:val="TableContents"/>
              <w:bidi w:val="0"/>
              <w:spacing w:before="0" w:after="283"/>
              <w:ind w:left="0" w:right="0" w:hanging="300"/>
              <w:jc w:val="left"/>
              <w:rPr/>
            </w:pPr>
            <w:r>
              <w:rPr/>
              <w:t>)</w:t>
            </w:r>
          </w:p>
        </w:tc>
      </w:tr>
      <w:tr>
        <w:trPr/>
        <w:tc>
          <w:tcPr>
            <w:tcW w:w="6752"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Balance, February 28, 2023</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321,562,487</w:t>
            </w:r>
          </w:p>
        </w:tc>
        <w:tc>
          <w:tcPr>
            <w:tcW w:w="9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10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69,722,807</w:t>
            </w:r>
          </w:p>
        </w:tc>
        <w:tc>
          <w:tcPr>
            <w:tcW w:w="98"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ind w:left="82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10. Share Capital </w:t>
      </w:r>
      <w:r>
        <w:rPr/>
        <w:t>(continued)</w:t>
      </w:r>
    </w:p>
    <w:p>
      <w:pPr>
        <w:pStyle w:val="TextBody"/>
        <w:bidi w:val="0"/>
        <w:ind w:left="480" w:right="0" w:hanging="0"/>
        <w:jc w:val="both"/>
        <w:rPr/>
      </w:pPr>
      <w:r>
        <w:rPr>
          <w:b/>
        </w:rPr>
        <w:t>(b)</w:t>
      </w:r>
      <w:r>
        <w:rPr/>
        <w:t> </w:t>
      </w:r>
      <w:r>
        <w:rPr>
          <w:b/>
        </w:rPr>
        <w:t>Normal course issuer bid program</w:t>
      </w:r>
    </w:p>
    <w:p>
      <w:pPr>
        <w:pStyle w:val="TextBody"/>
        <w:bidi w:val="0"/>
        <w:ind w:left="820" w:right="0" w:hanging="0"/>
        <w:jc w:val="both"/>
        <w:rPr/>
      </w:pPr>
      <w:r>
        <w:rPr/>
        <w:t>On August 18, 2022, the TSXV accepted the Company's notice of intention to establish a NCIB. The NCIB permits the purchase for cancellation of up to 5,000,000 of the Company's common shares, over a 12 month period, representing 1.55% of the Company's issued and outstanding shares on the date of announcement.</w:t>
      </w:r>
    </w:p>
    <w:p>
      <w:pPr>
        <w:pStyle w:val="TextBody"/>
        <w:bidi w:val="0"/>
        <w:ind w:left="820" w:right="0" w:hanging="0"/>
        <w:jc w:val="both"/>
        <w:rPr/>
      </w:pPr>
      <w:r>
        <w:rPr/>
        <w:t>The NCIB commenced on August 19, 2022 and will terminate by the earlier of: August 18, 2023 and the date the Company has acquired the maximum number of common shares under the NCIB. The Company may also, at its discretion, terminate the NCIB prior to such date. The price paid for any common shares purchased under the NCIB will be the market price of such shares at the time of the applicable purchases.</w:t>
      </w:r>
    </w:p>
    <w:p>
      <w:pPr>
        <w:pStyle w:val="TextBody"/>
        <w:bidi w:val="0"/>
        <w:ind w:left="820" w:right="0" w:hanging="0"/>
        <w:jc w:val="both"/>
        <w:rPr/>
      </w:pPr>
      <w:r>
        <w:rPr/>
        <w:t>On September 13, 2022 the Company entered into an automatic share purchase plan (the "ASPP") with its designated broker allowing the purchases of common shares for cancellation under its NCIB program. The ASPP was terminated on October 26, 2022 in accordance with its terms.</w:t>
      </w:r>
    </w:p>
    <w:p>
      <w:pPr>
        <w:pStyle w:val="TextBody"/>
        <w:bidi w:val="0"/>
        <w:ind w:left="820" w:right="0" w:hanging="0"/>
        <w:jc w:val="both"/>
        <w:rPr/>
      </w:pPr>
      <w:r>
        <w:rPr/>
        <w:t>During the year ended February 28, 2023, the Company purchased and cancelled 1,788,000 common shares at a weighted average price of $0.270 per share, net of commission costs, for a total amount of $483,040. The Company intends to cancel all future purchases of common shares under the NCIB within eight days following the month in which such purchases occurred.</w:t>
      </w:r>
    </w:p>
    <w:p>
      <w:pPr>
        <w:pStyle w:val="TextBody"/>
        <w:bidi w:val="0"/>
        <w:ind w:left="480" w:right="0" w:hanging="0"/>
        <w:jc w:val="both"/>
        <w:rPr/>
      </w:pPr>
      <w:r>
        <w:rPr>
          <w:b/>
        </w:rPr>
        <w:t>(c)</w:t>
      </w:r>
      <w:r>
        <w:rPr/>
        <w:t> </w:t>
      </w:r>
      <w:r>
        <w:rPr>
          <w:b/>
        </w:rPr>
        <w:t>Movements in issued share capital in the current period:</w:t>
      </w:r>
    </w:p>
    <w:p>
      <w:pPr>
        <w:pStyle w:val="TextBody"/>
        <w:numPr>
          <w:ilvl w:val="0"/>
          <w:numId w:val="4"/>
        </w:numPr>
        <w:pBdr/>
        <w:tabs>
          <w:tab w:val="clear" w:pos="1134"/>
          <w:tab w:val="left" w:pos="1912" w:leader="none"/>
        </w:tabs>
        <w:bidi w:val="0"/>
        <w:ind w:left="1912" w:right="0" w:hanging="283"/>
        <w:jc w:val="both"/>
        <w:rPr/>
      </w:pPr>
      <w:r>
        <w:rPr/>
        <w:t>On April 14, 2022, the Company issued 912,500 common shares for proceeds of $15,156 pursuant to the exercise of stock options. The fair value of stock options exercised of $20,504 was transferred from share-based payment reserve to share capital.</w:t>
      </w:r>
    </w:p>
    <w:p>
      <w:pPr>
        <w:pStyle w:val="TextBody"/>
        <w:numPr>
          <w:ilvl w:val="0"/>
          <w:numId w:val="4"/>
        </w:numPr>
        <w:pBdr/>
        <w:tabs>
          <w:tab w:val="clear" w:pos="1134"/>
          <w:tab w:val="left" w:pos="1912" w:leader="none"/>
        </w:tabs>
        <w:bidi w:val="0"/>
        <w:ind w:left="1912" w:right="0" w:hanging="283"/>
        <w:jc w:val="both"/>
        <w:rPr/>
      </w:pPr>
      <w:r>
        <w:rPr/>
        <w:t>On June 15, 2022, the Company issued 1,050,000 common shares for proceeds of $16,574 pursuant to the exercise of stock options. The fair value of stock options exercised of $22,389 was transferred from share-based payment reserve to share capital.</w:t>
      </w:r>
    </w:p>
    <w:p>
      <w:pPr>
        <w:pStyle w:val="TextBody"/>
        <w:numPr>
          <w:ilvl w:val="0"/>
          <w:numId w:val="4"/>
        </w:numPr>
        <w:pBdr/>
        <w:tabs>
          <w:tab w:val="clear" w:pos="1134"/>
          <w:tab w:val="left" w:pos="1912" w:leader="none"/>
        </w:tabs>
        <w:bidi w:val="0"/>
        <w:ind w:left="1912" w:right="0" w:hanging="283"/>
        <w:jc w:val="both"/>
        <w:rPr/>
      </w:pPr>
      <w:r>
        <w:rPr/>
        <w:t>On June 21, 2022, the Company issued 912,500 common shares for proceeds of $14,628 pursuant to the exercise of stock options. The fair value of stock options exercised of $19,795 was transferred from share-based payment reserve to share capital.</w:t>
      </w:r>
    </w:p>
    <w:p>
      <w:pPr>
        <w:pStyle w:val="TextBody"/>
        <w:numPr>
          <w:ilvl w:val="0"/>
          <w:numId w:val="4"/>
        </w:numPr>
        <w:pBdr/>
        <w:tabs>
          <w:tab w:val="clear" w:pos="1134"/>
          <w:tab w:val="left" w:pos="1912" w:leader="none"/>
        </w:tabs>
        <w:bidi w:val="0"/>
        <w:ind w:left="1912" w:right="0" w:hanging="283"/>
        <w:jc w:val="both"/>
        <w:rPr/>
      </w:pPr>
      <w:r>
        <w:rPr/>
        <w:t>On July 26, 2022, the Company issued 850,000 common shares for proceeds of $13,508 pursuant to the exercise of stock options. The fair value of stock options exercised of $17,753 was transferred from share-based payment reserve to share capital.</w:t>
      </w:r>
    </w:p>
    <w:p>
      <w:pPr>
        <w:pStyle w:val="TextBody"/>
        <w:numPr>
          <w:ilvl w:val="0"/>
          <w:numId w:val="4"/>
        </w:numPr>
        <w:pBdr/>
        <w:tabs>
          <w:tab w:val="clear" w:pos="1134"/>
          <w:tab w:val="left" w:pos="1912" w:leader="none"/>
        </w:tabs>
        <w:bidi w:val="0"/>
        <w:ind w:left="1912" w:right="0" w:hanging="283"/>
        <w:jc w:val="both"/>
        <w:rPr/>
      </w:pPr>
      <w:r>
        <w:rPr/>
        <w:t>Pursuant to the NCIB (Note 10 (b) above), from August 19, 2022 to February 28, 2023 the Company purchased for cancellation 1,788,000 common shares for a total cost of $483,040. All 1,788,000 common shares were cancelled during the year ended February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10. Share Capital</w:t>
      </w:r>
      <w:r>
        <w:rPr/>
        <w:t xml:space="preserve"> (continued)</w:t>
      </w:r>
    </w:p>
    <w:p>
      <w:pPr>
        <w:pStyle w:val="TextBody"/>
        <w:bidi w:val="0"/>
        <w:ind w:left="480" w:right="0" w:hanging="0"/>
        <w:jc w:val="both"/>
        <w:rPr/>
      </w:pPr>
      <w:r>
        <w:rPr>
          <w:b/>
        </w:rPr>
        <w:t>(d)</w:t>
      </w:r>
      <w:r>
        <w:rPr/>
        <w:t> </w:t>
      </w:r>
      <w:r>
        <w:rPr>
          <w:b/>
        </w:rPr>
        <w:t>Movements in issued share capital in the prior year:</w:t>
      </w:r>
    </w:p>
    <w:p>
      <w:pPr>
        <w:pStyle w:val="TextBody"/>
        <w:numPr>
          <w:ilvl w:val="0"/>
          <w:numId w:val="5"/>
        </w:numPr>
        <w:pBdr/>
        <w:tabs>
          <w:tab w:val="clear" w:pos="1134"/>
          <w:tab w:val="left" w:pos="1915" w:leader="none"/>
        </w:tabs>
        <w:bidi w:val="0"/>
        <w:ind w:left="1915" w:right="0" w:hanging="283"/>
        <w:jc w:val="both"/>
        <w:rPr/>
      </w:pPr>
      <w:r>
        <w:rPr/>
        <w:t xml:space="preserve">On March 9, 2021, the Company together with Small Pharma Ltd and Finco, entered into an agency agreement with Canaccord Genuity Corp. Eight Capital, and Haywood Securities Inc. (collectively, the "Agents"). On March 9, 2021, pursuant to the agency agreement, Finco completed a brokered private placement of 60,416,667 subscription receipts at a price of $0.96 per subscription receipt for gross proceeds of $58,000,000 (Note 3). Each subscription receipt was exchanged into common shares of the Company on the basis of one subscription receipt for one common share of the Company. In connection with the subscription receipt financing noted above, the Company incurred share issuance costs of $4,200,618. The Company also issued 3,947,547 compensation warrants with a fair value of $1,977,735 to the Agents. The fair value of compensation warrants was calculated using the Black-Scholes option pricing model with the following assumptions: volatility of 100%, expected life of 2 years, no dividends, and a risk-free rate of 0.29%. </w:t>
      </w:r>
    </w:p>
    <w:p>
      <w:pPr>
        <w:pStyle w:val="TextBody"/>
        <w:numPr>
          <w:ilvl w:val="0"/>
          <w:numId w:val="6"/>
        </w:numPr>
        <w:pBdr/>
        <w:tabs>
          <w:tab w:val="clear" w:pos="1134"/>
          <w:tab w:val="left" w:pos="1915" w:leader="none"/>
        </w:tabs>
        <w:bidi w:val="0"/>
        <w:ind w:left="1915" w:right="0" w:hanging="283"/>
        <w:jc w:val="both"/>
        <w:rPr/>
      </w:pPr>
      <w:r>
        <w:rPr/>
        <w:t>On April 23, 2021, Small Pharma Ltd issued 12,296,400 ordinary shares for proceeds of $42,690 pursuant to the exercise of stock options. The fair value of stock options exercised of $305,223 was transferred from share-based payment reserve to share capital.</w:t>
      </w:r>
    </w:p>
    <w:p>
      <w:pPr>
        <w:pStyle w:val="TextBody"/>
        <w:numPr>
          <w:ilvl w:val="0"/>
          <w:numId w:val="6"/>
        </w:numPr>
        <w:pBdr/>
        <w:tabs>
          <w:tab w:val="clear" w:pos="1134"/>
          <w:tab w:val="left" w:pos="1915" w:leader="none"/>
        </w:tabs>
        <w:bidi w:val="0"/>
        <w:ind w:left="1915" w:right="0" w:hanging="283"/>
        <w:jc w:val="both"/>
        <w:rPr/>
      </w:pPr>
      <w:r>
        <w:rPr/>
        <w:t>On April 29, 2021, Small Pharma Ltd issued 14,161,576 ordinary shares for the conversion of notes payable of $9,056,561 and accrued interest payable of $281,572, and settlement of derivative liabilities of $3,850,458. Refer to Notes 7 and 8.</w:t>
      </w:r>
    </w:p>
    <w:p>
      <w:pPr>
        <w:pStyle w:val="TextBody"/>
        <w:numPr>
          <w:ilvl w:val="0"/>
          <w:numId w:val="6"/>
        </w:numPr>
        <w:pBdr/>
        <w:tabs>
          <w:tab w:val="clear" w:pos="1134"/>
          <w:tab w:val="left" w:pos="1915" w:leader="none"/>
        </w:tabs>
        <w:bidi w:val="0"/>
        <w:ind w:left="1915" w:right="0" w:hanging="283"/>
        <w:jc w:val="both"/>
        <w:rPr/>
      </w:pPr>
      <w:r>
        <w:rPr/>
        <w:t xml:space="preserve">On April 29, 2021, the Company closed the Qualifying Transaction, resulting in a reverse acquisition (refer to Note 3). The Qualifying Transaction was measured at the fair value of the ordinary shares that Small Pharma Ltd would have had to issue to the shareholders of the Company, being 1,304,344 common shares with a fair value of $1,252,170. </w:t>
      </w:r>
    </w:p>
    <w:p>
      <w:pPr>
        <w:pStyle w:val="TextBody"/>
        <w:numPr>
          <w:ilvl w:val="0"/>
          <w:numId w:val="7"/>
        </w:numPr>
        <w:pBdr/>
        <w:tabs>
          <w:tab w:val="clear" w:pos="1134"/>
          <w:tab w:val="left" w:pos="1915" w:leader="none"/>
        </w:tabs>
        <w:bidi w:val="0"/>
        <w:ind w:left="1915" w:right="0" w:hanging="283"/>
        <w:jc w:val="both"/>
        <w:rPr/>
      </w:pPr>
      <w:r>
        <w:rPr/>
        <w:t>On July 20, 2021, the Company issued 1,000,000 common shares for proceeds of $17,500 pursuant to the exercise of stock options. The fair value of stock options exercised of $24,236 was transferred from share-based payment reserve to share capital.</w:t>
      </w:r>
    </w:p>
    <w:p>
      <w:pPr>
        <w:pStyle w:val="TextBody"/>
        <w:numPr>
          <w:ilvl w:val="0"/>
          <w:numId w:val="7"/>
        </w:numPr>
        <w:pBdr/>
        <w:tabs>
          <w:tab w:val="clear" w:pos="1134"/>
          <w:tab w:val="left" w:pos="1915" w:leader="none"/>
        </w:tabs>
        <w:bidi w:val="0"/>
        <w:ind w:left="1915" w:right="0" w:hanging="283"/>
        <w:jc w:val="both"/>
        <w:rPr/>
      </w:pPr>
      <w:r>
        <w:rPr/>
        <w:t xml:space="preserve">On January 18, 2022, the Company issued 1,825,000 common shares for proceeds of $31,154 pursuant to the exercise of stock options. The fair value of stock options exercised of $42,661 was transferred from share-based payment reserve to share capital. </w:t>
      </w:r>
    </w:p>
    <w:p>
      <w:pPr>
        <w:pStyle w:val="TextBody"/>
        <w:bidi w:val="0"/>
        <w:ind w:left="480" w:right="0" w:hanging="0"/>
        <w:jc w:val="both"/>
        <w:rPr/>
      </w:pPr>
      <w:r>
        <w:rPr>
          <w:b/>
        </w:rPr>
        <w:t>(e)</w:t>
      </w:r>
      <w:r>
        <w:rPr/>
        <w:t> </w:t>
      </w:r>
      <w:r>
        <w:rPr>
          <w:b/>
        </w:rPr>
        <w:t>Loss per share</w:t>
      </w:r>
    </w:p>
    <w:p>
      <w:pPr>
        <w:pStyle w:val="TextBody"/>
        <w:bidi w:val="0"/>
        <w:ind w:left="820" w:right="0" w:hanging="0"/>
        <w:jc w:val="both"/>
        <w:rPr/>
      </w:pPr>
      <w:r>
        <w:rPr/>
        <w:t>The calculation of basic and diluted loss per share is based on the following losses and number of common shares:</w:t>
      </w:r>
    </w:p>
    <w:tbl>
      <w:tblPr>
        <w:tblW w:w="9320" w:type="dxa"/>
        <w:jc w:val="left"/>
        <w:tblInd w:w="820" w:type="dxa"/>
        <w:tblLayout w:type="fixed"/>
        <w:tblCellMar>
          <w:top w:w="0" w:type="dxa"/>
          <w:left w:w="0" w:type="dxa"/>
          <w:bottom w:w="0" w:type="dxa"/>
          <w:right w:w="0" w:type="dxa"/>
        </w:tblCellMar>
      </w:tblPr>
      <w:tblGrid>
        <w:gridCol w:w="6365"/>
        <w:gridCol w:w="140"/>
        <w:gridCol w:w="1235"/>
        <w:gridCol w:w="95"/>
        <w:gridCol w:w="140"/>
        <w:gridCol w:w="1235"/>
        <w:gridCol w:w="110"/>
      </w:tblGrid>
      <w:tr>
        <w:trPr/>
        <w:tc>
          <w:tcPr>
            <w:tcW w:w="6365" w:type="dxa"/>
            <w:tcBorders/>
            <w:vAlign w:val="center"/>
          </w:tcPr>
          <w:p>
            <w:pPr>
              <w:pStyle w:val="TableContents"/>
              <w:bidi w:val="0"/>
              <w:spacing w:before="0" w:after="0"/>
              <w:jc w:val="center"/>
              <w:rPr/>
            </w:pPr>
            <w:r>
              <w:rPr/>
              <w:t> </w:t>
            </w:r>
          </w:p>
        </w:tc>
        <w:tc>
          <w:tcPr>
            <w:tcW w:w="14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Year ended</w:t>
              <w:br/>
              <w:t>February 28,</w:t>
            </w:r>
          </w:p>
        </w:tc>
        <w:tc>
          <w:tcPr>
            <w:tcW w:w="95"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Year ended</w:t>
              <w:br/>
              <w:t>February 28,</w:t>
            </w:r>
          </w:p>
        </w:tc>
        <w:tc>
          <w:tcPr>
            <w:tcW w:w="11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center"/>
              <w:rPr/>
            </w:pPr>
            <w:r>
              <w:rPr/>
              <w:t> </w:t>
            </w:r>
          </w:p>
        </w:tc>
        <w:tc>
          <w:tcPr>
            <w:tcW w:w="14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2023</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2022</w:t>
            </w:r>
          </w:p>
        </w:tc>
        <w:tc>
          <w:tcPr>
            <w:tcW w:w="11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36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Net loss for the year</w:t>
            </w:r>
          </w:p>
        </w:tc>
        <w:tc>
          <w:tcPr>
            <w:tcW w:w="14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(22,836,213</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c>
          <w:tcPr>
            <w:tcW w:w="14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(22,265,684</w:t>
            </w:r>
          </w:p>
        </w:tc>
        <w:tc>
          <w:tcPr>
            <w:tcW w:w="11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ind w:left="0" w:right="0" w:hanging="144"/>
              <w:jc w:val="left"/>
              <w:rPr/>
            </w:pPr>
            <w:r>
              <w:rPr/>
              <w:t>)</w:t>
            </w:r>
          </w:p>
        </w:tc>
      </w:tr>
      <w:tr>
        <w:trPr/>
        <w:tc>
          <w:tcPr>
            <w:tcW w:w="636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Weighted average number of shares outstanding - basic and diluted</w:t>
            </w:r>
          </w:p>
        </w:tc>
        <w:tc>
          <w:tcPr>
            <w:tcW w:w="14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321,470,166</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311,599,658</w:t>
            </w:r>
          </w:p>
        </w:tc>
        <w:tc>
          <w:tcPr>
            <w:tcW w:w="110" w:type="dxa"/>
            <w:tcBorders/>
            <w:vAlign w:val="center"/>
          </w:tcPr>
          <w:p>
            <w:pPr>
              <w:pStyle w:val="TableContents"/>
              <w:bidi w:val="0"/>
              <w:spacing w:before="0" w:after="283"/>
              <w:jc w:val="left"/>
              <w:rPr/>
            </w:pPr>
            <w:r>
              <w:rPr/>
              <w:t> </w:t>
            </w:r>
          </w:p>
        </w:tc>
      </w:tr>
      <w:tr>
        <w:trPr/>
        <w:tc>
          <w:tcPr>
            <w:tcW w:w="636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Loss per share - basic and diluted</w:t>
            </w:r>
          </w:p>
        </w:tc>
        <w:tc>
          <w:tcPr>
            <w:tcW w:w="14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w:t>
            </w:r>
          </w:p>
        </w:tc>
        <w:tc>
          <w:tcPr>
            <w:tcW w:w="12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(0.07</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w:t>
            </w:r>
          </w:p>
        </w:tc>
        <w:tc>
          <w:tcPr>
            <w:tcW w:w="14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w:t>
            </w:r>
          </w:p>
        </w:tc>
        <w:tc>
          <w:tcPr>
            <w:tcW w:w="12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(0.07</w:t>
            </w:r>
          </w:p>
        </w:tc>
        <w:tc>
          <w:tcPr>
            <w:tcW w:w="11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w:t>
            </w:r>
          </w:p>
        </w:tc>
      </w:tr>
    </w:tbl>
    <w:p>
      <w:pPr>
        <w:pStyle w:val="TextBody"/>
        <w:bidi w:val="0"/>
        <w:ind w:left="820" w:right="0" w:hanging="0"/>
        <w:jc w:val="both"/>
        <w:rPr/>
      </w:pPr>
      <w:r>
        <w:rPr/>
        <w:t>The diluted weighted average number of shares does not take into account the effects of stock options and warrants outstanding as they would be anti-dilutive for all periods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10. Share Capital</w:t>
      </w:r>
      <w:r>
        <w:rPr/>
        <w:t xml:space="preserve"> (continued)</w:t>
      </w:r>
    </w:p>
    <w:p>
      <w:pPr>
        <w:pStyle w:val="TextBody"/>
        <w:bidi w:val="0"/>
        <w:ind w:left="480" w:right="0" w:hanging="0"/>
        <w:jc w:val="both"/>
        <w:rPr/>
      </w:pPr>
      <w:r>
        <w:rPr>
          <w:b/>
        </w:rPr>
        <w:t>(f)</w:t>
      </w:r>
      <w:r>
        <w:rPr/>
        <w:t> </w:t>
      </w:r>
      <w:r>
        <w:rPr>
          <w:b/>
        </w:rPr>
        <w:t>Restrictions on shares</w:t>
      </w:r>
    </w:p>
    <w:p>
      <w:pPr>
        <w:pStyle w:val="TextBody"/>
        <w:bidi w:val="0"/>
        <w:ind w:left="820" w:right="0" w:hanging="0"/>
        <w:jc w:val="both"/>
        <w:rPr/>
      </w:pPr>
      <w:r>
        <w:rPr/>
        <w:t>In connection with the completion of the Qualifying Transaction, at February 28, 2022 140,426,893 common shares and 11,384,127 stock options were held in escrow or subject to a contractual restriction on transfer. On November 4, 2022 all remaining common shares and options under restrictions were released from escrow. As a result, at February 28, 2023 no common shares or options were subject to escrow or contractual restrictions on transfer.</w:t>
      </w:r>
    </w:p>
    <w:p>
      <w:pPr>
        <w:pStyle w:val="TextBody"/>
        <w:bidi w:val="0"/>
        <w:jc w:val="both"/>
        <w:rPr/>
      </w:pPr>
      <w:r>
        <w:rPr>
          <w:b/>
        </w:rPr>
        <w:t>11.</w:t>
      </w:r>
      <w:r>
        <w:rPr/>
        <w:t> </w:t>
      </w:r>
      <w:r>
        <w:rPr>
          <w:b/>
        </w:rPr>
        <w:t>Share Purchase Warrants</w:t>
      </w:r>
    </w:p>
    <w:p>
      <w:pPr>
        <w:pStyle w:val="TextBody"/>
        <w:bidi w:val="0"/>
        <w:ind w:left="480" w:right="0" w:hanging="0"/>
        <w:jc w:val="both"/>
        <w:rPr/>
      </w:pPr>
      <w:r>
        <w:rPr/>
        <w:t>The following table summarizes the continuity of share purchase warrants:</w:t>
      </w:r>
    </w:p>
    <w:tbl>
      <w:tblPr>
        <w:tblW w:w="7140" w:type="dxa"/>
        <w:jc w:val="left"/>
        <w:tblInd w:w="480" w:type="dxa"/>
        <w:tblLayout w:type="fixed"/>
        <w:tblCellMar>
          <w:top w:w="0" w:type="dxa"/>
          <w:left w:w="0" w:type="dxa"/>
          <w:bottom w:w="28" w:type="dxa"/>
          <w:right w:w="0" w:type="dxa"/>
        </w:tblCellMar>
      </w:tblPr>
      <w:tblGrid>
        <w:gridCol w:w="4895"/>
        <w:gridCol w:w="60"/>
        <w:gridCol w:w="1055"/>
        <w:gridCol w:w="60"/>
        <w:gridCol w:w="60"/>
        <w:gridCol w:w="935"/>
        <w:gridCol w:w="75"/>
      </w:tblGrid>
      <w:tr>
        <w:trPr/>
        <w:tc>
          <w:tcPr>
            <w:tcW w:w="48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055" w:type="dxa"/>
            <w:tcBorders>
              <w:bottom w:val="single" w:sz="6" w:space="0" w:color="000000"/>
            </w:tcBorders>
            <w:vAlign w:val="center"/>
          </w:tcPr>
          <w:p>
            <w:pPr>
              <w:pStyle w:val="TableContents"/>
              <w:bidi w:val="0"/>
              <w:spacing w:before="0" w:after="283"/>
              <w:jc w:val="center"/>
              <w:rPr/>
            </w:pPr>
            <w:r>
              <w:rPr/>
              <w:t>Number of</w:t>
              <w:br/>
              <w:t>warrants</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935" w:type="dxa"/>
            <w:tcBorders>
              <w:bottom w:val="single" w:sz="6" w:space="0" w:color="000000"/>
            </w:tcBorders>
            <w:vAlign w:val="center"/>
          </w:tcPr>
          <w:p>
            <w:pPr>
              <w:pStyle w:val="TableContents"/>
              <w:bidi w:val="0"/>
              <w:spacing w:before="0" w:after="283"/>
              <w:jc w:val="center"/>
              <w:rPr/>
            </w:pPr>
            <w:r>
              <w:rPr/>
              <w:t>Weighted</w:t>
              <w:br/>
              <w:t>average</w:t>
              <w:br/>
              <w:t>exercise</w:t>
              <w:br/>
              <w:t>price</w:t>
              <w:br/>
              <w: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4895" w:type="dxa"/>
            <w:tcBorders/>
            <w:shd w:fill="E6EFFF" w:val="clear"/>
            <w:tcMar>
              <w:bottom w:w="0" w:type="dxa"/>
            </w:tcMar>
            <w:vAlign w:val="center"/>
          </w:tcPr>
          <w:p>
            <w:pPr>
              <w:pStyle w:val="TableContents"/>
              <w:bidi w:val="0"/>
              <w:spacing w:before="0" w:after="283"/>
              <w:jc w:val="left"/>
              <w:rPr/>
            </w:pPr>
            <w:r>
              <w:rPr/>
              <w:t>Balance, February 28, 2021</w:t>
            </w:r>
          </w:p>
        </w:tc>
        <w:tc>
          <w:tcPr>
            <w:tcW w:w="60" w:type="dxa"/>
            <w:tcBorders/>
            <w:shd w:fill="E6EFFF" w:val="clear"/>
            <w:tcMar>
              <w:bottom w:w="0" w:type="dxa"/>
            </w:tcMar>
            <w:vAlign w:val="center"/>
          </w:tcPr>
          <w:p>
            <w:pPr>
              <w:pStyle w:val="TableContents"/>
              <w:bidi w:val="0"/>
              <w:spacing w:before="0" w:after="283"/>
              <w:jc w:val="left"/>
              <w:rPr/>
            </w:pPr>
            <w:r>
              <w:rPr/>
              <w:t> </w:t>
            </w:r>
          </w:p>
        </w:tc>
        <w:tc>
          <w:tcPr>
            <w:tcW w:w="1055" w:type="dxa"/>
            <w:tcBorders/>
            <w:shd w:fill="E6EFFF" w:val="clear"/>
            <w:tcMar>
              <w:bottom w:w="0" w:type="dxa"/>
            </w:tcMar>
            <w:vAlign w:val="center"/>
          </w:tcPr>
          <w:p>
            <w:pPr>
              <w:pStyle w:val="TableContents"/>
              <w:bidi w:val="0"/>
              <w:spacing w:before="0" w:after="283"/>
              <w:jc w:val="righ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935" w:type="dxa"/>
            <w:tcBorders/>
            <w:shd w:fill="E6EFFF" w:val="clear"/>
            <w:tcMar>
              <w:bottom w:w="0" w:type="dxa"/>
            </w:tcMar>
            <w:vAlign w:val="center"/>
          </w:tcPr>
          <w:p>
            <w:pPr>
              <w:pStyle w:val="TableContents"/>
              <w:bidi w:val="0"/>
              <w:spacing w:before="0" w:after="283"/>
              <w:jc w:val="right"/>
              <w:rPr/>
            </w:pPr>
            <w:r>
              <w:rPr/>
              <w:t>-</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4895" w:type="dxa"/>
            <w:tcBorders>
              <w:bottom w:val="single" w:sz="6" w:space="0" w:color="000000"/>
            </w:tcBorders>
            <w:vAlign w:val="center"/>
          </w:tcPr>
          <w:p>
            <w:pPr>
              <w:pStyle w:val="TableContents"/>
              <w:bidi w:val="0"/>
              <w:spacing w:before="0" w:after="283"/>
              <w:jc w:val="left"/>
              <w:rPr/>
            </w:pPr>
            <w:r>
              <w:rPr/>
              <w:t>Issued (Note 10 (d))</w:t>
            </w:r>
          </w:p>
        </w:tc>
        <w:tc>
          <w:tcPr>
            <w:tcW w:w="60" w:type="dxa"/>
            <w:tcBorders>
              <w:bottom w:val="single" w:sz="6" w:space="0" w:color="000000"/>
            </w:tcBorders>
            <w:vAlign w:val="center"/>
          </w:tcPr>
          <w:p>
            <w:pPr>
              <w:pStyle w:val="TableContents"/>
              <w:bidi w:val="0"/>
              <w:spacing w:before="0" w:after="283"/>
              <w:jc w:val="left"/>
              <w:rPr/>
            </w:pPr>
            <w:r>
              <w:rPr/>
              <w:t> </w:t>
            </w:r>
          </w:p>
        </w:tc>
        <w:tc>
          <w:tcPr>
            <w:tcW w:w="1055" w:type="dxa"/>
            <w:tcBorders>
              <w:bottom w:val="single" w:sz="6" w:space="0" w:color="000000"/>
            </w:tcBorders>
            <w:vAlign w:val="center"/>
          </w:tcPr>
          <w:p>
            <w:pPr>
              <w:pStyle w:val="TableContents"/>
              <w:bidi w:val="0"/>
              <w:spacing w:before="0" w:after="283"/>
              <w:jc w:val="right"/>
              <w:rPr/>
            </w:pPr>
            <w:r>
              <w:rPr/>
              <w:t>3,947,547</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935" w:type="dxa"/>
            <w:tcBorders>
              <w:bottom w:val="single" w:sz="6" w:space="0" w:color="000000"/>
            </w:tcBorders>
            <w:vAlign w:val="center"/>
          </w:tcPr>
          <w:p>
            <w:pPr>
              <w:pStyle w:val="TableContents"/>
              <w:bidi w:val="0"/>
              <w:spacing w:before="0" w:after="283"/>
              <w:jc w:val="right"/>
              <w:rPr/>
            </w:pPr>
            <w:r>
              <w:rPr/>
              <w:t>0.96</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4895" w:type="dxa"/>
            <w:tcBorders>
              <w:bottom w:val="single" w:sz="12" w:space="0" w:color="000000"/>
            </w:tcBorders>
            <w:shd w:fill="E6EFFF" w:val="clear"/>
            <w:vAlign w:val="center"/>
          </w:tcPr>
          <w:p>
            <w:pPr>
              <w:pStyle w:val="TableContents"/>
              <w:bidi w:val="0"/>
              <w:spacing w:before="0" w:after="283"/>
              <w:jc w:val="left"/>
              <w:rPr/>
            </w:pPr>
            <w:r>
              <w:rPr/>
              <w:t>Balance, February 28, 2022 and February 28, 2023</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055" w:type="dxa"/>
            <w:tcBorders>
              <w:bottom w:val="single" w:sz="12" w:space="0" w:color="000000"/>
            </w:tcBorders>
            <w:shd w:fill="E6EFFF" w:val="clear"/>
            <w:vAlign w:val="center"/>
          </w:tcPr>
          <w:p>
            <w:pPr>
              <w:pStyle w:val="TableContents"/>
              <w:bidi w:val="0"/>
              <w:spacing w:before="0" w:after="283"/>
              <w:jc w:val="right"/>
              <w:rPr/>
            </w:pPr>
            <w:r>
              <w:rPr/>
              <w:t>3,947,547</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35" w:type="dxa"/>
            <w:tcBorders>
              <w:bottom w:val="single" w:sz="12" w:space="0" w:color="000000"/>
            </w:tcBorders>
            <w:shd w:fill="E6EFFF" w:val="clear"/>
            <w:vAlign w:val="center"/>
          </w:tcPr>
          <w:p>
            <w:pPr>
              <w:pStyle w:val="TableContents"/>
              <w:bidi w:val="0"/>
              <w:spacing w:before="0" w:after="283"/>
              <w:jc w:val="right"/>
              <w:rPr/>
            </w:pPr>
            <w:r>
              <w:rPr/>
              <w:t>0.96</w:t>
            </w:r>
          </w:p>
        </w:tc>
        <w:tc>
          <w:tcPr>
            <w:tcW w:w="75"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ind w:left="480" w:right="0" w:hanging="0"/>
        <w:jc w:val="both"/>
        <w:rPr/>
      </w:pPr>
      <w:r>
        <w:rPr/>
        <w:t>As at February 28, 2023, the following share purchase warrants were outstanding:</w:t>
      </w:r>
    </w:p>
    <w:tbl>
      <w:tblPr>
        <w:tblW w:w="6425" w:type="dxa"/>
        <w:jc w:val="left"/>
        <w:tblInd w:w="480" w:type="dxa"/>
        <w:tblLayout w:type="fixed"/>
        <w:tblCellMar>
          <w:top w:w="0" w:type="dxa"/>
          <w:left w:w="0" w:type="dxa"/>
          <w:bottom w:w="28" w:type="dxa"/>
          <w:right w:w="0" w:type="dxa"/>
        </w:tblCellMar>
      </w:tblPr>
      <w:tblGrid>
        <w:gridCol w:w="1925"/>
        <w:gridCol w:w="1355"/>
        <w:gridCol w:w="1415"/>
        <w:gridCol w:w="1730"/>
      </w:tblGrid>
      <w:tr>
        <w:trPr/>
        <w:tc>
          <w:tcPr>
            <w:tcW w:w="1925" w:type="dxa"/>
            <w:tcBorders>
              <w:bottom w:val="single" w:sz="6" w:space="0" w:color="000000"/>
            </w:tcBorders>
            <w:vAlign w:val="center"/>
          </w:tcPr>
          <w:p>
            <w:pPr>
              <w:pStyle w:val="TableContents"/>
              <w:bidi w:val="0"/>
              <w:spacing w:before="0" w:after="283"/>
              <w:jc w:val="center"/>
              <w:rPr/>
            </w:pPr>
            <w:r>
              <w:rPr/>
              <w:t>Number of warrants</w:t>
              <w:br/>
              <w:t>outstanding</w:t>
            </w:r>
          </w:p>
        </w:tc>
        <w:tc>
          <w:tcPr>
            <w:tcW w:w="1355" w:type="dxa"/>
            <w:tcBorders>
              <w:bottom w:val="single" w:sz="6" w:space="0" w:color="000000"/>
            </w:tcBorders>
            <w:vAlign w:val="center"/>
          </w:tcPr>
          <w:p>
            <w:pPr>
              <w:pStyle w:val="TableContents"/>
              <w:bidi w:val="0"/>
              <w:spacing w:before="0" w:after="283"/>
              <w:jc w:val="center"/>
              <w:rPr/>
            </w:pPr>
            <w:r>
              <w:rPr/>
              <w:t>Exercise price</w:t>
              <w:br/>
              <w:t>$</w:t>
            </w:r>
          </w:p>
        </w:tc>
        <w:tc>
          <w:tcPr>
            <w:tcW w:w="1415" w:type="dxa"/>
            <w:tcBorders>
              <w:bottom w:val="single" w:sz="6" w:space="0" w:color="000000"/>
            </w:tcBorders>
            <w:vAlign w:val="center"/>
          </w:tcPr>
          <w:p>
            <w:pPr>
              <w:pStyle w:val="TableContents"/>
              <w:bidi w:val="0"/>
              <w:spacing w:before="0" w:after="283"/>
              <w:jc w:val="center"/>
              <w:rPr/>
            </w:pPr>
            <w:r>
              <w:rPr/>
              <w:t>Expiry date</w:t>
            </w:r>
          </w:p>
        </w:tc>
        <w:tc>
          <w:tcPr>
            <w:tcW w:w="1730" w:type="dxa"/>
            <w:tcBorders>
              <w:bottom w:val="single" w:sz="6" w:space="0" w:color="000000"/>
            </w:tcBorders>
            <w:vAlign w:val="center"/>
          </w:tcPr>
          <w:p>
            <w:pPr>
              <w:pStyle w:val="TableContents"/>
              <w:bidi w:val="0"/>
              <w:spacing w:before="0" w:after="283"/>
              <w:jc w:val="center"/>
              <w:rPr/>
            </w:pPr>
            <w:r>
              <w:rPr/>
              <w:t>Weighted average</w:t>
              <w:br/>
              <w:t>remaining life</w:t>
            </w:r>
          </w:p>
        </w:tc>
      </w:tr>
      <w:tr>
        <w:trPr/>
        <w:tc>
          <w:tcPr>
            <w:tcW w:w="1925" w:type="dxa"/>
            <w:tcBorders>
              <w:bottom w:val="single" w:sz="6" w:space="0" w:color="000000"/>
            </w:tcBorders>
            <w:shd w:fill="E6EFFF" w:val="clear"/>
            <w:vAlign w:val="center"/>
          </w:tcPr>
          <w:p>
            <w:pPr>
              <w:pStyle w:val="TableContents"/>
              <w:bidi w:val="0"/>
              <w:spacing w:before="0" w:after="283"/>
              <w:jc w:val="center"/>
              <w:rPr/>
            </w:pPr>
            <w:r>
              <w:rPr/>
              <w:t>3,947,547</w:t>
            </w:r>
          </w:p>
        </w:tc>
        <w:tc>
          <w:tcPr>
            <w:tcW w:w="1355" w:type="dxa"/>
            <w:tcBorders>
              <w:bottom w:val="single" w:sz="6" w:space="0" w:color="000000"/>
            </w:tcBorders>
            <w:shd w:fill="E6EFFF" w:val="clear"/>
            <w:vAlign w:val="center"/>
          </w:tcPr>
          <w:p>
            <w:pPr>
              <w:pStyle w:val="TableContents"/>
              <w:bidi w:val="0"/>
              <w:spacing w:before="0" w:after="283"/>
              <w:jc w:val="center"/>
              <w:rPr/>
            </w:pPr>
            <w:r>
              <w:rPr/>
              <w:t>0.96</w:t>
            </w:r>
          </w:p>
        </w:tc>
        <w:tc>
          <w:tcPr>
            <w:tcW w:w="1415" w:type="dxa"/>
            <w:tcBorders>
              <w:bottom w:val="single" w:sz="6" w:space="0" w:color="000000"/>
            </w:tcBorders>
            <w:shd w:fill="E6EFFF" w:val="clear"/>
            <w:vAlign w:val="center"/>
          </w:tcPr>
          <w:p>
            <w:pPr>
              <w:pStyle w:val="TableContents"/>
              <w:bidi w:val="0"/>
              <w:spacing w:before="0" w:after="283"/>
              <w:jc w:val="center"/>
              <w:rPr/>
            </w:pPr>
            <w:r>
              <w:rPr/>
              <w:t>April 29, 2023</w:t>
            </w:r>
          </w:p>
        </w:tc>
        <w:tc>
          <w:tcPr>
            <w:tcW w:w="1730" w:type="dxa"/>
            <w:tcBorders>
              <w:bottom w:val="single" w:sz="6" w:space="0" w:color="000000"/>
            </w:tcBorders>
            <w:shd w:fill="E6EFFF" w:val="clear"/>
            <w:vAlign w:val="center"/>
          </w:tcPr>
          <w:p>
            <w:pPr>
              <w:pStyle w:val="TableContents"/>
              <w:bidi w:val="0"/>
              <w:spacing w:before="0" w:after="283"/>
              <w:jc w:val="center"/>
              <w:rPr/>
            </w:pPr>
            <w:r>
              <w:rPr/>
              <w:t>0.2 years</w:t>
            </w:r>
          </w:p>
        </w:tc>
      </w:tr>
    </w:tbl>
    <w:p>
      <w:pPr>
        <w:pStyle w:val="TextBody"/>
        <w:bidi w:val="0"/>
        <w:ind w:left="480" w:right="0" w:hanging="0"/>
        <w:jc w:val="both"/>
        <w:rPr/>
      </w:pPr>
      <w:r>
        <w:rPr/>
        <w:t>Subsequent to the year end, all outstanding warrants expired without exercise. Refer to Note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12.</w:t>
      </w:r>
      <w:r>
        <w:rPr/>
        <w:t> </w:t>
      </w:r>
      <w:r>
        <w:rPr>
          <w:b/>
        </w:rPr>
        <w:t>Stock Options</w:t>
      </w:r>
    </w:p>
    <w:p>
      <w:pPr>
        <w:pStyle w:val="TextBody"/>
        <w:bidi w:val="0"/>
        <w:ind w:left="480" w:right="0" w:hanging="0"/>
        <w:jc w:val="both"/>
        <w:rPr/>
      </w:pPr>
      <w:r>
        <w:rPr/>
        <w:t>The following table summarizes the continuity of the Company's stock options:</w:t>
      </w:r>
    </w:p>
    <w:tbl>
      <w:tblPr>
        <w:tblW w:w="9335" w:type="dxa"/>
        <w:jc w:val="left"/>
        <w:tblInd w:w="480" w:type="dxa"/>
        <w:tblLayout w:type="fixed"/>
        <w:tblCellMar>
          <w:top w:w="0" w:type="dxa"/>
          <w:left w:w="0" w:type="dxa"/>
          <w:bottom w:w="0" w:type="dxa"/>
          <w:right w:w="0" w:type="dxa"/>
        </w:tblCellMar>
      </w:tblPr>
      <w:tblGrid>
        <w:gridCol w:w="6935"/>
        <w:gridCol w:w="60"/>
        <w:gridCol w:w="1175"/>
        <w:gridCol w:w="95"/>
        <w:gridCol w:w="60"/>
        <w:gridCol w:w="935"/>
        <w:gridCol w:w="75"/>
      </w:tblGrid>
      <w:tr>
        <w:trPr/>
        <w:tc>
          <w:tcPr>
            <w:tcW w:w="6935"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75" w:type="dxa"/>
            <w:tcBorders>
              <w:bottom w:val="single" w:sz="6" w:space="0" w:color="000000"/>
            </w:tcBorders>
            <w:tcMar>
              <w:bottom w:w="28" w:type="dxa"/>
            </w:tcMar>
            <w:vAlign w:val="center"/>
          </w:tcPr>
          <w:p>
            <w:pPr>
              <w:pStyle w:val="TableContents"/>
              <w:bidi w:val="0"/>
              <w:spacing w:before="0" w:after="283"/>
              <w:jc w:val="center"/>
              <w:rPr/>
            </w:pPr>
            <w:r>
              <w:rPr/>
              <w:t>Number</w:t>
              <w:br/>
              <w:t>of options</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35" w:type="dxa"/>
            <w:tcBorders>
              <w:bottom w:val="single" w:sz="6" w:space="0" w:color="000000"/>
            </w:tcBorders>
            <w:tcMar>
              <w:bottom w:w="28" w:type="dxa"/>
            </w:tcMar>
            <w:vAlign w:val="center"/>
          </w:tcPr>
          <w:p>
            <w:pPr>
              <w:pStyle w:val="TableContents"/>
              <w:bidi w:val="0"/>
              <w:spacing w:before="0" w:after="283"/>
              <w:jc w:val="center"/>
              <w:rPr/>
            </w:pPr>
            <w:r>
              <w:rPr/>
              <w:t>Weighted</w:t>
              <w:br/>
              <w:t>average</w:t>
              <w:br/>
              <w:t>exercise</w:t>
              <w:br/>
              <w:t>price</w:t>
              <w:br/>
              <w:t>$</w:t>
            </w:r>
          </w:p>
        </w:tc>
        <w:tc>
          <w:tcPr>
            <w:tcW w:w="75"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6935" w:type="dxa"/>
            <w:tcBorders>
              <w:top w:val="single" w:sz="6" w:space="0" w:color="000000"/>
            </w:tcBorders>
            <w:shd w:fill="E6EFFF" w:val="clear"/>
            <w:tcMar>
              <w:top w:w="28" w:type="dxa"/>
            </w:tcMar>
            <w:vAlign w:val="center"/>
          </w:tcPr>
          <w:p>
            <w:pPr>
              <w:pStyle w:val="TableContents"/>
              <w:bidi w:val="0"/>
              <w:spacing w:before="0" w:after="283"/>
              <w:jc w:val="left"/>
              <w:rPr/>
            </w:pPr>
            <w:r>
              <w:rPr/>
              <w:t>Outstanding, February 28, 2021</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175" w:type="dxa"/>
            <w:tcBorders>
              <w:top w:val="single" w:sz="6" w:space="0" w:color="000000"/>
            </w:tcBorders>
            <w:shd w:fill="E6EFFF" w:val="clear"/>
            <w:tcMar>
              <w:top w:w="28" w:type="dxa"/>
            </w:tcMar>
            <w:vAlign w:val="center"/>
          </w:tcPr>
          <w:p>
            <w:pPr>
              <w:pStyle w:val="TableContents"/>
              <w:bidi w:val="0"/>
              <w:spacing w:before="0" w:after="283"/>
              <w:jc w:val="right"/>
              <w:rPr/>
            </w:pPr>
            <w:r>
              <w:rPr/>
              <w:t>30,897,800</w:t>
            </w:r>
          </w:p>
        </w:tc>
        <w:tc>
          <w:tcPr>
            <w:tcW w:w="9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935" w:type="dxa"/>
            <w:tcBorders>
              <w:top w:val="single" w:sz="6" w:space="0" w:color="000000"/>
            </w:tcBorders>
            <w:shd w:fill="E6EFFF" w:val="clear"/>
            <w:tcMar>
              <w:top w:w="28" w:type="dxa"/>
            </w:tcMar>
            <w:vAlign w:val="center"/>
          </w:tcPr>
          <w:p>
            <w:pPr>
              <w:pStyle w:val="TableContents"/>
              <w:bidi w:val="0"/>
              <w:spacing w:before="0" w:after="283"/>
              <w:jc w:val="right"/>
              <w:rPr/>
            </w:pPr>
            <w:r>
              <w:rPr/>
              <w:t>0.01</w:t>
            </w:r>
          </w:p>
        </w:tc>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6935"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4,045,000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0.33</w:t>
            </w:r>
          </w:p>
        </w:tc>
        <w:tc>
          <w:tcPr>
            <w:tcW w:w="75" w:type="dxa"/>
            <w:tcBorders/>
            <w:vAlign w:val="center"/>
          </w:tcPr>
          <w:p>
            <w:pPr>
              <w:pStyle w:val="TableContents"/>
              <w:bidi w:val="0"/>
              <w:spacing w:before="0" w:after="283"/>
              <w:jc w:val="left"/>
              <w:rPr/>
            </w:pPr>
            <w:r>
              <w:rPr/>
              <w:t> </w:t>
            </w:r>
          </w:p>
        </w:tc>
      </w:tr>
      <w:tr>
        <w:trPr/>
        <w:tc>
          <w:tcPr>
            <w:tcW w:w="6935" w:type="dxa"/>
            <w:tcBorders/>
            <w:shd w:fill="E6EFFF" w:val="clear"/>
            <w:vAlign w:val="center"/>
          </w:tcPr>
          <w:p>
            <w:pPr>
              <w:pStyle w:val="TableContents"/>
              <w:bidi w:val="0"/>
              <w:spacing w:before="0" w:after="283"/>
              <w:jc w:val="left"/>
              <w:rPr/>
            </w:pPr>
            <w:r>
              <w:rPr/>
              <w:t>Exercised</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(15,121,400</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935" w:type="dxa"/>
            <w:tcBorders/>
            <w:shd w:fill="E6EFFF" w:val="clear"/>
            <w:vAlign w:val="center"/>
          </w:tcPr>
          <w:p>
            <w:pPr>
              <w:pStyle w:val="TableContents"/>
              <w:bidi w:val="0"/>
              <w:spacing w:before="0" w:after="283"/>
              <w:jc w:val="right"/>
              <w:rPr/>
            </w:pPr>
            <w:r>
              <w:rPr/>
              <w:t>0.01</w:t>
            </w:r>
          </w:p>
        </w:tc>
        <w:tc>
          <w:tcPr>
            <w:tcW w:w="75" w:type="dxa"/>
            <w:tcBorders/>
            <w:shd w:fill="E6EFFF" w:val="clear"/>
            <w:vAlign w:val="center"/>
          </w:tcPr>
          <w:p>
            <w:pPr>
              <w:pStyle w:val="TableContents"/>
              <w:bidi w:val="0"/>
              <w:spacing w:before="0" w:after="283"/>
              <w:jc w:val="left"/>
              <w:rPr/>
            </w:pPr>
            <w:r>
              <w:rPr/>
              <w:t> </w:t>
            </w:r>
          </w:p>
        </w:tc>
      </w:tr>
      <w:tr>
        <w:trPr/>
        <w:tc>
          <w:tcPr>
            <w:tcW w:w="6935" w:type="dxa"/>
            <w:tcBorders/>
            <w:vAlign w:val="center"/>
          </w:tcPr>
          <w:p>
            <w:pPr>
              <w:pStyle w:val="TableContents"/>
              <w:bidi w:val="0"/>
              <w:spacing w:before="0" w:after="283"/>
              <w:jc w:val="left"/>
              <w:rPr/>
            </w:pPr>
            <w:r>
              <w:rPr/>
              <w:t>Cancellation to be regranted</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(850,000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0.49</w:t>
            </w:r>
          </w:p>
        </w:tc>
        <w:tc>
          <w:tcPr>
            <w:tcW w:w="75" w:type="dxa"/>
            <w:tcBorders/>
            <w:vAlign w:val="center"/>
          </w:tcPr>
          <w:p>
            <w:pPr>
              <w:pStyle w:val="TableContents"/>
              <w:bidi w:val="0"/>
              <w:spacing w:before="0" w:after="283"/>
              <w:jc w:val="left"/>
              <w:rPr/>
            </w:pPr>
            <w:r>
              <w:rPr/>
              <w:t> </w:t>
            </w:r>
          </w:p>
        </w:tc>
      </w:tr>
      <w:tr>
        <w:trPr/>
        <w:tc>
          <w:tcPr>
            <w:tcW w:w="6935" w:type="dxa"/>
            <w:tcBorders/>
            <w:shd w:fill="E6EFFF" w:val="clear"/>
            <w:vAlign w:val="center"/>
          </w:tcPr>
          <w:p>
            <w:pPr>
              <w:pStyle w:val="TableContents"/>
              <w:bidi w:val="0"/>
              <w:spacing w:before="0" w:after="283"/>
              <w:jc w:val="left"/>
              <w:rPr/>
            </w:pPr>
            <w:r>
              <w:rPr/>
              <w:t>Regranting of cancelled options</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850,000</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935" w:type="dxa"/>
            <w:tcBorders/>
            <w:shd w:fill="E6EFFF" w:val="clear"/>
            <w:vAlign w:val="center"/>
          </w:tcPr>
          <w:p>
            <w:pPr>
              <w:pStyle w:val="TableContents"/>
              <w:bidi w:val="0"/>
              <w:spacing w:before="0" w:after="283"/>
              <w:jc w:val="right"/>
              <w:rPr/>
            </w:pPr>
            <w:r>
              <w:rPr/>
              <w:t>0.49</w:t>
            </w:r>
          </w:p>
        </w:tc>
        <w:tc>
          <w:tcPr>
            <w:tcW w:w="75" w:type="dxa"/>
            <w:tcBorders/>
            <w:shd w:fill="E6EFFF" w:val="clear"/>
            <w:vAlign w:val="center"/>
          </w:tcPr>
          <w:p>
            <w:pPr>
              <w:pStyle w:val="TableContents"/>
              <w:bidi w:val="0"/>
              <w:spacing w:before="0" w:after="283"/>
              <w:ind w:left="0" w:right="0" w:hanging="204"/>
              <w:jc w:val="left"/>
              <w:rPr/>
            </w:pPr>
            <w:r>
              <w:rPr/>
              <w:t> </w:t>
            </w:r>
          </w:p>
        </w:tc>
      </w:tr>
      <w:tr>
        <w:trPr/>
        <w:tc>
          <w:tcPr>
            <w:tcW w:w="6935" w:type="dxa"/>
            <w:tcBorders>
              <w:bottom w:val="single" w:sz="6" w:space="0" w:color="000000"/>
            </w:tcBorders>
            <w:tcMar>
              <w:bottom w:w="28" w:type="dxa"/>
            </w:tcMar>
            <w:vAlign w:val="center"/>
          </w:tcPr>
          <w:p>
            <w:pPr>
              <w:pStyle w:val="TableContents"/>
              <w:bidi w:val="0"/>
              <w:spacing w:before="0" w:after="283"/>
              <w:jc w:val="left"/>
              <w:rPr/>
            </w:pPr>
            <w:r>
              <w:rPr/>
              <w:t>Small Pharma Inc.'s outstanding stock options prior to reverse acquisition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right"/>
              <w:rPr/>
            </w:pPr>
            <w:r>
              <w:rPr/>
              <w:t>130,433</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35" w:type="dxa"/>
            <w:tcBorders>
              <w:bottom w:val="single" w:sz="6" w:space="0" w:color="000000"/>
            </w:tcBorders>
            <w:tcMar>
              <w:bottom w:w="28" w:type="dxa"/>
            </w:tcMar>
            <w:vAlign w:val="center"/>
          </w:tcPr>
          <w:p>
            <w:pPr>
              <w:pStyle w:val="TableContents"/>
              <w:bidi w:val="0"/>
              <w:spacing w:before="0" w:after="283"/>
              <w:jc w:val="right"/>
              <w:rPr/>
            </w:pPr>
            <w:r>
              <w:rPr/>
              <w:t>0.46</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Outstanding, February 28, 2022</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17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19,951,833</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9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0.08</w:t>
            </w:r>
          </w:p>
        </w:tc>
        <w:tc>
          <w:tcPr>
            <w:tcW w:w="7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6935"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7,300,000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0.17</w:t>
            </w:r>
          </w:p>
        </w:tc>
        <w:tc>
          <w:tcPr>
            <w:tcW w:w="75" w:type="dxa"/>
            <w:tcBorders/>
            <w:vAlign w:val="center"/>
          </w:tcPr>
          <w:p>
            <w:pPr>
              <w:pStyle w:val="TableContents"/>
              <w:bidi w:val="0"/>
              <w:spacing w:before="0" w:after="283"/>
              <w:jc w:val="left"/>
              <w:rPr/>
            </w:pPr>
            <w:r>
              <w:rPr/>
              <w:t> </w:t>
            </w:r>
          </w:p>
        </w:tc>
      </w:tr>
      <w:tr>
        <w:trPr/>
        <w:tc>
          <w:tcPr>
            <w:tcW w:w="6935" w:type="dxa"/>
            <w:tcBorders/>
            <w:shd w:fill="E6EFFF" w:val="clear"/>
            <w:vAlign w:val="center"/>
          </w:tcPr>
          <w:p>
            <w:pPr>
              <w:pStyle w:val="TableContents"/>
              <w:bidi w:val="0"/>
              <w:spacing w:before="0" w:after="283"/>
              <w:jc w:val="left"/>
              <w:rPr/>
            </w:pPr>
            <w:r>
              <w:rPr/>
              <w:t>Exercised</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(3,725,000</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935" w:type="dxa"/>
            <w:tcBorders/>
            <w:shd w:fill="E6EFFF" w:val="clear"/>
            <w:vAlign w:val="center"/>
          </w:tcPr>
          <w:p>
            <w:pPr>
              <w:pStyle w:val="TableContents"/>
              <w:bidi w:val="0"/>
              <w:spacing w:before="0" w:after="283"/>
              <w:jc w:val="right"/>
              <w:rPr/>
            </w:pPr>
            <w:r>
              <w:rPr/>
              <w:t>0.02</w:t>
            </w:r>
          </w:p>
        </w:tc>
        <w:tc>
          <w:tcPr>
            <w:tcW w:w="75" w:type="dxa"/>
            <w:tcBorders/>
            <w:shd w:fill="E6EFFF" w:val="clear"/>
            <w:vAlign w:val="center"/>
          </w:tcPr>
          <w:p>
            <w:pPr>
              <w:pStyle w:val="TableContents"/>
              <w:bidi w:val="0"/>
              <w:spacing w:before="0" w:after="283"/>
              <w:jc w:val="left"/>
              <w:rPr/>
            </w:pPr>
            <w:r>
              <w:rPr/>
              <w:t> </w:t>
            </w:r>
          </w:p>
        </w:tc>
      </w:tr>
      <w:tr>
        <w:trPr/>
        <w:tc>
          <w:tcPr>
            <w:tcW w:w="6935" w:type="dxa"/>
            <w:tcBorders>
              <w:bottom w:val="single" w:sz="6" w:space="0" w:color="000000"/>
            </w:tcBorders>
            <w:tcMar>
              <w:bottom w:w="28" w:type="dxa"/>
            </w:tcMar>
            <w:vAlign w:val="center"/>
          </w:tcPr>
          <w:p>
            <w:pPr>
              <w:pStyle w:val="TableContents"/>
              <w:bidi w:val="0"/>
              <w:spacing w:before="0" w:after="283"/>
              <w:jc w:val="left"/>
              <w:rPr/>
            </w:pPr>
            <w:r>
              <w:rPr/>
              <w:t>Expired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right"/>
              <w:rPr/>
            </w:pPr>
            <w:r>
              <w:rPr/>
              <w:t>(130,433</w:t>
            </w:r>
          </w:p>
        </w:tc>
        <w:tc>
          <w:tcPr>
            <w:tcW w:w="95" w:type="dxa"/>
            <w:tcBorders>
              <w:bottom w:val="single" w:sz="6" w:space="0" w:color="000000"/>
            </w:tcBorders>
            <w:tcMar>
              <w:bottom w:w="28" w:type="dxa"/>
            </w:tcMar>
            <w:vAlign w:val="center"/>
          </w:tcPr>
          <w:p>
            <w:pPr>
              <w:pStyle w:val="TableContents"/>
              <w:bidi w:val="0"/>
              <w:spacing w:before="0" w:after="283"/>
              <w:jc w:val="lef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35" w:type="dxa"/>
            <w:tcBorders>
              <w:bottom w:val="single" w:sz="6" w:space="0" w:color="000000"/>
            </w:tcBorders>
            <w:tcMar>
              <w:bottom w:w="28" w:type="dxa"/>
            </w:tcMar>
            <w:vAlign w:val="center"/>
          </w:tcPr>
          <w:p>
            <w:pPr>
              <w:pStyle w:val="TableContents"/>
              <w:bidi w:val="0"/>
              <w:spacing w:before="0" w:after="283"/>
              <w:jc w:val="right"/>
              <w:rPr/>
            </w:pPr>
            <w:r>
              <w:rPr/>
              <w:t>0.46</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Outstanding, February 28, 2023</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17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23,396,400</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9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0.12</w:t>
            </w:r>
          </w:p>
        </w:tc>
        <w:tc>
          <w:tcPr>
            <w:tcW w:w="7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bl>
    <w:p>
      <w:pPr>
        <w:pStyle w:val="TextBody"/>
        <w:bidi w:val="0"/>
        <w:ind w:left="480" w:right="0" w:hanging="0"/>
        <w:jc w:val="both"/>
        <w:rPr/>
      </w:pPr>
      <w:r>
        <w:rPr/>
        <w:t>Additional information regarding stock options outstanding as at February 28, 2023 is as follows:</w:t>
      </w:r>
    </w:p>
    <w:tbl>
      <w:tblPr>
        <w:tblW w:w="8550" w:type="dxa"/>
        <w:jc w:val="left"/>
        <w:tblInd w:w="480" w:type="dxa"/>
        <w:tblLayout w:type="fixed"/>
        <w:tblCellMar>
          <w:top w:w="0" w:type="dxa"/>
          <w:left w:w="0" w:type="dxa"/>
          <w:bottom w:w="0" w:type="dxa"/>
          <w:right w:w="0" w:type="dxa"/>
        </w:tblCellMar>
      </w:tblPr>
      <w:tblGrid>
        <w:gridCol w:w="75"/>
        <w:gridCol w:w="1400"/>
        <w:gridCol w:w="60"/>
        <w:gridCol w:w="60"/>
        <w:gridCol w:w="1805"/>
        <w:gridCol w:w="60"/>
        <w:gridCol w:w="60"/>
        <w:gridCol w:w="1055"/>
        <w:gridCol w:w="60"/>
        <w:gridCol w:w="60"/>
        <w:gridCol w:w="1310"/>
        <w:gridCol w:w="60"/>
        <w:gridCol w:w="60"/>
        <w:gridCol w:w="1115"/>
        <w:gridCol w:w="60"/>
        <w:gridCol w:w="60"/>
        <w:gridCol w:w="1115"/>
        <w:gridCol w:w="75"/>
      </w:tblGrid>
      <w:tr>
        <w:trPr/>
        <w:tc>
          <w:tcPr>
            <w:tcW w:w="75" w:type="dxa"/>
            <w:tcBorders/>
            <w:vAlign w:val="center"/>
          </w:tcPr>
          <w:p>
            <w:pPr>
              <w:pStyle w:val="TableContents"/>
              <w:bidi w:val="0"/>
              <w:spacing w:before="0" w:after="283"/>
              <w:jc w:val="center"/>
              <w:rPr/>
            </w:pPr>
            <w:r>
              <w:rPr/>
              <w:t> </w:t>
            </w:r>
          </w:p>
        </w:tc>
        <w:tc>
          <w:tcPr>
            <w:tcW w:w="1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4410" w:type="dxa"/>
            <w:gridSpan w:val="7"/>
            <w:tcBorders>
              <w:bottom w:val="single" w:sz="6" w:space="0" w:color="000000"/>
            </w:tcBorders>
            <w:tcMar>
              <w:bottom w:w="28" w:type="dxa"/>
            </w:tcMar>
            <w:vAlign w:val="center"/>
          </w:tcPr>
          <w:p>
            <w:pPr>
              <w:pStyle w:val="TableContents"/>
              <w:bidi w:val="0"/>
              <w:spacing w:before="0" w:after="283"/>
              <w:jc w:val="center"/>
              <w:rPr/>
            </w:pPr>
            <w:r>
              <w:rPr/>
              <w:t>Outstanding</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pPr>
            <w:r>
              <w:rPr/>
              <w:t>Vested</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pPr>
            <w:r>
              <w:rPr/>
              <w:t>Non-vested</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5"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00" w:type="dxa"/>
            <w:tcBorders>
              <w:bottom w:val="single" w:sz="6" w:space="0" w:color="000000"/>
            </w:tcBorders>
            <w:tcMar>
              <w:bottom w:w="28" w:type="dxa"/>
            </w:tcMar>
            <w:vAlign w:val="center"/>
          </w:tcPr>
          <w:p>
            <w:pPr>
              <w:pStyle w:val="TableContents"/>
              <w:bidi w:val="0"/>
              <w:spacing w:before="0" w:after="283"/>
              <w:jc w:val="center"/>
              <w:rPr/>
            </w:pPr>
            <w:r>
              <w:rPr/>
              <w:t>Range of</w:t>
              <w:br/>
              <w:t>exercise prices</w:t>
              <w:b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5" w:type="dxa"/>
            <w:tcBorders/>
            <w:vAlign w:val="center"/>
          </w:tcPr>
          <w:p>
            <w:pPr>
              <w:pStyle w:val="TableContents"/>
              <w:bidi w:val="0"/>
              <w:spacing w:before="0" w:after="283"/>
              <w:jc w:val="center"/>
              <w:rPr/>
            </w:pPr>
            <w:r>
              <w:rPr/>
              <w:br/>
              <w:br/>
              <w:t>Number of options</w:t>
              <w:br/>
              <w:t>outstanding</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55" w:type="dxa"/>
            <w:tcBorders>
              <w:bottom w:val="single" w:sz="6" w:space="0" w:color="000000"/>
            </w:tcBorders>
            <w:tcMar>
              <w:bottom w:w="28" w:type="dxa"/>
            </w:tcMar>
            <w:vAlign w:val="center"/>
          </w:tcPr>
          <w:p>
            <w:pPr>
              <w:pStyle w:val="TableContents"/>
              <w:bidi w:val="0"/>
              <w:spacing w:before="0" w:after="283"/>
              <w:jc w:val="center"/>
              <w:rPr/>
            </w:pPr>
            <w:r>
              <w:rPr/>
              <w:t>Weighted</w:t>
              <w:br/>
              <w:t>average</w:t>
              <w:br/>
              <w:t>remaining</w:t>
              <w:br/>
              <w:t>contractual</w:t>
              <w:br/>
              <w:t>life (years)</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310" w:type="dxa"/>
            <w:tcBorders>
              <w:bottom w:val="single" w:sz="6" w:space="0" w:color="000000"/>
            </w:tcBorders>
            <w:tcMar>
              <w:bottom w:w="28" w:type="dxa"/>
            </w:tcMar>
            <w:vAlign w:val="center"/>
          </w:tcPr>
          <w:p>
            <w:pPr>
              <w:pStyle w:val="TableContents"/>
              <w:bidi w:val="0"/>
              <w:spacing w:before="0" w:after="283"/>
              <w:jc w:val="center"/>
              <w:rPr/>
            </w:pPr>
            <w:r>
              <w:rPr/>
              <w:t>Weighted</w:t>
              <w:br/>
              <w:t>average</w:t>
              <w:br/>
              <w:t>exercise price</w:t>
              <w:b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pPr>
            <w:r>
              <w:rPr/>
              <w:t>Number of</w:t>
              <w:br/>
              <w:t>options</w:t>
              <w:br/>
              <w:t>outstanding</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pPr>
            <w:r>
              <w:rPr/>
              <w:t>Number of</w:t>
              <w:br/>
              <w:t>options</w:t>
              <w:br/>
              <w:t>outstanding</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400" w:type="dxa"/>
            <w:tcBorders>
              <w:top w:val="single" w:sz="6" w:space="0" w:color="000000"/>
            </w:tcBorders>
            <w:shd w:fill="E6EFFF" w:val="clear"/>
            <w:tcMar>
              <w:top w:w="28" w:type="dxa"/>
            </w:tcMar>
            <w:vAlign w:val="center"/>
          </w:tcPr>
          <w:p>
            <w:pPr>
              <w:pStyle w:val="TableContents"/>
              <w:bidi w:val="0"/>
              <w:spacing w:before="0" w:after="283"/>
              <w:jc w:val="right"/>
              <w:rPr/>
            </w:pPr>
            <w:r>
              <w:rPr/>
              <w:t>0.0175</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805" w:type="dxa"/>
            <w:tcBorders>
              <w:top w:val="single" w:sz="6" w:space="0" w:color="000000"/>
            </w:tcBorders>
            <w:shd w:fill="E6EFFF" w:val="clear"/>
            <w:tcMar>
              <w:top w:w="28" w:type="dxa"/>
            </w:tcMar>
            <w:vAlign w:val="center"/>
          </w:tcPr>
          <w:p>
            <w:pPr>
              <w:pStyle w:val="TableContents"/>
              <w:bidi w:val="0"/>
              <w:spacing w:before="0" w:after="283"/>
              <w:jc w:val="right"/>
              <w:rPr/>
            </w:pPr>
            <w:r>
              <w:rPr/>
              <w:t>9,160,100</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055" w:type="dxa"/>
            <w:tcBorders>
              <w:top w:val="single" w:sz="6" w:space="0" w:color="000000"/>
            </w:tcBorders>
            <w:shd w:fill="E6EFFF" w:val="clear"/>
            <w:tcMar>
              <w:top w:w="28" w:type="dxa"/>
            </w:tcMar>
            <w:vAlign w:val="center"/>
          </w:tcPr>
          <w:p>
            <w:pPr>
              <w:pStyle w:val="TableContents"/>
              <w:bidi w:val="0"/>
              <w:spacing w:before="0" w:after="283"/>
              <w:jc w:val="right"/>
              <w:rPr/>
            </w:pPr>
            <w:r>
              <w:rPr/>
              <w:t>7.8</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310" w:type="dxa"/>
            <w:tcBorders>
              <w:top w:val="single" w:sz="6" w:space="0" w:color="000000"/>
            </w:tcBorders>
            <w:shd w:fill="E6EFFF" w:val="clear"/>
            <w:tcMar>
              <w:top w:w="28" w:type="dxa"/>
            </w:tcMar>
            <w:vAlign w:val="center"/>
          </w:tcPr>
          <w:p>
            <w:pPr>
              <w:pStyle w:val="TableContents"/>
              <w:bidi w:val="0"/>
              <w:spacing w:before="0" w:after="283"/>
              <w:jc w:val="right"/>
              <w:rPr/>
            </w:pPr>
            <w:r>
              <w:rPr/>
              <w:t>0.0175</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115" w:type="dxa"/>
            <w:tcBorders>
              <w:top w:val="single" w:sz="6" w:space="0" w:color="000000"/>
            </w:tcBorders>
            <w:shd w:fill="E6EFFF" w:val="clear"/>
            <w:tcMar>
              <w:top w:w="28" w:type="dxa"/>
            </w:tcMar>
            <w:vAlign w:val="center"/>
          </w:tcPr>
          <w:p>
            <w:pPr>
              <w:pStyle w:val="TableContents"/>
              <w:bidi w:val="0"/>
              <w:spacing w:before="0" w:after="283"/>
              <w:jc w:val="right"/>
              <w:rPr/>
            </w:pPr>
            <w:r>
              <w:rPr/>
              <w:t>9,160,100</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115" w:type="dxa"/>
            <w:tcBorders>
              <w:top w:val="single" w:sz="6" w:space="0" w:color="000000"/>
            </w:tcBorders>
            <w:shd w:fill="E6EFFF" w:val="clear"/>
            <w:tcMar>
              <w:top w:w="28" w:type="dxa"/>
            </w:tcMar>
            <w:vAlign w:val="center"/>
          </w:tcPr>
          <w:p>
            <w:pPr>
              <w:pStyle w:val="TableContents"/>
              <w:bidi w:val="0"/>
              <w:spacing w:before="0" w:after="283"/>
              <w:jc w:val="right"/>
              <w:rPr/>
            </w:pPr>
            <w:r>
              <w:rPr/>
              <w:t>-</w:t>
            </w:r>
          </w:p>
        </w:tc>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0.0035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pPr>
            <w:r>
              <w:rPr/>
              <w:t>2,891,300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0.0035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2,891,300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5" w:type="dxa"/>
            <w:tcBorders/>
            <w:shd w:fill="E6EFFF" w:val="clear"/>
            <w:vAlign w:val="center"/>
          </w:tcPr>
          <w:p>
            <w:pPr>
              <w:pStyle w:val="TableContents"/>
              <w:bidi w:val="0"/>
              <w:spacing w:before="0" w:after="283"/>
              <w:jc w:val="left"/>
              <w:rPr/>
            </w:pPr>
            <w:r>
              <w:rPr/>
              <w:t> </w:t>
            </w:r>
          </w:p>
        </w:tc>
        <w:tc>
          <w:tcPr>
            <w:tcW w:w="1400" w:type="dxa"/>
            <w:tcBorders/>
            <w:shd w:fill="E6EFFF" w:val="clear"/>
            <w:vAlign w:val="center"/>
          </w:tcPr>
          <w:p>
            <w:pPr>
              <w:pStyle w:val="TableContents"/>
              <w:bidi w:val="0"/>
              <w:spacing w:before="0" w:after="283"/>
              <w:jc w:val="right"/>
              <w:rPr/>
            </w:pPr>
            <w:r>
              <w:rPr/>
              <w:t>0.49</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805" w:type="dxa"/>
            <w:tcBorders/>
            <w:shd w:fill="E6EFFF" w:val="clear"/>
            <w:vAlign w:val="center"/>
          </w:tcPr>
          <w:p>
            <w:pPr>
              <w:pStyle w:val="TableContents"/>
              <w:bidi w:val="0"/>
              <w:spacing w:before="0" w:after="283"/>
              <w:jc w:val="right"/>
              <w:rPr/>
            </w:pPr>
            <w:r>
              <w:rPr/>
              <w:t>1,090,000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8.4</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10" w:type="dxa"/>
            <w:tcBorders/>
            <w:shd w:fill="E6EFFF" w:val="clear"/>
            <w:vAlign w:val="center"/>
          </w:tcPr>
          <w:p>
            <w:pPr>
              <w:pStyle w:val="TableContents"/>
              <w:bidi w:val="0"/>
              <w:spacing w:before="0" w:after="283"/>
              <w:jc w:val="right"/>
              <w:rPr/>
            </w:pPr>
            <w:r>
              <w:rPr/>
              <w:t>0.49</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1,090,000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w:t>
            </w:r>
          </w:p>
        </w:tc>
        <w:tc>
          <w:tcPr>
            <w:tcW w:w="75" w:type="dxa"/>
            <w:tcBorders/>
            <w:shd w:fill="E6EF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pPr>
            <w:r>
              <w:rPr/>
              <w:t>150,000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0.40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5" w:type="dxa"/>
            <w:tcBorders/>
            <w:shd w:fill="E6EFFF" w:val="clear"/>
            <w:vAlign w:val="center"/>
          </w:tcPr>
          <w:p>
            <w:pPr>
              <w:pStyle w:val="TableContents"/>
              <w:bidi w:val="0"/>
              <w:spacing w:before="0" w:after="283"/>
              <w:jc w:val="left"/>
              <w:rPr/>
            </w:pPr>
            <w:r>
              <w:rPr/>
              <w:t> </w:t>
            </w:r>
          </w:p>
        </w:tc>
        <w:tc>
          <w:tcPr>
            <w:tcW w:w="1400" w:type="dxa"/>
            <w:tcBorders/>
            <w:shd w:fill="E6EFFF" w:val="clear"/>
            <w:vAlign w:val="center"/>
          </w:tcPr>
          <w:p>
            <w:pPr>
              <w:pStyle w:val="TableContents"/>
              <w:bidi w:val="0"/>
              <w:spacing w:before="0" w:after="283"/>
              <w:jc w:val="right"/>
              <w:rPr/>
            </w:pPr>
            <w:r>
              <w:rPr/>
              <w:t>0.435</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805" w:type="dxa"/>
            <w:tcBorders/>
            <w:shd w:fill="E6EFFF" w:val="clear"/>
            <w:vAlign w:val="center"/>
          </w:tcPr>
          <w:p>
            <w:pPr>
              <w:pStyle w:val="TableContents"/>
              <w:bidi w:val="0"/>
              <w:spacing w:before="0" w:after="283"/>
              <w:jc w:val="right"/>
              <w:rPr/>
            </w:pPr>
            <w:r>
              <w:rPr/>
              <w:t>30,000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8.7</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10" w:type="dxa"/>
            <w:tcBorders/>
            <w:shd w:fill="E6EFFF" w:val="clear"/>
            <w:vAlign w:val="center"/>
          </w:tcPr>
          <w:p>
            <w:pPr>
              <w:pStyle w:val="TableContents"/>
              <w:bidi w:val="0"/>
              <w:spacing w:before="0" w:after="283"/>
              <w:jc w:val="right"/>
              <w:rPr/>
            </w:pPr>
            <w:r>
              <w:rPr/>
              <w:t>0.435</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30,000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w:t>
            </w:r>
          </w:p>
        </w:tc>
        <w:tc>
          <w:tcPr>
            <w:tcW w:w="75" w:type="dxa"/>
            <w:tcBorders/>
            <w:shd w:fill="E6EF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0.245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pPr>
            <w:r>
              <w:rPr/>
              <w:t>1,700,000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0.245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212,500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1,487,500</w:t>
            </w:r>
          </w:p>
        </w:tc>
        <w:tc>
          <w:tcPr>
            <w:tcW w:w="75" w:type="dxa"/>
            <w:tcBorders/>
            <w:vAlign w:val="center"/>
          </w:tcPr>
          <w:p>
            <w:pPr>
              <w:pStyle w:val="TableContents"/>
              <w:bidi w:val="0"/>
              <w:spacing w:before="0" w:after="283"/>
              <w:jc w:val="left"/>
              <w:rPr/>
            </w:pPr>
            <w:r>
              <w:rPr/>
              <w:t> </w:t>
            </w:r>
          </w:p>
        </w:tc>
      </w:tr>
      <w:tr>
        <w:trPr/>
        <w:tc>
          <w:tcPr>
            <w:tcW w:w="75" w:type="dxa"/>
            <w:tcBorders/>
            <w:shd w:fill="E6EFFF" w:val="clear"/>
            <w:vAlign w:val="center"/>
          </w:tcPr>
          <w:p>
            <w:pPr>
              <w:pStyle w:val="TableContents"/>
              <w:bidi w:val="0"/>
              <w:spacing w:before="0" w:after="283"/>
              <w:jc w:val="left"/>
              <w:rPr/>
            </w:pPr>
            <w:r>
              <w:rPr/>
              <w:t> </w:t>
            </w:r>
          </w:p>
        </w:tc>
        <w:tc>
          <w:tcPr>
            <w:tcW w:w="1400" w:type="dxa"/>
            <w:tcBorders/>
            <w:shd w:fill="E6EFFF" w:val="clear"/>
            <w:vAlign w:val="center"/>
          </w:tcPr>
          <w:p>
            <w:pPr>
              <w:pStyle w:val="TableContents"/>
              <w:bidi w:val="0"/>
              <w:spacing w:before="0" w:after="283"/>
              <w:jc w:val="right"/>
              <w:rPr/>
            </w:pPr>
            <w:r>
              <w:rPr/>
              <w:t>0.30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805" w:type="dxa"/>
            <w:tcBorders/>
            <w:shd w:fill="E6EFFF" w:val="clear"/>
            <w:vAlign w:val="center"/>
          </w:tcPr>
          <w:p>
            <w:pPr>
              <w:pStyle w:val="TableContents"/>
              <w:bidi w:val="0"/>
              <w:spacing w:before="0" w:after="283"/>
              <w:jc w:val="right"/>
              <w:rPr/>
            </w:pPr>
            <w:r>
              <w:rPr/>
              <w:t>1,075,000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9.0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10" w:type="dxa"/>
            <w:tcBorders/>
            <w:shd w:fill="E6EFFF" w:val="clear"/>
            <w:vAlign w:val="center"/>
          </w:tcPr>
          <w:p>
            <w:pPr>
              <w:pStyle w:val="TableContents"/>
              <w:bidi w:val="0"/>
              <w:spacing w:before="0" w:after="283"/>
              <w:jc w:val="right"/>
              <w:rPr/>
            </w:pPr>
            <w:r>
              <w:rPr/>
              <w:t>0.30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134,375</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940,625</w:t>
            </w:r>
          </w:p>
        </w:tc>
        <w:tc>
          <w:tcPr>
            <w:tcW w:w="75" w:type="dxa"/>
            <w:tcBorders/>
            <w:shd w:fill="E6EF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0.175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pPr>
            <w:r>
              <w:rPr/>
              <w:t>6,300,000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0.175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6,300,000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400" w:type="dxa"/>
            <w:tcBorders>
              <w:bottom w:val="single" w:sz="6" w:space="0" w:color="000000"/>
            </w:tcBorders>
            <w:shd w:fill="E6EFFF" w:val="clear"/>
            <w:tcMar>
              <w:bottom w:w="28" w:type="dxa"/>
            </w:tcMar>
            <w:vAlign w:val="center"/>
          </w:tcPr>
          <w:p>
            <w:pPr>
              <w:pStyle w:val="TableContents"/>
              <w:bidi w:val="0"/>
              <w:spacing w:before="0" w:after="283"/>
              <w:jc w:val="right"/>
              <w:rPr/>
            </w:pPr>
            <w:r>
              <w:rPr/>
              <w:t>0.105</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805" w:type="dxa"/>
            <w:tcBorders>
              <w:bottom w:val="single" w:sz="6" w:space="0" w:color="000000"/>
            </w:tcBorders>
            <w:shd w:fill="E6EFFF" w:val="clear"/>
            <w:tcMar>
              <w:bottom w:w="28" w:type="dxa"/>
            </w:tcMar>
            <w:vAlign w:val="center"/>
          </w:tcPr>
          <w:p>
            <w:pPr>
              <w:pStyle w:val="TableContents"/>
              <w:bidi w:val="0"/>
              <w:spacing w:before="0" w:after="283"/>
              <w:jc w:val="right"/>
              <w:rPr/>
            </w:pPr>
            <w:r>
              <w:rPr/>
              <w:t>1,000,000</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shd w:fill="E6EFFF" w:val="clear"/>
            <w:tcMar>
              <w:bottom w:w="28" w:type="dxa"/>
            </w:tcMar>
            <w:vAlign w:val="center"/>
          </w:tcPr>
          <w:p>
            <w:pPr>
              <w:pStyle w:val="TableContents"/>
              <w:bidi w:val="0"/>
              <w:spacing w:before="0" w:after="283"/>
              <w:jc w:val="right"/>
              <w:rPr/>
            </w:pPr>
            <w:r>
              <w:rPr/>
              <w:t>9.4</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shd w:fill="E6EFFF" w:val="clear"/>
            <w:tcMar>
              <w:bottom w:w="28" w:type="dxa"/>
            </w:tcMar>
            <w:vAlign w:val="center"/>
          </w:tcPr>
          <w:p>
            <w:pPr>
              <w:pStyle w:val="TableContents"/>
              <w:bidi w:val="0"/>
              <w:spacing w:before="0" w:after="283"/>
              <w:jc w:val="right"/>
              <w:rPr/>
            </w:pPr>
            <w:r>
              <w:rPr/>
              <w:t>0.105</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115" w:type="dxa"/>
            <w:tcBorders>
              <w:bottom w:val="single" w:sz="6" w:space="0" w:color="000000"/>
            </w:tcBorders>
            <w:shd w:fill="E6EFFF" w:val="clear"/>
            <w:tcMar>
              <w:bottom w:w="28" w:type="dxa"/>
            </w:tcMar>
            <w:vAlign w:val="center"/>
          </w:tcPr>
          <w:p>
            <w:pPr>
              <w:pStyle w:val="TableContents"/>
              <w:bidi w:val="0"/>
              <w:spacing w:before="0" w:after="283"/>
              <w:jc w:val="right"/>
              <w:rPr/>
            </w:pPr>
            <w:r>
              <w:rPr/>
              <w:t>750,000</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115" w:type="dxa"/>
            <w:tcBorders>
              <w:bottom w:val="single" w:sz="6" w:space="0" w:color="000000"/>
            </w:tcBorders>
            <w:shd w:fill="E6EFFF" w:val="clear"/>
            <w:tcMar>
              <w:bottom w:w="28" w:type="dxa"/>
            </w:tcMar>
            <w:vAlign w:val="center"/>
          </w:tcPr>
          <w:p>
            <w:pPr>
              <w:pStyle w:val="TableContents"/>
              <w:bidi w:val="0"/>
              <w:spacing w:before="0" w:after="283"/>
              <w:jc w:val="right"/>
              <w:rPr/>
            </w:pPr>
            <w:r>
              <w:rPr/>
              <w:t>250,000</w:t>
            </w:r>
          </w:p>
        </w:tc>
        <w:tc>
          <w:tcPr>
            <w:tcW w:w="7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75" w:type="dxa"/>
            <w:tcBorders>
              <w:bottom w:val="single" w:sz="12" w:space="0" w:color="000000"/>
            </w:tcBorders>
            <w:tcMar>
              <w:bottom w:w="28" w:type="dxa"/>
            </w:tcMar>
            <w:vAlign w:val="center"/>
          </w:tcPr>
          <w:p>
            <w:pPr>
              <w:pStyle w:val="TableContents"/>
              <w:bidi w:val="0"/>
              <w:spacing w:before="0" w:after="0"/>
              <w:jc w:val="left"/>
              <w:rPr/>
            </w:pPr>
            <w:r>
              <w:rPr/>
              <w:t> </w:t>
            </w:r>
          </w:p>
        </w:tc>
        <w:tc>
          <w:tcPr>
            <w:tcW w:w="1400" w:type="dxa"/>
            <w:tcBorders>
              <w:bottom w:val="single" w:sz="12" w:space="0" w:color="000000"/>
            </w:tcBorders>
            <w:tcMar>
              <w:bottom w:w="28" w:type="dxa"/>
            </w:tcMar>
            <w:vAlign w:val="center"/>
          </w:tcPr>
          <w:p>
            <w:pPr>
              <w:pStyle w:val="TableContents"/>
              <w:bidi w:val="0"/>
              <w:spacing w:before="0" w:after="0"/>
              <w:jc w:val="righ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80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23,396,400</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05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8.4</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31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0.12</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11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20,718,275</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11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2,678,125</w:t>
            </w:r>
          </w:p>
        </w:tc>
        <w:tc>
          <w:tcPr>
            <w:tcW w:w="7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ind w:left="48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12.</w:t>
      </w:r>
      <w:r>
        <w:rPr/>
        <w:t> </w:t>
      </w:r>
      <w:r>
        <w:rPr>
          <w:b/>
        </w:rPr>
        <w:t xml:space="preserve">Stock Options </w:t>
      </w:r>
      <w:r>
        <w:rPr/>
        <w:t>(continued)</w:t>
      </w:r>
    </w:p>
    <w:p>
      <w:pPr>
        <w:pStyle w:val="TextBody"/>
        <w:bidi w:val="0"/>
        <w:ind w:left="480" w:right="0" w:hanging="0"/>
        <w:jc w:val="both"/>
        <w:rPr/>
      </w:pPr>
      <w:r>
        <w:rPr/>
        <w:t>Additional information regarding stock options outstanding as at February 28, 2022 is as follows:</w:t>
      </w:r>
    </w:p>
    <w:tbl>
      <w:tblPr>
        <w:tblW w:w="8550" w:type="dxa"/>
        <w:jc w:val="left"/>
        <w:tblInd w:w="480" w:type="dxa"/>
        <w:tblLayout w:type="fixed"/>
        <w:tblCellMar>
          <w:top w:w="0" w:type="dxa"/>
          <w:left w:w="0" w:type="dxa"/>
          <w:bottom w:w="0" w:type="dxa"/>
          <w:right w:w="0" w:type="dxa"/>
        </w:tblCellMar>
      </w:tblPr>
      <w:tblGrid>
        <w:gridCol w:w="75"/>
        <w:gridCol w:w="1400"/>
        <w:gridCol w:w="60"/>
        <w:gridCol w:w="60"/>
        <w:gridCol w:w="1805"/>
        <w:gridCol w:w="60"/>
        <w:gridCol w:w="60"/>
        <w:gridCol w:w="1055"/>
        <w:gridCol w:w="60"/>
        <w:gridCol w:w="60"/>
        <w:gridCol w:w="1310"/>
        <w:gridCol w:w="60"/>
        <w:gridCol w:w="60"/>
        <w:gridCol w:w="1115"/>
        <w:gridCol w:w="60"/>
        <w:gridCol w:w="60"/>
        <w:gridCol w:w="1115"/>
        <w:gridCol w:w="75"/>
      </w:tblGrid>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4410" w:type="dxa"/>
            <w:gridSpan w:val="7"/>
            <w:tcBorders>
              <w:bottom w:val="single" w:sz="6" w:space="0" w:color="000000"/>
            </w:tcBorders>
            <w:tcMar>
              <w:bottom w:w="28" w:type="dxa"/>
            </w:tcMar>
            <w:vAlign w:val="center"/>
          </w:tcPr>
          <w:p>
            <w:pPr>
              <w:pStyle w:val="TableContents"/>
              <w:bidi w:val="0"/>
              <w:spacing w:before="0" w:after="283"/>
              <w:jc w:val="center"/>
              <w:rPr/>
            </w:pPr>
            <w:r>
              <w:rPr/>
              <w:t>Outstanding</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pPr>
            <w:r>
              <w:rPr/>
              <w:t>Vested</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pPr>
            <w:r>
              <w:rPr/>
              <w:t>Non-vested</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5"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00" w:type="dxa"/>
            <w:tcBorders>
              <w:bottom w:val="single" w:sz="6" w:space="0" w:color="000000"/>
            </w:tcBorders>
            <w:tcMar>
              <w:bottom w:w="28" w:type="dxa"/>
            </w:tcMar>
            <w:vAlign w:val="center"/>
          </w:tcPr>
          <w:p>
            <w:pPr>
              <w:pStyle w:val="TableContents"/>
              <w:bidi w:val="0"/>
              <w:spacing w:before="0" w:after="283"/>
              <w:jc w:val="center"/>
              <w:rPr/>
            </w:pPr>
            <w:r>
              <w:rPr/>
              <w:t>Range of</w:t>
              <w:br/>
              <w:t>exercise prices</w:t>
              <w:b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5" w:type="dxa"/>
            <w:tcBorders/>
            <w:vAlign w:val="center"/>
          </w:tcPr>
          <w:p>
            <w:pPr>
              <w:pStyle w:val="TableContents"/>
              <w:bidi w:val="0"/>
              <w:spacing w:before="0" w:after="283"/>
              <w:jc w:val="center"/>
              <w:rPr/>
            </w:pPr>
            <w:r>
              <w:rPr/>
              <w:br/>
              <w:br/>
              <w:t>Number of options</w:t>
              <w:br/>
              <w:t>outstanding</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55" w:type="dxa"/>
            <w:tcBorders>
              <w:bottom w:val="single" w:sz="6" w:space="0" w:color="000000"/>
            </w:tcBorders>
            <w:tcMar>
              <w:bottom w:w="28" w:type="dxa"/>
            </w:tcMar>
            <w:vAlign w:val="center"/>
          </w:tcPr>
          <w:p>
            <w:pPr>
              <w:pStyle w:val="TableContents"/>
              <w:bidi w:val="0"/>
              <w:spacing w:before="0" w:after="283"/>
              <w:jc w:val="center"/>
              <w:rPr/>
            </w:pPr>
            <w:r>
              <w:rPr/>
              <w:t>Weighted</w:t>
              <w:br/>
              <w:t>average</w:t>
              <w:br/>
              <w:t>remaining</w:t>
              <w:br/>
              <w:t>contractual</w:t>
              <w:br/>
              <w:t>life (years)</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310" w:type="dxa"/>
            <w:tcBorders>
              <w:bottom w:val="single" w:sz="6" w:space="0" w:color="000000"/>
            </w:tcBorders>
            <w:tcMar>
              <w:bottom w:w="28" w:type="dxa"/>
            </w:tcMar>
            <w:vAlign w:val="center"/>
          </w:tcPr>
          <w:p>
            <w:pPr>
              <w:pStyle w:val="TableContents"/>
              <w:bidi w:val="0"/>
              <w:spacing w:before="0" w:after="283"/>
              <w:jc w:val="center"/>
              <w:rPr/>
            </w:pPr>
            <w:r>
              <w:rPr/>
              <w:t>Weighted</w:t>
              <w:br/>
              <w:t>average</w:t>
              <w:br/>
              <w:t>exercise price</w:t>
              <w:b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pPr>
            <w:r>
              <w:rPr/>
              <w:t>Number of</w:t>
              <w:br/>
              <w:t>options</w:t>
              <w:br/>
              <w:t>outstanding</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pPr>
            <w:r>
              <w:rPr/>
              <w:t>Number of</w:t>
              <w:br/>
              <w:t>options</w:t>
              <w:br/>
              <w:t>outstanding</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400" w:type="dxa"/>
            <w:tcBorders>
              <w:top w:val="single" w:sz="6" w:space="0" w:color="000000"/>
            </w:tcBorders>
            <w:shd w:fill="E6EFFF" w:val="clear"/>
            <w:tcMar>
              <w:top w:w="28" w:type="dxa"/>
            </w:tcMar>
            <w:vAlign w:val="center"/>
          </w:tcPr>
          <w:p>
            <w:pPr>
              <w:pStyle w:val="TableContents"/>
              <w:bidi w:val="0"/>
              <w:spacing w:before="0" w:after="283"/>
              <w:jc w:val="right"/>
              <w:rPr/>
            </w:pPr>
            <w:r>
              <w:rPr/>
              <w:t>0.0175</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805" w:type="dxa"/>
            <w:tcBorders>
              <w:top w:val="single" w:sz="6" w:space="0" w:color="000000"/>
            </w:tcBorders>
            <w:shd w:fill="E6EFFF" w:val="clear"/>
            <w:tcMar>
              <w:top w:w="28" w:type="dxa"/>
            </w:tcMar>
            <w:vAlign w:val="center"/>
          </w:tcPr>
          <w:p>
            <w:pPr>
              <w:pStyle w:val="TableContents"/>
              <w:bidi w:val="0"/>
              <w:spacing w:before="0" w:after="283"/>
              <w:jc w:val="right"/>
              <w:rPr/>
            </w:pPr>
            <w:r>
              <w:rPr/>
              <w:t>12,885,100</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055" w:type="dxa"/>
            <w:tcBorders>
              <w:top w:val="single" w:sz="6" w:space="0" w:color="000000"/>
            </w:tcBorders>
            <w:shd w:fill="E6EFFF" w:val="clear"/>
            <w:tcMar>
              <w:top w:w="28" w:type="dxa"/>
            </w:tcMar>
            <w:vAlign w:val="center"/>
          </w:tcPr>
          <w:p>
            <w:pPr>
              <w:pStyle w:val="TableContents"/>
              <w:bidi w:val="0"/>
              <w:spacing w:before="0" w:after="283"/>
              <w:jc w:val="right"/>
              <w:rPr/>
            </w:pPr>
            <w:r>
              <w:rPr/>
              <w:t>7.6</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310" w:type="dxa"/>
            <w:tcBorders>
              <w:top w:val="single" w:sz="6" w:space="0" w:color="000000"/>
            </w:tcBorders>
            <w:shd w:fill="E6EFFF" w:val="clear"/>
            <w:tcMar>
              <w:top w:w="28" w:type="dxa"/>
            </w:tcMar>
            <w:vAlign w:val="center"/>
          </w:tcPr>
          <w:p>
            <w:pPr>
              <w:pStyle w:val="TableContents"/>
              <w:bidi w:val="0"/>
              <w:spacing w:before="0" w:after="283"/>
              <w:jc w:val="right"/>
              <w:rPr/>
            </w:pPr>
            <w:r>
              <w:rPr/>
              <w:t>0.0175</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115" w:type="dxa"/>
            <w:tcBorders>
              <w:top w:val="single" w:sz="6" w:space="0" w:color="000000"/>
            </w:tcBorders>
            <w:shd w:fill="E6EFFF" w:val="clear"/>
            <w:tcMar>
              <w:top w:w="28" w:type="dxa"/>
            </w:tcMar>
            <w:vAlign w:val="center"/>
          </w:tcPr>
          <w:p>
            <w:pPr>
              <w:pStyle w:val="TableContents"/>
              <w:bidi w:val="0"/>
              <w:spacing w:before="0" w:after="283"/>
              <w:jc w:val="right"/>
              <w:rPr/>
            </w:pPr>
            <w:r>
              <w:rPr/>
              <w:t>12,885,100</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115" w:type="dxa"/>
            <w:tcBorders>
              <w:top w:val="single" w:sz="6" w:space="0" w:color="000000"/>
            </w:tcBorders>
            <w:shd w:fill="E6EFFF" w:val="clear"/>
            <w:tcMar>
              <w:top w:w="28" w:type="dxa"/>
            </w:tcMar>
            <w:vAlign w:val="center"/>
          </w:tcPr>
          <w:p>
            <w:pPr>
              <w:pStyle w:val="TableContents"/>
              <w:bidi w:val="0"/>
              <w:spacing w:before="0" w:after="283"/>
              <w:jc w:val="right"/>
              <w:rPr/>
            </w:pPr>
            <w:r>
              <w:rPr/>
              <w:t>-</w:t>
            </w:r>
          </w:p>
        </w:tc>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0.0035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pPr>
            <w:r>
              <w:rPr/>
              <w:t>2,891,300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0.0035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2,891,300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5" w:type="dxa"/>
            <w:tcBorders/>
            <w:shd w:fill="E6EFFF" w:val="clear"/>
            <w:vAlign w:val="center"/>
          </w:tcPr>
          <w:p>
            <w:pPr>
              <w:pStyle w:val="TableContents"/>
              <w:bidi w:val="0"/>
              <w:spacing w:before="0" w:after="283"/>
              <w:jc w:val="left"/>
              <w:rPr/>
            </w:pPr>
            <w:r>
              <w:rPr/>
              <w:t> </w:t>
            </w:r>
          </w:p>
        </w:tc>
        <w:tc>
          <w:tcPr>
            <w:tcW w:w="1400" w:type="dxa"/>
            <w:tcBorders/>
            <w:shd w:fill="E6EFFF" w:val="clear"/>
            <w:vAlign w:val="center"/>
          </w:tcPr>
          <w:p>
            <w:pPr>
              <w:pStyle w:val="TableContents"/>
              <w:bidi w:val="0"/>
              <w:spacing w:before="0" w:after="283"/>
              <w:jc w:val="right"/>
              <w:rPr/>
            </w:pPr>
            <w:r>
              <w:rPr/>
              <w:t>0.46</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805" w:type="dxa"/>
            <w:tcBorders/>
            <w:shd w:fill="E6EFFF" w:val="clear"/>
            <w:vAlign w:val="center"/>
          </w:tcPr>
          <w:p>
            <w:pPr>
              <w:pStyle w:val="TableContents"/>
              <w:bidi w:val="0"/>
              <w:spacing w:before="0" w:after="283"/>
              <w:jc w:val="right"/>
              <w:rPr/>
            </w:pPr>
            <w:r>
              <w:rPr/>
              <w:t>130,433</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0.2</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10" w:type="dxa"/>
            <w:tcBorders/>
            <w:shd w:fill="E6EFFF" w:val="clear"/>
            <w:vAlign w:val="center"/>
          </w:tcPr>
          <w:p>
            <w:pPr>
              <w:pStyle w:val="TableContents"/>
              <w:bidi w:val="0"/>
              <w:spacing w:before="0" w:after="283"/>
              <w:jc w:val="right"/>
              <w:rPr/>
            </w:pPr>
            <w:r>
              <w:rPr/>
              <w:t>0.46</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130,433</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w:t>
            </w:r>
          </w:p>
        </w:tc>
        <w:tc>
          <w:tcPr>
            <w:tcW w:w="75" w:type="dxa"/>
            <w:tcBorders/>
            <w:shd w:fill="E6EF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pPr>
            <w:r>
              <w:rPr/>
              <w:t>1,090,000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0.49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1,090,000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5" w:type="dxa"/>
            <w:tcBorders/>
            <w:shd w:fill="E6EFFF" w:val="clear"/>
            <w:vAlign w:val="center"/>
          </w:tcPr>
          <w:p>
            <w:pPr>
              <w:pStyle w:val="TableContents"/>
              <w:bidi w:val="0"/>
              <w:spacing w:before="0" w:after="283"/>
              <w:jc w:val="left"/>
              <w:rPr/>
            </w:pPr>
            <w:r>
              <w:rPr/>
              <w:t> </w:t>
            </w:r>
          </w:p>
        </w:tc>
        <w:tc>
          <w:tcPr>
            <w:tcW w:w="1400" w:type="dxa"/>
            <w:tcBorders/>
            <w:shd w:fill="E6EFFF" w:val="clear"/>
            <w:vAlign w:val="center"/>
          </w:tcPr>
          <w:p>
            <w:pPr>
              <w:pStyle w:val="TableContents"/>
              <w:bidi w:val="0"/>
              <w:spacing w:before="0" w:after="283"/>
              <w:jc w:val="right"/>
              <w:rPr/>
            </w:pPr>
            <w:r>
              <w:rPr/>
              <w:t>0.40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805" w:type="dxa"/>
            <w:tcBorders/>
            <w:shd w:fill="E6EFFF" w:val="clear"/>
            <w:vAlign w:val="center"/>
          </w:tcPr>
          <w:p>
            <w:pPr>
              <w:pStyle w:val="TableContents"/>
              <w:bidi w:val="0"/>
              <w:spacing w:before="0" w:after="283"/>
              <w:jc w:val="right"/>
              <w:rPr/>
            </w:pPr>
            <w:r>
              <w:rPr/>
              <w:t>150,000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9.5</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10" w:type="dxa"/>
            <w:tcBorders/>
            <w:shd w:fill="E6EFFF" w:val="clear"/>
            <w:vAlign w:val="center"/>
          </w:tcPr>
          <w:p>
            <w:pPr>
              <w:pStyle w:val="TableContents"/>
              <w:bidi w:val="0"/>
              <w:spacing w:before="0" w:after="283"/>
              <w:jc w:val="right"/>
              <w:rPr/>
            </w:pPr>
            <w:r>
              <w:rPr/>
              <w:t>0.40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75,000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75,000</w:t>
            </w:r>
          </w:p>
        </w:tc>
        <w:tc>
          <w:tcPr>
            <w:tcW w:w="75" w:type="dxa"/>
            <w:tcBorders/>
            <w:shd w:fill="E6EF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0.435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0.435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5" w:type="dxa"/>
            <w:tcBorders/>
            <w:shd w:fill="E6EFFF" w:val="clear"/>
            <w:vAlign w:val="center"/>
          </w:tcPr>
          <w:p>
            <w:pPr>
              <w:pStyle w:val="TableContents"/>
              <w:bidi w:val="0"/>
              <w:spacing w:before="0" w:after="283"/>
              <w:jc w:val="left"/>
              <w:rPr/>
            </w:pPr>
            <w:r>
              <w:rPr/>
              <w:t> </w:t>
            </w:r>
          </w:p>
        </w:tc>
        <w:tc>
          <w:tcPr>
            <w:tcW w:w="1400" w:type="dxa"/>
            <w:tcBorders/>
            <w:shd w:fill="E6EFFF" w:val="clear"/>
            <w:vAlign w:val="center"/>
          </w:tcPr>
          <w:p>
            <w:pPr>
              <w:pStyle w:val="TableContents"/>
              <w:bidi w:val="0"/>
              <w:spacing w:before="0" w:after="283"/>
              <w:jc w:val="right"/>
              <w:rPr/>
            </w:pPr>
            <w:r>
              <w:rPr/>
              <w:t>0.245</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805" w:type="dxa"/>
            <w:tcBorders/>
            <w:shd w:fill="E6EFFF" w:val="clear"/>
            <w:vAlign w:val="center"/>
          </w:tcPr>
          <w:p>
            <w:pPr>
              <w:pStyle w:val="TableContents"/>
              <w:bidi w:val="0"/>
              <w:spacing w:before="0" w:after="283"/>
              <w:jc w:val="right"/>
              <w:rPr/>
            </w:pPr>
            <w:r>
              <w:rPr/>
              <w:t>1,700,000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9.9</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10" w:type="dxa"/>
            <w:tcBorders/>
            <w:shd w:fill="E6EFFF" w:val="clear"/>
            <w:vAlign w:val="center"/>
          </w:tcPr>
          <w:p>
            <w:pPr>
              <w:pStyle w:val="TableContents"/>
              <w:bidi w:val="0"/>
              <w:spacing w:before="0" w:after="283"/>
              <w:jc w:val="right"/>
              <w:rPr/>
            </w:pPr>
            <w:r>
              <w:rPr/>
              <w:t>0.245</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1,700,000</w:t>
            </w:r>
          </w:p>
        </w:tc>
        <w:tc>
          <w:tcPr>
            <w:tcW w:w="75" w:type="dxa"/>
            <w:tcBorders/>
            <w:shd w:fill="E6EFFF" w:val="clear"/>
            <w:vAlign w:val="center"/>
          </w:tcPr>
          <w:p>
            <w:pPr>
              <w:pStyle w:val="TableContents"/>
              <w:bidi w:val="0"/>
              <w:spacing w:before="0" w:after="283"/>
              <w:jc w:val="left"/>
              <w:rPr/>
            </w:pPr>
            <w:r>
              <w:rPr/>
              <w:t> </w:t>
            </w:r>
          </w:p>
        </w:tc>
      </w:tr>
      <w:tr>
        <w:trPr/>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c>
          <w:tcPr>
            <w:tcW w:w="1400" w:type="dxa"/>
            <w:tcBorders>
              <w:bottom w:val="single" w:sz="6" w:space="0" w:color="000000"/>
            </w:tcBorders>
            <w:tcMar>
              <w:bottom w:w="28" w:type="dxa"/>
            </w:tcMar>
            <w:vAlign w:val="center"/>
          </w:tcPr>
          <w:p>
            <w:pPr>
              <w:pStyle w:val="TableContents"/>
              <w:bidi w:val="0"/>
              <w:spacing w:before="0" w:after="283"/>
              <w:jc w:val="right"/>
              <w:rPr/>
            </w:pPr>
            <w:r>
              <w:rPr/>
              <w:t>0.30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05" w:type="dxa"/>
            <w:tcBorders>
              <w:bottom w:val="single" w:sz="6" w:space="0" w:color="000000"/>
            </w:tcBorders>
            <w:tcMar>
              <w:bottom w:w="28" w:type="dxa"/>
            </w:tcMar>
            <w:vAlign w:val="center"/>
          </w:tcPr>
          <w:p>
            <w:pPr>
              <w:pStyle w:val="TableContents"/>
              <w:bidi w:val="0"/>
              <w:spacing w:before="0" w:after="283"/>
              <w:jc w:val="right"/>
              <w:rPr/>
            </w:pPr>
            <w:r>
              <w:rPr/>
              <w:t>1,075,000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tcMar>
              <w:bottom w:w="28" w:type="dxa"/>
            </w:tcMar>
            <w:vAlign w:val="center"/>
          </w:tcPr>
          <w:p>
            <w:pPr>
              <w:pStyle w:val="TableContents"/>
              <w:bidi w:val="0"/>
              <w:spacing w:before="0" w:after="283"/>
              <w:jc w:val="right"/>
              <w:rPr/>
            </w:pPr>
            <w:r>
              <w:rPr/>
              <w:t>10.0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tcMar>
              <w:bottom w:w="28" w:type="dxa"/>
            </w:tcMar>
            <w:vAlign w:val="center"/>
          </w:tcPr>
          <w:p>
            <w:pPr>
              <w:pStyle w:val="TableContents"/>
              <w:bidi w:val="0"/>
              <w:spacing w:before="0" w:after="283"/>
              <w:jc w:val="right"/>
              <w:rPr/>
            </w:pPr>
            <w:r>
              <w:rPr/>
              <w:t>0.30</w:t>
            </w:r>
          </w:p>
        </w:tc>
        <w:tc>
          <w:tcPr>
            <w:tcW w:w="60" w:type="dxa"/>
            <w:tcBorders/>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5" w:type="dxa"/>
            <w:tcBorders>
              <w:bottom w:val="single" w:sz="6" w:space="0" w:color="000000"/>
            </w:tcBorders>
            <w:tcMar>
              <w:bottom w:w="28" w:type="dxa"/>
            </w:tcMar>
            <w:vAlign w:val="center"/>
          </w:tcPr>
          <w:p>
            <w:pPr>
              <w:pStyle w:val="TableContents"/>
              <w:bidi w:val="0"/>
              <w:spacing w:before="0" w:after="283"/>
              <w:jc w:val="righ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5" w:type="dxa"/>
            <w:tcBorders>
              <w:bottom w:val="single" w:sz="6" w:space="0" w:color="000000"/>
            </w:tcBorders>
            <w:tcMar>
              <w:bottom w:w="28" w:type="dxa"/>
            </w:tcMar>
            <w:vAlign w:val="center"/>
          </w:tcPr>
          <w:p>
            <w:pPr>
              <w:pStyle w:val="TableContents"/>
              <w:bidi w:val="0"/>
              <w:spacing w:before="0" w:after="283"/>
              <w:jc w:val="right"/>
              <w:rPr/>
            </w:pPr>
            <w:r>
              <w:rPr/>
              <w:t>1,075,000</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5" w:type="dxa"/>
            <w:tcBorders/>
            <w:shd w:fill="E6EFFF" w:val="clear"/>
            <w:vAlign w:val="center"/>
          </w:tcPr>
          <w:p>
            <w:pPr>
              <w:pStyle w:val="TableContents"/>
              <w:bidi w:val="0"/>
              <w:spacing w:before="0" w:after="283"/>
              <w:jc w:val="left"/>
              <w:rPr/>
            </w:pPr>
            <w:r>
              <w:rPr/>
              <w:t> </w:t>
            </w:r>
          </w:p>
        </w:tc>
        <w:tc>
          <w:tcPr>
            <w:tcW w:w="1400" w:type="dxa"/>
            <w:tcBorders/>
            <w:shd w:fill="E6EFFF" w:val="clear"/>
            <w:vAlign w:val="center"/>
          </w:tcPr>
          <w:p>
            <w:pPr>
              <w:pStyle w:val="TableContents"/>
              <w:bidi w:val="0"/>
              <w:spacing w:before="0" w:after="283"/>
              <w:jc w:val="right"/>
              <w:rPr/>
            </w:pPr>
            <w:r>
              <w:rPr/>
              <w:t> </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805" w:type="dxa"/>
            <w:tcBorders/>
            <w:shd w:fill="E6EFFF" w:val="clear"/>
            <w:vAlign w:val="center"/>
          </w:tcPr>
          <w:p>
            <w:pPr>
              <w:pStyle w:val="TableContents"/>
              <w:bidi w:val="0"/>
              <w:spacing w:before="0" w:after="283"/>
              <w:jc w:val="right"/>
              <w:rPr/>
            </w:pPr>
            <w:r>
              <w:rPr/>
              <w:t> </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 </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10" w:type="dxa"/>
            <w:tcBorders/>
            <w:shd w:fill="E6EFFF" w:val="clear"/>
            <w:vAlign w:val="center"/>
          </w:tcPr>
          <w:p>
            <w:pPr>
              <w:pStyle w:val="TableContents"/>
              <w:bidi w:val="0"/>
              <w:spacing w:before="0" w:after="283"/>
              <w:jc w:val="right"/>
              <w:rPr/>
            </w:pPr>
            <w:r>
              <w:rPr/>
              <w:t> </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 </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 </w:t>
            </w:r>
          </w:p>
        </w:tc>
        <w:tc>
          <w:tcPr>
            <w:tcW w:w="75" w:type="dxa"/>
            <w:tcBorders/>
            <w:shd w:fill="E6EFFF" w:val="clear"/>
            <w:vAlign w:val="center"/>
          </w:tcPr>
          <w:p>
            <w:pPr>
              <w:pStyle w:val="TableContents"/>
              <w:bidi w:val="0"/>
              <w:spacing w:before="0" w:after="283"/>
              <w:jc w:val="left"/>
              <w:rPr/>
            </w:pPr>
            <w:r>
              <w:rPr/>
              <w:t> </w:t>
            </w:r>
          </w:p>
        </w:tc>
      </w:tr>
      <w:tr>
        <w:trPr/>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805" w:type="dxa"/>
            <w:tcBorders>
              <w:bottom w:val="single" w:sz="12" w:space="0" w:color="000000"/>
            </w:tcBorders>
            <w:tcMar>
              <w:bottom w:w="28" w:type="dxa"/>
            </w:tcMar>
            <w:vAlign w:val="center"/>
          </w:tcPr>
          <w:p>
            <w:pPr>
              <w:pStyle w:val="TableContents"/>
              <w:bidi w:val="0"/>
              <w:spacing w:before="0" w:after="283"/>
              <w:jc w:val="right"/>
              <w:rPr/>
            </w:pPr>
            <w:r>
              <w:rPr/>
              <w:t>19,951,833</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8.1</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0" w:type="dxa"/>
            <w:tcBorders>
              <w:bottom w:val="single" w:sz="12" w:space="0" w:color="000000"/>
            </w:tcBorders>
            <w:tcMar>
              <w:bottom w:w="28" w:type="dxa"/>
            </w:tcMar>
            <w:vAlign w:val="center"/>
          </w:tcPr>
          <w:p>
            <w:pPr>
              <w:pStyle w:val="TableContents"/>
              <w:bidi w:val="0"/>
              <w:spacing w:before="0" w:after="283"/>
              <w:jc w:val="right"/>
              <w:rPr/>
            </w:pPr>
            <w:r>
              <w:rPr/>
              <w:t>0.082</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right"/>
              <w:rPr/>
            </w:pPr>
            <w:r>
              <w:rPr/>
              <w:t>17,101,833</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right"/>
              <w:rPr/>
            </w:pPr>
            <w:r>
              <w:rPr/>
              <w:t>2,850,000</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ind w:left="520" w:right="0" w:hanging="0"/>
        <w:jc w:val="both"/>
        <w:rPr/>
      </w:pPr>
      <w:r>
        <w:rPr/>
        <w:t>During the year ended February 28, 2023, the Company recorded share-based payment of $1,188,611 (2022 - $703,845).</w:t>
      </w:r>
    </w:p>
    <w:p>
      <w:pPr>
        <w:pStyle w:val="TextBody"/>
        <w:bidi w:val="0"/>
        <w:ind w:left="518" w:right="0" w:hanging="0"/>
        <w:jc w:val="both"/>
        <w:rPr/>
      </w:pPr>
      <w:r>
        <w:rPr/>
        <w:t>The fair values for stock options granted have been estimated using the Black-Scholes option-pricing model assuming no expected dividends, no forfeitures, and the following weighted average assumptions:</w:t>
      </w:r>
    </w:p>
    <w:tbl>
      <w:tblPr>
        <w:tblW w:w="6420" w:type="dxa"/>
        <w:jc w:val="left"/>
        <w:tblInd w:w="480" w:type="dxa"/>
        <w:tblLayout w:type="fixed"/>
        <w:tblCellMar>
          <w:top w:w="0" w:type="dxa"/>
          <w:left w:w="0" w:type="dxa"/>
          <w:bottom w:w="0" w:type="dxa"/>
          <w:right w:w="0" w:type="dxa"/>
        </w:tblCellMar>
      </w:tblPr>
      <w:tblGrid>
        <w:gridCol w:w="3755"/>
        <w:gridCol w:w="1325"/>
        <w:gridCol w:w="1340"/>
      </w:tblGrid>
      <w:tr>
        <w:trPr/>
        <w:tc>
          <w:tcPr>
            <w:tcW w:w="375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pPr>
            <w:r>
              <w:rPr/>
              <w:t>Year</w:t>
              <w:br/>
              <w:t>ended</w:t>
              <w:br/>
              <w:t>February 28,</w:t>
            </w:r>
          </w:p>
        </w:tc>
        <w:tc>
          <w:tcPr>
            <w:tcW w:w="1340" w:type="dxa"/>
            <w:tcBorders/>
            <w:vAlign w:val="center"/>
          </w:tcPr>
          <w:p>
            <w:pPr>
              <w:pStyle w:val="TableContents"/>
              <w:bidi w:val="0"/>
              <w:spacing w:before="0" w:after="283"/>
              <w:jc w:val="center"/>
              <w:rPr/>
            </w:pPr>
            <w:r>
              <w:rPr/>
              <w:t>Year</w:t>
              <w:br/>
              <w:t>ended</w:t>
              <w:br/>
              <w:t>February 28,</w:t>
            </w:r>
          </w:p>
        </w:tc>
      </w:tr>
      <w:tr>
        <w:trPr/>
        <w:tc>
          <w:tcPr>
            <w:tcW w:w="3755" w:type="dxa"/>
            <w:tcBorders/>
            <w:vAlign w:val="center"/>
          </w:tcPr>
          <w:p>
            <w:pPr>
              <w:pStyle w:val="TableContents"/>
              <w:bidi w:val="0"/>
              <w:spacing w:before="0" w:after="0"/>
              <w:jc w:val="left"/>
              <w:rPr/>
            </w:pPr>
            <w:r>
              <w:rPr/>
              <w:t> </w:t>
            </w:r>
          </w:p>
        </w:tc>
        <w:tc>
          <w:tcPr>
            <w:tcW w:w="1325" w:type="dxa"/>
            <w:tcBorders>
              <w:bottom w:val="single" w:sz="6" w:space="0" w:color="000000"/>
            </w:tcBorders>
            <w:tcMar>
              <w:bottom w:w="28" w:type="dxa"/>
            </w:tcMar>
            <w:vAlign w:val="center"/>
          </w:tcPr>
          <w:p>
            <w:pPr>
              <w:pStyle w:val="TableContents"/>
              <w:bidi w:val="0"/>
              <w:spacing w:before="0" w:after="283"/>
              <w:jc w:val="center"/>
              <w:rPr/>
            </w:pPr>
            <w:r>
              <w:rPr/>
              <w:t>2023</w:t>
            </w:r>
          </w:p>
        </w:tc>
        <w:tc>
          <w:tcPr>
            <w:tcW w:w="1340" w:type="dxa"/>
            <w:tcBorders>
              <w:bottom w:val="single" w:sz="6" w:space="0" w:color="000000"/>
            </w:tcBorders>
            <w:tcMar>
              <w:bottom w:w="28" w:type="dxa"/>
            </w:tcMar>
            <w:vAlign w:val="center"/>
          </w:tcPr>
          <w:p>
            <w:pPr>
              <w:pStyle w:val="TableContents"/>
              <w:bidi w:val="0"/>
              <w:spacing w:before="0" w:after="283"/>
              <w:jc w:val="center"/>
              <w:rPr/>
            </w:pPr>
            <w:r>
              <w:rPr/>
              <w:t>2022</w:t>
            </w:r>
          </w:p>
        </w:tc>
      </w:tr>
      <w:tr>
        <w:trPr/>
        <w:tc>
          <w:tcPr>
            <w:tcW w:w="3755" w:type="dxa"/>
            <w:tcBorders>
              <w:top w:val="single" w:sz="6" w:space="0" w:color="000000"/>
            </w:tcBorders>
            <w:shd w:fill="E6EFFF" w:val="clear"/>
            <w:tcMar>
              <w:top w:w="28" w:type="dxa"/>
            </w:tcMar>
            <w:vAlign w:val="center"/>
          </w:tcPr>
          <w:p>
            <w:pPr>
              <w:pStyle w:val="TableContents"/>
              <w:bidi w:val="0"/>
              <w:spacing w:before="0" w:after="283"/>
              <w:jc w:val="left"/>
              <w:rPr/>
            </w:pPr>
            <w:r>
              <w:rPr/>
              <w:t>Risk-free interest rate - RTO options</w:t>
            </w:r>
          </w:p>
        </w:tc>
        <w:tc>
          <w:tcPr>
            <w:tcW w:w="1325" w:type="dxa"/>
            <w:tcBorders>
              <w:top w:val="single" w:sz="6" w:space="0" w:color="000000"/>
            </w:tcBorders>
            <w:shd w:fill="E6EFFF" w:val="clear"/>
            <w:tcMar>
              <w:top w:w="28" w:type="dxa"/>
            </w:tcMar>
            <w:vAlign w:val="center"/>
          </w:tcPr>
          <w:p>
            <w:pPr>
              <w:pStyle w:val="TableContents"/>
              <w:bidi w:val="0"/>
              <w:spacing w:before="0" w:after="283"/>
              <w:jc w:val="center"/>
              <w:rPr/>
            </w:pPr>
            <w:r>
              <w:rPr/>
              <w:t>n/a</w:t>
            </w:r>
          </w:p>
        </w:tc>
        <w:tc>
          <w:tcPr>
            <w:tcW w:w="1340" w:type="dxa"/>
            <w:tcBorders>
              <w:top w:val="single" w:sz="6" w:space="0" w:color="000000"/>
            </w:tcBorders>
            <w:shd w:fill="E6EFFF" w:val="clear"/>
            <w:tcMar>
              <w:top w:w="28" w:type="dxa"/>
            </w:tcMar>
            <w:vAlign w:val="center"/>
          </w:tcPr>
          <w:p>
            <w:pPr>
              <w:pStyle w:val="TableContents"/>
              <w:bidi w:val="0"/>
              <w:spacing w:before="0" w:after="283"/>
              <w:jc w:val="center"/>
              <w:rPr/>
            </w:pPr>
            <w:r>
              <w:rPr/>
              <w:t>0.44%</w:t>
            </w:r>
          </w:p>
        </w:tc>
      </w:tr>
      <w:tr>
        <w:trPr/>
        <w:tc>
          <w:tcPr>
            <w:tcW w:w="3755" w:type="dxa"/>
            <w:tcBorders/>
            <w:vAlign w:val="center"/>
          </w:tcPr>
          <w:p>
            <w:pPr>
              <w:pStyle w:val="TableContents"/>
              <w:bidi w:val="0"/>
              <w:spacing w:before="0" w:after="283"/>
              <w:jc w:val="left"/>
              <w:rPr/>
            </w:pPr>
            <w:r>
              <w:rPr/>
              <w:t>Risk-free interest rate - all other options</w:t>
            </w:r>
          </w:p>
        </w:tc>
        <w:tc>
          <w:tcPr>
            <w:tcW w:w="1325" w:type="dxa"/>
            <w:tcBorders/>
            <w:vAlign w:val="center"/>
          </w:tcPr>
          <w:p>
            <w:pPr>
              <w:pStyle w:val="TableContents"/>
              <w:bidi w:val="0"/>
              <w:spacing w:before="0" w:after="283"/>
              <w:jc w:val="center"/>
              <w:rPr/>
            </w:pPr>
            <w:r>
              <w:rPr/>
              <w:t>2.48%-2.65%</w:t>
            </w:r>
          </w:p>
        </w:tc>
        <w:tc>
          <w:tcPr>
            <w:tcW w:w="1340" w:type="dxa"/>
            <w:tcBorders/>
            <w:vAlign w:val="center"/>
          </w:tcPr>
          <w:p>
            <w:pPr>
              <w:pStyle w:val="TableContents"/>
              <w:bidi w:val="0"/>
              <w:spacing w:before="0" w:after="283"/>
              <w:jc w:val="center"/>
              <w:rPr/>
            </w:pPr>
            <w:r>
              <w:rPr/>
              <w:t>0.76%-1.64%</w:t>
            </w:r>
          </w:p>
        </w:tc>
      </w:tr>
      <w:tr>
        <w:trPr/>
        <w:tc>
          <w:tcPr>
            <w:tcW w:w="3755" w:type="dxa"/>
            <w:tcBorders/>
            <w:shd w:fill="E6EFFF" w:val="clear"/>
            <w:vAlign w:val="center"/>
          </w:tcPr>
          <w:p>
            <w:pPr>
              <w:pStyle w:val="TableContents"/>
              <w:bidi w:val="0"/>
              <w:spacing w:before="0" w:after="283"/>
              <w:jc w:val="left"/>
              <w:rPr/>
            </w:pPr>
            <w:r>
              <w:rPr/>
              <w:t>Expected volatility</w:t>
            </w:r>
          </w:p>
        </w:tc>
        <w:tc>
          <w:tcPr>
            <w:tcW w:w="1325" w:type="dxa"/>
            <w:tcBorders/>
            <w:shd w:fill="E6EFFF" w:val="clear"/>
            <w:vAlign w:val="center"/>
          </w:tcPr>
          <w:p>
            <w:pPr>
              <w:pStyle w:val="TableContents"/>
              <w:bidi w:val="0"/>
              <w:spacing w:before="0" w:after="283"/>
              <w:jc w:val="center"/>
              <w:rPr/>
            </w:pPr>
            <w:r>
              <w:rPr/>
              <w:t>100%</w:t>
            </w:r>
          </w:p>
        </w:tc>
        <w:tc>
          <w:tcPr>
            <w:tcW w:w="1340" w:type="dxa"/>
            <w:tcBorders/>
            <w:shd w:fill="E6EFFF" w:val="clear"/>
            <w:vAlign w:val="center"/>
          </w:tcPr>
          <w:p>
            <w:pPr>
              <w:pStyle w:val="TableContents"/>
              <w:bidi w:val="0"/>
              <w:spacing w:before="0" w:after="283"/>
              <w:jc w:val="center"/>
              <w:rPr/>
            </w:pPr>
            <w:r>
              <w:rPr/>
              <w:t>100%</w:t>
            </w:r>
          </w:p>
        </w:tc>
      </w:tr>
      <w:tr>
        <w:trPr/>
        <w:tc>
          <w:tcPr>
            <w:tcW w:w="3755" w:type="dxa"/>
            <w:tcBorders>
              <w:bottom w:val="single" w:sz="12" w:space="0" w:color="000000"/>
            </w:tcBorders>
            <w:tcMar>
              <w:bottom w:w="28" w:type="dxa"/>
            </w:tcMar>
            <w:vAlign w:val="center"/>
          </w:tcPr>
          <w:p>
            <w:pPr>
              <w:pStyle w:val="TableContents"/>
              <w:bidi w:val="0"/>
              <w:spacing w:before="0" w:after="283"/>
              <w:jc w:val="left"/>
              <w:rPr/>
            </w:pPr>
            <w:r>
              <w:rPr/>
              <w:t>Expected option life (in years)</w:t>
            </w:r>
          </w:p>
        </w:tc>
        <w:tc>
          <w:tcPr>
            <w:tcW w:w="1325" w:type="dxa"/>
            <w:tcBorders>
              <w:bottom w:val="single" w:sz="12" w:space="0" w:color="000000"/>
            </w:tcBorders>
            <w:tcMar>
              <w:bottom w:w="28" w:type="dxa"/>
            </w:tcMar>
            <w:vAlign w:val="center"/>
          </w:tcPr>
          <w:p>
            <w:pPr>
              <w:pStyle w:val="TableContents"/>
              <w:bidi w:val="0"/>
              <w:spacing w:before="0" w:after="283"/>
              <w:jc w:val="center"/>
              <w:rPr/>
            </w:pPr>
            <w:r>
              <w:rPr/>
              <w:t>5</w:t>
            </w:r>
          </w:p>
        </w:tc>
        <w:tc>
          <w:tcPr>
            <w:tcW w:w="1340" w:type="dxa"/>
            <w:tcBorders>
              <w:bottom w:val="single" w:sz="12" w:space="0" w:color="000000"/>
            </w:tcBorders>
            <w:tcMar>
              <w:bottom w:w="28" w:type="dxa"/>
            </w:tcMar>
            <w:vAlign w:val="center"/>
          </w:tcPr>
          <w:p>
            <w:pPr>
              <w:pStyle w:val="TableContents"/>
              <w:bidi w:val="0"/>
              <w:spacing w:before="0" w:after="283"/>
              <w:jc w:val="center"/>
              <w:rPr/>
            </w:pPr>
            <w:r>
              <w:rPr/>
              <w:t>2.5 - 10</w:t>
            </w:r>
          </w:p>
        </w:tc>
      </w:tr>
    </w:tbl>
    <w:p>
      <w:pPr>
        <w:pStyle w:val="TextBody"/>
        <w:bidi w:val="0"/>
        <w:ind w:left="48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13.</w:t>
      </w:r>
      <w:r>
        <w:rPr/>
        <w:t> </w:t>
      </w:r>
      <w:r>
        <w:rPr>
          <w:b/>
        </w:rPr>
        <w:t>Fair Value Measurements and Risk Management</w:t>
      </w:r>
    </w:p>
    <w:p>
      <w:pPr>
        <w:pStyle w:val="TextBody"/>
        <w:bidi w:val="0"/>
        <w:ind w:left="480" w:right="0" w:hanging="0"/>
        <w:jc w:val="both"/>
        <w:rPr/>
      </w:pPr>
      <w:r>
        <w:rPr>
          <w:b/>
        </w:rPr>
        <w:t>(a)</w:t>
      </w:r>
      <w:r>
        <w:rPr/>
        <w:t> </w:t>
      </w:r>
      <w:r>
        <w:rPr>
          <w:b/>
        </w:rPr>
        <w:t>Fair Values</w:t>
      </w:r>
    </w:p>
    <w:p>
      <w:pPr>
        <w:pStyle w:val="TextBody"/>
        <w:bidi w:val="0"/>
        <w:ind w:left="820" w:right="0" w:hanging="0"/>
        <w:jc w:val="both"/>
        <w:rPr/>
      </w:pPr>
      <w:r>
        <w:rPr/>
        <w:t>The fair values of the Company's financial instruments, which include cash, trade and other receivables (excluding sales tax receivables), and accounts payable, accrued liabilities and lease liabilities, approximate their carrying values due to the relatively short-term maturity of these instruments.</w:t>
      </w:r>
    </w:p>
    <w:p>
      <w:pPr>
        <w:pStyle w:val="TextBody"/>
        <w:bidi w:val="0"/>
        <w:ind w:left="820" w:right="0" w:hanging="0"/>
        <w:jc w:val="both"/>
        <w:rPr/>
      </w:pPr>
      <w:r>
        <w:rPr/>
        <w:t>Notes payable and restricted cash are carried at amortized cost.</w:t>
      </w:r>
    </w:p>
    <w:p>
      <w:pPr>
        <w:pStyle w:val="TextBody"/>
        <w:bidi w:val="0"/>
        <w:ind w:left="820" w:right="0" w:hanging="0"/>
        <w:jc w:val="both"/>
        <w:rPr/>
      </w:pPr>
      <w:r>
        <w:rPr/>
        <w:t>Derivative liabilities are carried at fair value.</w:t>
      </w:r>
    </w:p>
    <w:p>
      <w:pPr>
        <w:pStyle w:val="TextBody"/>
        <w:bidi w:val="0"/>
        <w:spacing w:before="0" w:after="283"/>
        <w:ind w:left="820" w:right="0" w:hanging="0"/>
        <w:jc w:val="both"/>
        <w:rPr>
          <w:u w:val="single"/>
        </w:rPr>
      </w:pPr>
      <w:r>
        <w:rPr>
          <w:u w:val="single"/>
        </w:rPr>
        <w:t>Fair value hierarchy</w:t>
      </w:r>
    </w:p>
    <w:p>
      <w:pPr>
        <w:pStyle w:val="TextBody"/>
        <w:bidi w:val="0"/>
        <w:ind w:left="820" w:right="0" w:hanging="0"/>
        <w:jc w:val="both"/>
        <w:rPr/>
      </w:pPr>
      <w:r>
        <w:rPr/>
        <w:t>The following provides a description of financial instruments that are measured subsequent to initial recognition at fair value, grouped into Levels 1 to 3 based on the degree to which the fair value is observable:</w:t>
      </w:r>
    </w:p>
    <w:p>
      <w:pPr>
        <w:pStyle w:val="TextBody"/>
        <w:bidi w:val="0"/>
        <w:ind w:left="820" w:right="0" w:hanging="0"/>
        <w:jc w:val="both"/>
        <w:rPr/>
      </w:pPr>
      <w:r>
        <w:rPr/>
        <w:t>Level 1 fair value measurements are those derived from quoted prices (unadjusted) in active markets for identical assets or liabilities;</w:t>
      </w:r>
    </w:p>
    <w:p>
      <w:pPr>
        <w:pStyle w:val="TextBody"/>
        <w:bidi w:val="0"/>
        <w:ind w:left="820" w:right="0" w:hanging="0"/>
        <w:jc w:val="both"/>
        <w:rPr/>
      </w:pPr>
      <w:r>
        <w:rPr/>
        <w:t>Level 2 fair value measurements are those derived from inputs other than quoted prices included within Level 1 that are observable for the asset or liability, either directly (i.e. as prices) or indirectly (i.e. derived from prices); and</w:t>
      </w:r>
    </w:p>
    <w:p>
      <w:pPr>
        <w:pStyle w:val="TextBody"/>
        <w:bidi w:val="0"/>
        <w:ind w:left="820" w:right="0" w:hanging="0"/>
        <w:jc w:val="both"/>
        <w:rPr/>
      </w:pPr>
      <w:r>
        <w:rPr/>
        <w:t>Level 3 fair value measurements are those derived from valuation techniques that include inputs for the asset or liability that are not based on observable market data (unobservable inputs).</w:t>
      </w:r>
    </w:p>
    <w:p>
      <w:pPr>
        <w:pStyle w:val="TextBody"/>
        <w:bidi w:val="0"/>
        <w:ind w:left="820" w:right="0" w:hanging="0"/>
        <w:jc w:val="both"/>
        <w:rPr/>
      </w:pPr>
      <w:r>
        <w:rPr/>
        <w:t>Derivative liabilities are measured as a level 3 fair value measurement.</w:t>
      </w:r>
    </w:p>
    <w:p>
      <w:pPr>
        <w:pStyle w:val="TextBody"/>
        <w:bidi w:val="0"/>
        <w:ind w:left="480" w:right="0" w:hanging="0"/>
        <w:jc w:val="both"/>
        <w:rPr/>
      </w:pPr>
      <w:r>
        <w:rPr>
          <w:b/>
        </w:rPr>
        <w:t>(b)</w:t>
      </w:r>
      <w:r>
        <w:rPr/>
        <w:t> </w:t>
      </w:r>
      <w:r>
        <w:rPr>
          <w:b/>
        </w:rPr>
        <w:t>Credit Risk</w:t>
      </w:r>
    </w:p>
    <w:p>
      <w:pPr>
        <w:pStyle w:val="TextBody"/>
        <w:bidi w:val="0"/>
        <w:ind w:left="820" w:right="0" w:hanging="0"/>
        <w:jc w:val="both"/>
        <w:rPr/>
      </w:pPr>
      <w:r>
        <w:rPr/>
        <w:t>Financial instruments that potentially subject the Company to a concentration of credit risk consist primarily of cash and trade and other receivables. The Company limits its exposure to credit loss by placing its cash with high credit quality financial institutions. For trade and other receivables, the Company limits its exposure to credit risk by dealing with what management believes to be financially sound counter parties. The carrying amount of financial assets represents the maximum credit exposure.</w:t>
      </w:r>
    </w:p>
    <w:p>
      <w:pPr>
        <w:pStyle w:val="TextBody"/>
        <w:bidi w:val="0"/>
        <w:ind w:left="820" w:right="0" w:hanging="0"/>
        <w:jc w:val="both"/>
        <w:rPr/>
      </w:pPr>
      <w:r>
        <w:rPr/>
        <w:t>Trade and other receivables is comprised of sales tax receivables, research &amp; development tax credit receivables and other receivables. The breakdown of trade and other receivables is as follows:</w:t>
      </w:r>
    </w:p>
    <w:tbl>
      <w:tblPr>
        <w:tblW w:w="7005" w:type="dxa"/>
        <w:jc w:val="left"/>
        <w:tblInd w:w="820" w:type="dxa"/>
        <w:tblLayout w:type="fixed"/>
        <w:tblCellMar>
          <w:top w:w="0" w:type="dxa"/>
          <w:left w:w="0" w:type="dxa"/>
          <w:bottom w:w="0" w:type="dxa"/>
          <w:right w:w="0" w:type="dxa"/>
        </w:tblCellMar>
      </w:tblPr>
      <w:tblGrid>
        <w:gridCol w:w="4280"/>
        <w:gridCol w:w="60"/>
        <w:gridCol w:w="1235"/>
        <w:gridCol w:w="60"/>
        <w:gridCol w:w="60"/>
        <w:gridCol w:w="1235"/>
        <w:gridCol w:w="75"/>
      </w:tblGrid>
      <w:tr>
        <w:trPr/>
        <w:tc>
          <w:tcPr>
            <w:tcW w:w="428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Year</w:t>
              <w:br/>
              <w:t>ended</w:t>
              <w:br/>
              <w:t>February 28,</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Year</w:t>
              <w:br/>
              <w:t>ended</w:t>
              <w:br/>
              <w:t>February 28,</w:t>
            </w:r>
          </w:p>
        </w:tc>
        <w:tc>
          <w:tcPr>
            <w:tcW w:w="75" w:type="dxa"/>
            <w:tcBorders/>
            <w:vAlign w:val="center"/>
          </w:tcPr>
          <w:p>
            <w:pPr>
              <w:pStyle w:val="TableContents"/>
              <w:bidi w:val="0"/>
              <w:spacing w:before="0" w:after="283"/>
              <w:jc w:val="center"/>
              <w:rPr/>
            </w:pPr>
            <w:r>
              <w:rPr/>
              <w:t> </w:t>
            </w:r>
          </w:p>
        </w:tc>
      </w:tr>
      <w:tr>
        <w:trPr/>
        <w:tc>
          <w:tcPr>
            <w:tcW w:w="4280"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2023</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2022</w:t>
            </w:r>
          </w:p>
        </w:tc>
        <w:tc>
          <w:tcPr>
            <w:tcW w:w="75"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4280" w:type="dxa"/>
            <w:tcBorders>
              <w:top w:val="single" w:sz="6" w:space="0" w:color="000000"/>
            </w:tcBorders>
            <w:shd w:fill="E6EFFF" w:val="clear"/>
            <w:tcMar>
              <w:top w:w="28" w:type="dxa"/>
            </w:tcMar>
            <w:vAlign w:val="center"/>
          </w:tcPr>
          <w:p>
            <w:pPr>
              <w:pStyle w:val="TableContents"/>
              <w:bidi w:val="0"/>
              <w:spacing w:before="0" w:after="283"/>
              <w:jc w:val="left"/>
              <w:rPr/>
            </w:pPr>
            <w:r>
              <w:rPr/>
              <w:t>Sales tax receivables</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35" w:type="dxa"/>
            <w:tcBorders>
              <w:top w:val="single" w:sz="6" w:space="0" w:color="000000"/>
            </w:tcBorders>
            <w:shd w:fill="E6EFFF" w:val="clear"/>
            <w:tcMar>
              <w:top w:w="28" w:type="dxa"/>
            </w:tcMar>
            <w:vAlign w:val="center"/>
          </w:tcPr>
          <w:p>
            <w:pPr>
              <w:pStyle w:val="TableContents"/>
              <w:bidi w:val="0"/>
              <w:spacing w:before="0" w:after="283"/>
              <w:jc w:val="right"/>
              <w:rPr/>
            </w:pPr>
            <w:r>
              <w:rPr/>
              <w:t>793,895</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35" w:type="dxa"/>
            <w:tcBorders>
              <w:top w:val="single" w:sz="6" w:space="0" w:color="000000"/>
            </w:tcBorders>
            <w:shd w:fill="E6EFFF" w:val="clear"/>
            <w:tcMar>
              <w:top w:w="28" w:type="dxa"/>
            </w:tcMar>
            <w:vAlign w:val="center"/>
          </w:tcPr>
          <w:p>
            <w:pPr>
              <w:pStyle w:val="TableContents"/>
              <w:bidi w:val="0"/>
              <w:spacing w:before="0" w:after="283"/>
              <w:jc w:val="right"/>
              <w:rPr/>
            </w:pPr>
            <w:r>
              <w:rPr/>
              <w:t>553,429</w:t>
            </w:r>
          </w:p>
        </w:tc>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Research and development credit receivables</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655,166</w:t>
            </w:r>
          </w:p>
        </w:tc>
        <w:tc>
          <w:tcPr>
            <w:tcW w:w="75" w:type="dxa"/>
            <w:tcBorders/>
            <w:vAlign w:val="center"/>
          </w:tcPr>
          <w:p>
            <w:pPr>
              <w:pStyle w:val="TableContents"/>
              <w:bidi w:val="0"/>
              <w:spacing w:before="0" w:after="283"/>
              <w:jc w:val="left"/>
              <w:rPr/>
            </w:pPr>
            <w:r>
              <w:rPr/>
              <w:t> </w:t>
            </w:r>
          </w:p>
        </w:tc>
      </w:tr>
      <w:tr>
        <w:trPr/>
        <w:tc>
          <w:tcPr>
            <w:tcW w:w="4280" w:type="dxa"/>
            <w:tcBorders>
              <w:bottom w:val="single" w:sz="6" w:space="0" w:color="000000"/>
            </w:tcBorders>
            <w:shd w:fill="E6EFFF" w:val="clear"/>
            <w:tcMar>
              <w:bottom w:w="28" w:type="dxa"/>
            </w:tcMar>
            <w:vAlign w:val="center"/>
          </w:tcPr>
          <w:p>
            <w:pPr>
              <w:pStyle w:val="TableContents"/>
              <w:bidi w:val="0"/>
              <w:spacing w:before="0" w:after="283"/>
              <w:jc w:val="left"/>
              <w:rPr/>
            </w:pPr>
            <w:r>
              <w:rPr/>
              <w:t>Other receivables</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6,278</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5,311</w:t>
            </w:r>
          </w:p>
        </w:tc>
        <w:tc>
          <w:tcPr>
            <w:tcW w:w="7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80" w:type="dxa"/>
            <w:tcBorders>
              <w:bottom w:val="single" w:sz="12" w:space="0" w:color="000000"/>
            </w:tcBorders>
            <w:shd w:fill="E6EFFF" w:val="clear"/>
            <w:tcMar>
              <w:bottom w:w="28" w:type="dxa"/>
            </w:tcMar>
            <w:vAlign w:val="center"/>
          </w:tcPr>
          <w:p>
            <w:pPr>
              <w:pStyle w:val="TableContents"/>
              <w:bidi w:val="0"/>
              <w:spacing w:before="0" w:after="283"/>
              <w:jc w:val="left"/>
              <w:rPr/>
            </w:pPr>
            <w:r>
              <w:rPr/>
              <w:t>Total</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E6EFFF" w:val="clear"/>
            <w:tcMar>
              <w:bottom w:w="28" w:type="dxa"/>
            </w:tcMar>
            <w:vAlign w:val="center"/>
          </w:tcPr>
          <w:p>
            <w:pPr>
              <w:pStyle w:val="TableContents"/>
              <w:bidi w:val="0"/>
              <w:spacing w:before="0" w:after="283"/>
              <w:jc w:val="right"/>
              <w:rPr/>
            </w:pPr>
            <w:r>
              <w:rPr/>
              <w:t>800,173</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E6EFFF" w:val="clear"/>
            <w:tcMar>
              <w:bottom w:w="28" w:type="dxa"/>
            </w:tcMar>
            <w:vAlign w:val="center"/>
          </w:tcPr>
          <w:p>
            <w:pPr>
              <w:pStyle w:val="TableContents"/>
              <w:bidi w:val="0"/>
              <w:spacing w:before="0" w:after="283"/>
              <w:jc w:val="right"/>
              <w:rPr/>
            </w:pPr>
            <w:r>
              <w:rPr/>
              <w:t>1,213,906</w:t>
            </w:r>
          </w:p>
        </w:tc>
        <w:tc>
          <w:tcPr>
            <w:tcW w:w="75"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r>
    </w:tbl>
    <w:p>
      <w:pPr>
        <w:pStyle w:val="TextBody"/>
        <w:bidi w:val="0"/>
        <w:ind w:left="820" w:right="0" w:hanging="0"/>
        <w:jc w:val="both"/>
        <w:rPr/>
      </w:pPr>
      <w:r>
        <w:rPr/>
        <w:t>During the year ended February 28, 2023, the Company received a $1,885,196 tax credit relating to research and development expenditures claimed for the year ended February 28, 2022 and a $655,166 tax credit relating to research and development expenditures claimed for the year ended February 28,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13. Fair Value Measurements and Risk Management</w:t>
      </w:r>
      <w:r>
        <w:rPr/>
        <w:t xml:space="preserve"> (continued)</w:t>
      </w:r>
    </w:p>
    <w:p>
      <w:pPr>
        <w:pStyle w:val="TextBody"/>
        <w:bidi w:val="0"/>
        <w:ind w:left="480" w:right="0" w:hanging="0"/>
        <w:jc w:val="both"/>
        <w:rPr/>
      </w:pPr>
      <w:r>
        <w:rPr>
          <w:b/>
        </w:rPr>
        <w:t>(c)</w:t>
      </w:r>
      <w:r>
        <w:rPr/>
        <w:t> </w:t>
      </w:r>
      <w:r>
        <w:rPr>
          <w:b/>
        </w:rPr>
        <w:t>Foreign Exchange Rate Risk</w:t>
      </w:r>
    </w:p>
    <w:p>
      <w:pPr>
        <w:pStyle w:val="TextBody"/>
        <w:bidi w:val="0"/>
        <w:ind w:left="820" w:right="0" w:hanging="0"/>
        <w:jc w:val="both"/>
        <w:rPr/>
      </w:pPr>
      <w:r>
        <w:rPr/>
        <w:t>Foreign currency risk is the risk that the fair value of future cash flows of a financial instrument will fluctuate due to changes in foreign exchange rates. The Company is exposed to foreign currency risk to the extent that monetary assets and liabilities are denominated in a foreign currency.</w:t>
      </w:r>
    </w:p>
    <w:p>
      <w:pPr>
        <w:pStyle w:val="TextBody"/>
        <w:bidi w:val="0"/>
        <w:ind w:left="820" w:right="0" w:hanging="0"/>
        <w:jc w:val="both"/>
        <w:rPr/>
      </w:pPr>
      <w:r>
        <w:rPr/>
        <w:t>Small Pharma Ltd, the Company's operating subsidiary, operates in the UK and has certain monetary financial instruments denominated in British pound sterling. Small Pharma (US) Inc., an indirect subsidiary of the Company, operates in the US and has certain monetary financial instruments denominated in US dollars. The Company has not entered into foreign exchange rate contracts to mitigate these risks.</w:t>
      </w:r>
    </w:p>
    <w:p>
      <w:pPr>
        <w:pStyle w:val="TextBody"/>
        <w:bidi w:val="0"/>
        <w:ind w:left="820" w:right="0" w:hanging="0"/>
        <w:jc w:val="both"/>
        <w:rPr/>
      </w:pPr>
      <w:r>
        <w:rPr/>
        <w:t>The following table indicates the impact of foreign currency exchange risk on net working capital as at February 28, 2023. The table below also provides a sensitivity analysis of a 10% strengthening of the foreign currency against functional currencies identified which would have increased (decreased) the Company's comprehensive loss for the period by the amounts shown in the table below. A 10% weakening of the foreign currency against the functional currencies would have had the equal but opposite effect as at February 28, 2023 and February 28, 2022.</w:t>
      </w:r>
    </w:p>
    <w:tbl>
      <w:tblPr>
        <w:tblW w:w="9385" w:type="dxa"/>
        <w:jc w:val="left"/>
        <w:tblInd w:w="820" w:type="dxa"/>
        <w:tblLayout w:type="fixed"/>
        <w:tblCellMar>
          <w:top w:w="0" w:type="dxa"/>
          <w:left w:w="0" w:type="dxa"/>
          <w:bottom w:w="0" w:type="dxa"/>
          <w:right w:w="0" w:type="dxa"/>
        </w:tblCellMar>
      </w:tblPr>
      <w:tblGrid>
        <w:gridCol w:w="6592"/>
        <w:gridCol w:w="60"/>
        <w:gridCol w:w="1233"/>
        <w:gridCol w:w="95"/>
        <w:gridCol w:w="60"/>
        <w:gridCol w:w="1233"/>
        <w:gridCol w:w="112"/>
      </w:tblGrid>
      <w:tr>
        <w:trPr/>
        <w:tc>
          <w:tcPr>
            <w:tcW w:w="6592"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33" w:type="dxa"/>
            <w:tcBorders/>
            <w:vAlign w:val="center"/>
          </w:tcPr>
          <w:p>
            <w:pPr>
              <w:pStyle w:val="TableContents"/>
              <w:bidi w:val="0"/>
              <w:spacing w:before="0" w:after="283"/>
              <w:jc w:val="center"/>
              <w:rPr/>
            </w:pPr>
            <w:r>
              <w:rPr/>
              <w:t>February 28,</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3" w:type="dxa"/>
            <w:tcBorders/>
            <w:vAlign w:val="center"/>
          </w:tcPr>
          <w:p>
            <w:pPr>
              <w:pStyle w:val="TableContents"/>
              <w:bidi w:val="0"/>
              <w:spacing w:before="0" w:after="283"/>
              <w:jc w:val="center"/>
              <w:rPr/>
            </w:pPr>
            <w:r>
              <w:rPr/>
              <w:t>February 28,</w:t>
            </w:r>
          </w:p>
        </w:tc>
        <w:tc>
          <w:tcPr>
            <w:tcW w:w="112" w:type="dxa"/>
            <w:tcBorders/>
            <w:vAlign w:val="center"/>
          </w:tcPr>
          <w:p>
            <w:pPr>
              <w:pStyle w:val="TableContents"/>
              <w:bidi w:val="0"/>
              <w:spacing w:before="0" w:after="283"/>
              <w:jc w:val="right"/>
              <w:rPr/>
            </w:pPr>
            <w:r>
              <w:rPr/>
              <w:t> </w:t>
            </w:r>
          </w:p>
        </w:tc>
      </w:tr>
      <w:tr>
        <w:trPr/>
        <w:tc>
          <w:tcPr>
            <w:tcW w:w="6592"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3" w:type="dxa"/>
            <w:tcBorders>
              <w:bottom w:val="single" w:sz="6" w:space="0" w:color="000000"/>
            </w:tcBorders>
            <w:tcMar>
              <w:bottom w:w="28" w:type="dxa"/>
            </w:tcMar>
            <w:vAlign w:val="center"/>
          </w:tcPr>
          <w:p>
            <w:pPr>
              <w:pStyle w:val="TableContents"/>
              <w:bidi w:val="0"/>
              <w:spacing w:before="0" w:after="283"/>
              <w:jc w:val="center"/>
              <w:rPr/>
            </w:pPr>
            <w:r>
              <w:rPr/>
              <w:t>2023</w:t>
              <w:b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3" w:type="dxa"/>
            <w:tcBorders>
              <w:bottom w:val="single" w:sz="6" w:space="0" w:color="000000"/>
            </w:tcBorders>
            <w:tcMar>
              <w:bottom w:w="28" w:type="dxa"/>
            </w:tcMar>
            <w:vAlign w:val="center"/>
          </w:tcPr>
          <w:p>
            <w:pPr>
              <w:pStyle w:val="TableContents"/>
              <w:bidi w:val="0"/>
              <w:spacing w:before="0" w:after="283"/>
              <w:jc w:val="center"/>
              <w:rPr/>
            </w:pPr>
            <w:r>
              <w:rPr/>
              <w:t>2022</w:t>
              <w:br/>
              <w:t>£</w:t>
            </w:r>
          </w:p>
        </w:tc>
        <w:tc>
          <w:tcPr>
            <w:tcW w:w="112"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6592" w:type="dxa"/>
            <w:tcBorders>
              <w:top w:val="single" w:sz="6" w:space="0" w:color="000000"/>
            </w:tcBorders>
            <w:shd w:fill="E6EFFF" w:val="clear"/>
            <w:tcMar>
              <w:top w:w="28" w:type="dxa"/>
            </w:tcMar>
            <w:vAlign w:val="center"/>
          </w:tcPr>
          <w:p>
            <w:pPr>
              <w:pStyle w:val="TableContents"/>
              <w:bidi w:val="0"/>
              <w:spacing w:before="0" w:after="283"/>
              <w:jc w:val="left"/>
              <w:rPr/>
            </w:pPr>
            <w:r>
              <w:rPr/>
              <w:t>Cash</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33" w:type="dxa"/>
            <w:tcBorders>
              <w:top w:val="single" w:sz="6" w:space="0" w:color="000000"/>
            </w:tcBorders>
            <w:shd w:fill="E6EFFF" w:val="clear"/>
            <w:tcMar>
              <w:top w:w="28" w:type="dxa"/>
            </w:tcMar>
            <w:vAlign w:val="center"/>
          </w:tcPr>
          <w:p>
            <w:pPr>
              <w:pStyle w:val="TableContents"/>
              <w:bidi w:val="0"/>
              <w:spacing w:before="0" w:after="283"/>
              <w:jc w:val="right"/>
              <w:rPr/>
            </w:pPr>
            <w:r>
              <w:rPr/>
              <w:t>10,770,423</w:t>
            </w:r>
          </w:p>
        </w:tc>
        <w:tc>
          <w:tcPr>
            <w:tcW w:w="9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33" w:type="dxa"/>
            <w:tcBorders>
              <w:top w:val="single" w:sz="6" w:space="0" w:color="000000"/>
            </w:tcBorders>
            <w:shd w:fill="E6EFFF" w:val="clear"/>
            <w:tcMar>
              <w:top w:w="28" w:type="dxa"/>
            </w:tcMar>
            <w:vAlign w:val="center"/>
          </w:tcPr>
          <w:p>
            <w:pPr>
              <w:pStyle w:val="TableContents"/>
              <w:bidi w:val="0"/>
              <w:spacing w:before="0" w:after="283"/>
              <w:jc w:val="right"/>
              <w:rPr/>
            </w:pPr>
            <w:r>
              <w:rPr/>
              <w:t>22,865,466</w:t>
            </w:r>
          </w:p>
        </w:tc>
        <w:tc>
          <w:tcPr>
            <w:tcW w:w="112"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6592" w:type="dxa"/>
            <w:tcBorders/>
            <w:vAlign w:val="center"/>
          </w:tcPr>
          <w:p>
            <w:pPr>
              <w:pStyle w:val="TableContents"/>
              <w:bidi w:val="0"/>
              <w:spacing w:before="0" w:after="283"/>
              <w:jc w:val="left"/>
              <w:rPr/>
            </w:pPr>
            <w:r>
              <w:rPr/>
              <w:t>Trade and other receivables</w:t>
            </w:r>
          </w:p>
        </w:tc>
        <w:tc>
          <w:tcPr>
            <w:tcW w:w="60"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433,607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709,936</w:t>
            </w:r>
          </w:p>
        </w:tc>
        <w:tc>
          <w:tcPr>
            <w:tcW w:w="112" w:type="dxa"/>
            <w:tcBorders/>
            <w:vAlign w:val="center"/>
          </w:tcPr>
          <w:p>
            <w:pPr>
              <w:pStyle w:val="TableContents"/>
              <w:bidi w:val="0"/>
              <w:spacing w:before="0" w:after="283"/>
              <w:jc w:val="left"/>
              <w:rPr/>
            </w:pPr>
            <w:r>
              <w:rPr/>
              <w:t> </w:t>
            </w:r>
          </w:p>
        </w:tc>
      </w:tr>
      <w:tr>
        <w:trPr/>
        <w:tc>
          <w:tcPr>
            <w:tcW w:w="6592" w:type="dxa"/>
            <w:tcBorders/>
            <w:shd w:fill="E6EFFF" w:val="clear"/>
            <w:vAlign w:val="center"/>
          </w:tcPr>
          <w:p>
            <w:pPr>
              <w:pStyle w:val="TableContents"/>
              <w:bidi w:val="0"/>
              <w:spacing w:before="0" w:after="283"/>
              <w:jc w:val="left"/>
              <w:rPr/>
            </w:pPr>
            <w:r>
              <w:rPr/>
              <w:t>Accounts payable and accrued liabilities</w:t>
            </w:r>
          </w:p>
        </w:tc>
        <w:tc>
          <w:tcPr>
            <w:tcW w:w="60" w:type="dxa"/>
            <w:tcBorders/>
            <w:shd w:fill="E6EFFF" w:val="clear"/>
            <w:vAlign w:val="center"/>
          </w:tcPr>
          <w:p>
            <w:pPr>
              <w:pStyle w:val="TableContents"/>
              <w:bidi w:val="0"/>
              <w:spacing w:before="0" w:after="283"/>
              <w:jc w:val="left"/>
              <w:rPr/>
            </w:pPr>
            <w:r>
              <w:rPr/>
              <w:t> </w:t>
            </w:r>
          </w:p>
        </w:tc>
        <w:tc>
          <w:tcPr>
            <w:tcW w:w="1233" w:type="dxa"/>
            <w:tcBorders/>
            <w:shd w:fill="E6EFFF" w:val="clear"/>
            <w:vAlign w:val="center"/>
          </w:tcPr>
          <w:p>
            <w:pPr>
              <w:pStyle w:val="TableContents"/>
              <w:bidi w:val="0"/>
              <w:spacing w:before="0" w:after="283"/>
              <w:jc w:val="right"/>
              <w:rPr/>
            </w:pPr>
            <w:r>
              <w:rPr/>
              <w:t>(1,640,580</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33" w:type="dxa"/>
            <w:tcBorders/>
            <w:shd w:fill="E6EFFF" w:val="clear"/>
            <w:vAlign w:val="center"/>
          </w:tcPr>
          <w:p>
            <w:pPr>
              <w:pStyle w:val="TableContents"/>
              <w:bidi w:val="0"/>
              <w:spacing w:before="0" w:after="283"/>
              <w:jc w:val="right"/>
              <w:rPr/>
            </w:pPr>
            <w:r>
              <w:rPr/>
              <w:t>(2,348,835</w:t>
            </w:r>
          </w:p>
        </w:tc>
        <w:tc>
          <w:tcPr>
            <w:tcW w:w="112" w:type="dxa"/>
            <w:tcBorders/>
            <w:shd w:fill="E6EFFF" w:val="clear"/>
            <w:vAlign w:val="center"/>
          </w:tcPr>
          <w:p>
            <w:pPr>
              <w:pStyle w:val="TableContents"/>
              <w:bidi w:val="0"/>
              <w:spacing w:before="0" w:after="283"/>
              <w:jc w:val="left"/>
              <w:rPr/>
            </w:pPr>
            <w:r>
              <w:rPr/>
              <w:t>)</w:t>
            </w:r>
          </w:p>
        </w:tc>
      </w:tr>
      <w:tr>
        <w:trPr/>
        <w:tc>
          <w:tcPr>
            <w:tcW w:w="6592" w:type="dxa"/>
            <w:tcBorders>
              <w:bottom w:val="single" w:sz="6" w:space="0" w:color="000000"/>
            </w:tcBorders>
            <w:tcMar>
              <w:bottom w:w="28" w:type="dxa"/>
            </w:tcMar>
            <w:vAlign w:val="center"/>
          </w:tcPr>
          <w:p>
            <w:pPr>
              <w:pStyle w:val="TableContents"/>
              <w:bidi w:val="0"/>
              <w:spacing w:before="0" w:after="283"/>
              <w:jc w:val="left"/>
              <w:rPr/>
            </w:pPr>
            <w:r>
              <w:rPr/>
              <w:t>Lease liabilities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3" w:type="dxa"/>
            <w:tcBorders>
              <w:bottom w:val="single" w:sz="6" w:space="0" w:color="000000"/>
            </w:tcBorders>
            <w:tcMar>
              <w:bottom w:w="28" w:type="dxa"/>
            </w:tcMar>
            <w:vAlign w:val="center"/>
          </w:tcPr>
          <w:p>
            <w:pPr>
              <w:pStyle w:val="TableContents"/>
              <w:bidi w:val="0"/>
              <w:spacing w:before="0" w:after="283"/>
              <w:jc w:val="right"/>
              <w:rPr/>
            </w:pPr>
            <w:r>
              <w:rPr/>
              <w:t>(370,391</w:t>
            </w:r>
          </w:p>
        </w:tc>
        <w:tc>
          <w:tcPr>
            <w:tcW w:w="95" w:type="dxa"/>
            <w:tcBorders>
              <w:bottom w:val="single" w:sz="6" w:space="0" w:color="000000"/>
            </w:tcBorders>
            <w:tcMar>
              <w:bottom w:w="28" w:type="dxa"/>
            </w:tcMar>
            <w:vAlign w:val="center"/>
          </w:tcPr>
          <w:p>
            <w:pPr>
              <w:pStyle w:val="TableContents"/>
              <w:bidi w:val="0"/>
              <w:spacing w:before="0" w:after="283"/>
              <w:jc w:val="lef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3" w:type="dxa"/>
            <w:tcBorders>
              <w:bottom w:val="single" w:sz="6" w:space="0" w:color="000000"/>
            </w:tcBorders>
            <w:tcMar>
              <w:bottom w:w="28" w:type="dxa"/>
            </w:tcMar>
            <w:vAlign w:val="center"/>
          </w:tcPr>
          <w:p>
            <w:pPr>
              <w:pStyle w:val="TableContents"/>
              <w:bidi w:val="0"/>
              <w:spacing w:before="0" w:after="283"/>
              <w:jc w:val="right"/>
              <w:rPr/>
            </w:pPr>
            <w:r>
              <w:rPr/>
              <w:t>-</w:t>
            </w:r>
          </w:p>
        </w:tc>
        <w:tc>
          <w:tcPr>
            <w:tcW w:w="11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592"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Total foreign currency financial assets and liabilities</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3"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9,193,059</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3"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21,226,567</w:t>
            </w:r>
          </w:p>
        </w:tc>
        <w:tc>
          <w:tcPr>
            <w:tcW w:w="112"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6592"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pPr>
            <w:r>
              <w:rPr/>
              <w:t>Impact of a 10% strengthening or weakening of foreign exchange rate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tcMar>
              <w:bottom w:w="28" w:type="dxa"/>
            </w:tcMar>
            <w:vAlign w:val="center"/>
          </w:tcPr>
          <w:p>
            <w:pPr>
              <w:pStyle w:val="TableContents"/>
              <w:bidi w:val="0"/>
              <w:spacing w:before="0" w:after="283"/>
              <w:jc w:val="right"/>
              <w:rPr/>
            </w:pPr>
            <w:r>
              <w:rPr/>
              <w:t>919,306</w:t>
            </w:r>
          </w:p>
        </w:tc>
        <w:tc>
          <w:tcPr>
            <w:tcW w:w="9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tcMar>
              <w:bottom w:w="28" w:type="dxa"/>
            </w:tcMar>
            <w:vAlign w:val="center"/>
          </w:tcPr>
          <w:p>
            <w:pPr>
              <w:pStyle w:val="TableContents"/>
              <w:bidi w:val="0"/>
              <w:spacing w:before="0" w:after="283"/>
              <w:jc w:val="right"/>
              <w:rPr/>
            </w:pPr>
            <w:r>
              <w:rPr/>
              <w:t>2,122,657</w:t>
            </w:r>
          </w:p>
        </w:tc>
        <w:tc>
          <w:tcPr>
            <w:tcW w:w="112"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ind w:left="480" w:right="0" w:hanging="0"/>
        <w:jc w:val="both"/>
        <w:rPr/>
      </w:pPr>
      <w:r>
        <w:rPr>
          <w:b/>
        </w:rPr>
        <w:t>(d)</w:t>
      </w:r>
      <w:r>
        <w:rPr/>
        <w:t> </w:t>
      </w:r>
      <w:r>
        <w:rPr>
          <w:b/>
        </w:rPr>
        <w:t>Interest Rate Risk</w:t>
      </w:r>
    </w:p>
    <w:p>
      <w:pPr>
        <w:pStyle w:val="TextBody"/>
        <w:bidi w:val="0"/>
        <w:ind w:left="820" w:right="0" w:hanging="0"/>
        <w:jc w:val="both"/>
        <w:rPr/>
      </w:pPr>
      <w:r>
        <w:rPr/>
        <w:t>Interest rate risk is the risk that the fair value of future cash flows of a financial instrument will fluctuate because of changes in market interest rates. The Company is not exposed to significant interest rate risk as it does not have any liabilities with variable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13. Fair Value Measurements and Risk Management</w:t>
      </w:r>
      <w:r>
        <w:rPr/>
        <w:t>(continued)</w:t>
      </w:r>
    </w:p>
    <w:p>
      <w:pPr>
        <w:pStyle w:val="TextBody"/>
        <w:bidi w:val="0"/>
        <w:ind w:left="480" w:right="0" w:hanging="0"/>
        <w:jc w:val="both"/>
        <w:rPr/>
      </w:pPr>
      <w:r>
        <w:rPr>
          <w:b/>
        </w:rPr>
        <w:t>(e)</w:t>
      </w:r>
      <w:r>
        <w:rPr/>
        <w:t> </w:t>
      </w:r>
      <w:r>
        <w:rPr>
          <w:b/>
        </w:rPr>
        <w:t>Liquidity Risk</w:t>
      </w:r>
    </w:p>
    <w:p>
      <w:pPr>
        <w:pStyle w:val="TextBody"/>
        <w:bidi w:val="0"/>
        <w:ind w:left="820" w:right="0" w:hanging="0"/>
        <w:jc w:val="both"/>
        <w:rPr/>
      </w:pPr>
      <w:r>
        <w:rPr/>
        <w:t>Liquidity risk is the risk that the Company will not be able to meet its financial obligations as they fall due. The Company's objective to managing liquidity risk is to ensure that it has sufficient liquidity available to meet its liabilities when due. The Company relies on raising debt or equity financing in a timely manner.</w:t>
      </w:r>
    </w:p>
    <w:p>
      <w:pPr>
        <w:pStyle w:val="TextBody"/>
        <w:bidi w:val="0"/>
        <w:ind w:left="820" w:right="0" w:hanging="0"/>
        <w:jc w:val="both"/>
        <w:rPr/>
      </w:pPr>
      <w:r>
        <w:rPr/>
        <w:t>The following amounts are the contractual maturities of financial liabilities as at February 28, 2023 and February 28, 2022:</w:t>
      </w:r>
    </w:p>
    <w:tbl>
      <w:tblPr>
        <w:tblW w:w="7055" w:type="dxa"/>
        <w:jc w:val="left"/>
        <w:tblInd w:w="820" w:type="dxa"/>
        <w:tblLayout w:type="fixed"/>
        <w:tblCellMar>
          <w:top w:w="0" w:type="dxa"/>
          <w:left w:w="0" w:type="dxa"/>
          <w:bottom w:w="0" w:type="dxa"/>
          <w:right w:w="0" w:type="dxa"/>
        </w:tblCellMar>
      </w:tblPr>
      <w:tblGrid>
        <w:gridCol w:w="3830"/>
        <w:gridCol w:w="60"/>
        <w:gridCol w:w="980"/>
        <w:gridCol w:w="60"/>
        <w:gridCol w:w="60"/>
        <w:gridCol w:w="980"/>
        <w:gridCol w:w="60"/>
        <w:gridCol w:w="60"/>
        <w:gridCol w:w="890"/>
        <w:gridCol w:w="75"/>
      </w:tblGrid>
      <w:tr>
        <w:trPr/>
        <w:tc>
          <w:tcPr>
            <w:tcW w:w="3830" w:type="dxa"/>
            <w:tcBorders/>
            <w:vAlign w:val="center"/>
          </w:tcPr>
          <w:p>
            <w:pPr>
              <w:pStyle w:val="TableContents"/>
              <w:bidi w:val="0"/>
              <w:spacing w:before="0" w:after="283"/>
              <w:jc w:val="left"/>
              <w:rPr/>
            </w:pPr>
            <w:r>
              <w:rPr/>
              <w:t>As at February 28, 2023</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6" w:space="0" w:color="000000"/>
            </w:tcBorders>
            <w:tcMar>
              <w:bottom w:w="28" w:type="dxa"/>
            </w:tcMar>
            <w:vAlign w:val="center"/>
          </w:tcPr>
          <w:p>
            <w:pPr>
              <w:pStyle w:val="TableContents"/>
              <w:bidi w:val="0"/>
              <w:spacing w:before="0" w:after="283"/>
              <w:jc w:val="center"/>
              <w:rPr/>
            </w:pPr>
            <w:r>
              <w:rPr/>
              <w:t>Total</w:t>
              <w:b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6" w:space="0" w:color="000000"/>
            </w:tcBorders>
            <w:tcMar>
              <w:bottom w:w="28" w:type="dxa"/>
            </w:tcMar>
            <w:vAlign w:val="center"/>
          </w:tcPr>
          <w:p>
            <w:pPr>
              <w:pStyle w:val="TableContents"/>
              <w:bidi w:val="0"/>
              <w:spacing w:before="0" w:after="283"/>
              <w:jc w:val="center"/>
              <w:rPr/>
            </w:pPr>
            <w:r>
              <w:rPr/>
              <w:t>Within</w:t>
              <w:br/>
              <w:t>1 year</w:t>
              <w:b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6" w:space="0" w:color="000000"/>
            </w:tcBorders>
            <w:tcMar>
              <w:bottom w:w="28" w:type="dxa"/>
            </w:tcMar>
            <w:vAlign w:val="center"/>
          </w:tcPr>
          <w:p>
            <w:pPr>
              <w:pStyle w:val="TableContents"/>
              <w:bidi w:val="0"/>
              <w:spacing w:before="0" w:after="283"/>
              <w:jc w:val="center"/>
              <w:rPr/>
            </w:pPr>
            <w:r>
              <w:rPr/>
              <w:t>Within</w:t>
              <w:br/>
              <w:t>2-5 years</w:t>
              <w:br/>
              <w:t>$</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30" w:type="dxa"/>
            <w:tcBorders>
              <w:top w:val="single" w:sz="6" w:space="0" w:color="000000"/>
            </w:tcBorders>
            <w:shd w:fill="E6EFFF" w:val="clear"/>
            <w:tcMar>
              <w:top w:w="28" w:type="dxa"/>
            </w:tcMar>
            <w:vAlign w:val="center"/>
          </w:tcPr>
          <w:p>
            <w:pPr>
              <w:pStyle w:val="TableContents"/>
              <w:bidi w:val="0"/>
              <w:spacing w:before="0" w:after="283"/>
              <w:jc w:val="left"/>
              <w:rPr/>
            </w:pPr>
            <w:r>
              <w:rPr/>
              <w:t>Accounts payable and accrued liabilities</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980" w:type="dxa"/>
            <w:tcBorders>
              <w:top w:val="single" w:sz="6" w:space="0" w:color="000000"/>
            </w:tcBorders>
            <w:shd w:fill="E6EFFF" w:val="clear"/>
            <w:tcMar>
              <w:top w:w="28" w:type="dxa"/>
            </w:tcMar>
            <w:vAlign w:val="center"/>
          </w:tcPr>
          <w:p>
            <w:pPr>
              <w:pStyle w:val="TableContents"/>
              <w:bidi w:val="0"/>
              <w:spacing w:before="0" w:after="283"/>
              <w:jc w:val="right"/>
              <w:rPr/>
            </w:pPr>
            <w:r>
              <w:rPr/>
              <w:t>3,217,785</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980" w:type="dxa"/>
            <w:tcBorders>
              <w:top w:val="single" w:sz="6" w:space="0" w:color="000000"/>
            </w:tcBorders>
            <w:shd w:fill="E6EFFF" w:val="clear"/>
            <w:tcMar>
              <w:top w:w="28" w:type="dxa"/>
            </w:tcMar>
            <w:vAlign w:val="center"/>
          </w:tcPr>
          <w:p>
            <w:pPr>
              <w:pStyle w:val="TableContents"/>
              <w:bidi w:val="0"/>
              <w:spacing w:before="0" w:after="283"/>
              <w:jc w:val="right"/>
              <w:rPr/>
            </w:pPr>
            <w:r>
              <w:rPr/>
              <w:t>3,217,785</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890" w:type="dxa"/>
            <w:tcBorders>
              <w:top w:val="single" w:sz="6" w:space="0" w:color="000000"/>
            </w:tcBorders>
            <w:shd w:fill="E6EFFF" w:val="clear"/>
            <w:tcMar>
              <w:top w:w="28" w:type="dxa"/>
            </w:tcMar>
            <w:vAlign w:val="center"/>
          </w:tcPr>
          <w:p>
            <w:pPr>
              <w:pStyle w:val="TableContents"/>
              <w:bidi w:val="0"/>
              <w:spacing w:before="0" w:after="283"/>
              <w:jc w:val="right"/>
              <w:rPr/>
            </w:pPr>
            <w:r>
              <w:rPr/>
              <w:t>-</w:t>
            </w:r>
          </w:p>
        </w:tc>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3830" w:type="dxa"/>
            <w:tcBorders>
              <w:bottom w:val="single" w:sz="6" w:space="0" w:color="000000"/>
            </w:tcBorders>
            <w:tcMar>
              <w:bottom w:w="28" w:type="dxa"/>
            </w:tcMar>
            <w:vAlign w:val="center"/>
          </w:tcPr>
          <w:p>
            <w:pPr>
              <w:pStyle w:val="TableContents"/>
              <w:bidi w:val="0"/>
              <w:spacing w:before="0" w:after="283"/>
              <w:jc w:val="left"/>
              <w:rPr/>
            </w:pPr>
            <w:r>
              <w:rPr/>
              <w:t>Lease liabilities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right"/>
              <w:rPr/>
            </w:pPr>
            <w:r>
              <w:rPr/>
              <w:t>641,924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right"/>
              <w:rPr/>
            </w:pPr>
            <w:r>
              <w:rPr/>
              <w:t>327,791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tcBorders>
              <w:bottom w:val="single" w:sz="6" w:space="0" w:color="000000"/>
            </w:tcBorders>
            <w:tcMar>
              <w:bottom w:w="28" w:type="dxa"/>
            </w:tcMar>
            <w:vAlign w:val="center"/>
          </w:tcPr>
          <w:p>
            <w:pPr>
              <w:pStyle w:val="TableContents"/>
              <w:bidi w:val="0"/>
              <w:spacing w:before="0" w:after="283"/>
              <w:jc w:val="right"/>
              <w:rPr/>
            </w:pPr>
            <w:r>
              <w:rPr/>
              <w:t>314,133</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3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Total financial liabilities</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98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3,859,709</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98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3,545,576</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89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314,133</w:t>
            </w:r>
          </w:p>
        </w:tc>
        <w:tc>
          <w:tcPr>
            <w:tcW w:w="7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383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980" w:type="dxa"/>
            <w:tcBorders>
              <w:top w:val="single" w:sz="12" w:space="0" w:color="000000"/>
            </w:tcBorders>
            <w:tcMar>
              <w:top w:w="28" w:type="dxa"/>
            </w:tcMar>
            <w:vAlign w:val="center"/>
          </w:tcPr>
          <w:p>
            <w:pPr>
              <w:pStyle w:val="TableContents"/>
              <w:bidi w:val="0"/>
              <w:spacing w:before="0" w:after="283"/>
              <w:jc w:val="righ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980" w:type="dxa"/>
            <w:tcBorders>
              <w:top w:val="single" w:sz="12" w:space="0" w:color="000000"/>
            </w:tcBorders>
            <w:tcMar>
              <w:top w:w="28" w:type="dxa"/>
            </w:tcMar>
            <w:vAlign w:val="center"/>
          </w:tcPr>
          <w:p>
            <w:pPr>
              <w:pStyle w:val="TableContents"/>
              <w:bidi w:val="0"/>
              <w:spacing w:before="0" w:after="283"/>
              <w:jc w:val="righ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890" w:type="dxa"/>
            <w:tcBorders>
              <w:top w:val="single" w:sz="12" w:space="0" w:color="000000"/>
            </w:tcBorders>
            <w:tcMar>
              <w:top w:w="28" w:type="dxa"/>
            </w:tcMar>
            <w:vAlign w:val="center"/>
          </w:tcPr>
          <w:p>
            <w:pPr>
              <w:pStyle w:val="TableContents"/>
              <w:bidi w:val="0"/>
              <w:spacing w:before="0" w:after="283"/>
              <w:jc w:val="right"/>
              <w:rPr/>
            </w:pPr>
            <w:r>
              <w:rPr/>
              <w:t> </w:t>
            </w:r>
          </w:p>
        </w:tc>
        <w:tc>
          <w:tcPr>
            <w:tcW w:w="75" w:type="dxa"/>
            <w:tcBorders>
              <w:top w:val="single" w:sz="12" w:space="0" w:color="000000"/>
            </w:tcBorders>
            <w:tcMar>
              <w:top w:w="28" w:type="dxa"/>
            </w:tcM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As at February 28, 2022</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Total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Within</w:t>
              <w:br/>
              <w:t>1 year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Within</w:t>
              <w:br/>
              <w:t>2-5 years</w:t>
            </w:r>
          </w:p>
        </w:tc>
        <w:tc>
          <w:tcPr>
            <w:tcW w:w="75"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6" w:space="0" w:color="000000"/>
            </w:tcBorders>
            <w:tcMar>
              <w:bottom w:w="28"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6" w:space="0" w:color="000000"/>
            </w:tcBorders>
            <w:tcMar>
              <w:bottom w:w="28"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6" w:space="0" w:color="000000"/>
            </w:tcBorders>
            <w:tcMar>
              <w:bottom w:w="28" w:type="dxa"/>
            </w:tcMar>
            <w:vAlign w:val="center"/>
          </w:tcPr>
          <w:p>
            <w:pPr>
              <w:pStyle w:val="TableContents"/>
              <w:bidi w:val="0"/>
              <w:spacing w:before="0" w:after="283"/>
              <w:jc w:val="center"/>
              <w:rPr/>
            </w:pPr>
            <w:r>
              <w:rPr/>
              <w:t>$</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3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Accounts payable and accrued liabilities</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98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4,497,271</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98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4,497,271</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89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w:t>
            </w:r>
          </w:p>
        </w:tc>
        <w:tc>
          <w:tcPr>
            <w:tcW w:w="7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bl>
    <w:p>
      <w:pPr>
        <w:pStyle w:val="TextBody"/>
        <w:bidi w:val="0"/>
        <w:jc w:val="both"/>
        <w:rPr/>
      </w:pPr>
      <w:r>
        <w:rPr>
          <w:b/>
        </w:rPr>
        <w:t>14.</w:t>
      </w:r>
      <w:r>
        <w:rPr/>
        <w:t> </w:t>
      </w:r>
      <w:r>
        <w:rPr>
          <w:b/>
        </w:rPr>
        <w:t>Commitments</w:t>
      </w:r>
    </w:p>
    <w:p>
      <w:pPr>
        <w:pStyle w:val="TextBody"/>
        <w:bidi w:val="0"/>
        <w:ind w:left="480" w:right="0" w:hanging="0"/>
        <w:jc w:val="both"/>
        <w:rPr/>
      </w:pPr>
      <w:r>
        <w:rPr/>
        <w:t>The Company has commitments primarily for contracts supporting clinical trials. The Company is subject to commitments as follows:</w:t>
      </w:r>
    </w:p>
    <w:tbl>
      <w:tblPr>
        <w:tblW w:w="3700" w:type="dxa"/>
        <w:jc w:val="left"/>
        <w:tblInd w:w="480" w:type="dxa"/>
        <w:tblLayout w:type="fixed"/>
        <w:tblCellMar>
          <w:top w:w="0" w:type="dxa"/>
          <w:left w:w="0" w:type="dxa"/>
          <w:bottom w:w="28" w:type="dxa"/>
          <w:right w:w="0" w:type="dxa"/>
        </w:tblCellMar>
      </w:tblPr>
      <w:tblGrid>
        <w:gridCol w:w="2585"/>
        <w:gridCol w:w="60"/>
        <w:gridCol w:w="980"/>
        <w:gridCol w:w="75"/>
      </w:tblGrid>
      <w:tr>
        <w:trPr/>
        <w:tc>
          <w:tcPr>
            <w:tcW w:w="2585" w:type="dxa"/>
            <w:tcBorders>
              <w:bottom w:val="single" w:sz="6" w:space="0" w:color="000000"/>
            </w:tcBorders>
            <w:vAlign w:val="center"/>
          </w:tcPr>
          <w:p>
            <w:pPr>
              <w:pStyle w:val="TableContents"/>
              <w:bidi w:val="0"/>
              <w:spacing w:before="0" w:after="283"/>
              <w:jc w:val="left"/>
              <w:rPr/>
            </w:pPr>
            <w:r>
              <w:rPr/>
              <w:t>As at February 28, 2023</w:t>
            </w:r>
          </w:p>
        </w:tc>
        <w:tc>
          <w:tcPr>
            <w:tcW w:w="60" w:type="dxa"/>
            <w:tcBorders>
              <w:bottom w:val="single" w:sz="6" w:space="0" w:color="000000"/>
            </w:tcBorders>
            <w:vAlign w:val="center"/>
          </w:tcPr>
          <w:p>
            <w:pPr>
              <w:pStyle w:val="TableContents"/>
              <w:bidi w:val="0"/>
              <w:spacing w:before="0" w:after="283"/>
              <w:jc w:val="right"/>
              <w:rPr/>
            </w:pPr>
            <w:r>
              <w:rPr/>
              <w:t> </w:t>
            </w:r>
          </w:p>
        </w:tc>
        <w:tc>
          <w:tcPr>
            <w:tcW w:w="980" w:type="dxa"/>
            <w:tcBorders>
              <w:bottom w:val="single" w:sz="6" w:space="0" w:color="000000"/>
            </w:tcBorders>
            <w:vAlign w:val="center"/>
          </w:tcPr>
          <w:p>
            <w:pPr>
              <w:pStyle w:val="TableContents"/>
              <w:bidi w:val="0"/>
              <w:spacing w:before="0" w:after="283"/>
              <w:jc w:val="center"/>
              <w:rPr/>
            </w:pPr>
            <w:r>
              <w:rPr/>
              <w:t>$</w:t>
            </w:r>
          </w:p>
        </w:tc>
        <w:tc>
          <w:tcPr>
            <w:tcW w:w="75" w:type="dxa"/>
            <w:tcBorders>
              <w:bottom w:val="single" w:sz="6" w:space="0" w:color="000000"/>
            </w:tcBorders>
            <w:vAlign w:val="center"/>
          </w:tcPr>
          <w:p>
            <w:pPr>
              <w:pStyle w:val="TableContents"/>
              <w:bidi w:val="0"/>
              <w:spacing w:before="0" w:after="283"/>
              <w:jc w:val="right"/>
              <w:rPr/>
            </w:pPr>
            <w:r>
              <w:rPr/>
              <w:t> </w:t>
            </w:r>
          </w:p>
        </w:tc>
      </w:tr>
      <w:tr>
        <w:trPr/>
        <w:tc>
          <w:tcPr>
            <w:tcW w:w="2585"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Within one year</w:t>
            </w:r>
          </w:p>
        </w:tc>
        <w:tc>
          <w:tcPr>
            <w:tcW w:w="60"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 </w:t>
            </w:r>
          </w:p>
        </w:tc>
        <w:tc>
          <w:tcPr>
            <w:tcW w:w="980" w:type="dxa"/>
            <w:tcBorders>
              <w:top w:val="single" w:sz="6" w:space="0" w:color="000000"/>
            </w:tcBorders>
            <w:shd w:fill="E6EFFF" w:val="clear"/>
            <w:tcMar>
              <w:top w:w="28" w:type="dxa"/>
              <w:bottom w:w="0" w:type="dxa"/>
            </w:tcMar>
            <w:vAlign w:val="center"/>
          </w:tcPr>
          <w:p>
            <w:pPr>
              <w:pStyle w:val="TableContents"/>
              <w:bidi w:val="0"/>
              <w:spacing w:before="0" w:after="283"/>
              <w:jc w:val="right"/>
              <w:rPr/>
            </w:pPr>
            <w:r>
              <w:rPr/>
              <w:t>4,964,191</w:t>
            </w:r>
          </w:p>
        </w:tc>
        <w:tc>
          <w:tcPr>
            <w:tcW w:w="75"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pPr>
            <w:r>
              <w:rPr/>
              <w:t>In the second to third years</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286,469</w:t>
            </w:r>
          </w:p>
        </w:tc>
        <w:tc>
          <w:tcPr>
            <w:tcW w:w="75" w:type="dxa"/>
            <w:tcBorders/>
            <w:tcMar>
              <w:bottom w:w="0" w:type="dxa"/>
            </w:tcMar>
            <w:vAlign w:val="center"/>
          </w:tcPr>
          <w:p>
            <w:pPr>
              <w:pStyle w:val="TableContents"/>
              <w:bidi w:val="0"/>
              <w:spacing w:before="0" w:after="283"/>
              <w:jc w:val="left"/>
              <w:rPr/>
            </w:pPr>
            <w:r>
              <w:rPr/>
              <w:t> </w:t>
            </w:r>
          </w:p>
        </w:tc>
      </w:tr>
      <w:tr>
        <w:trPr/>
        <w:tc>
          <w:tcPr>
            <w:tcW w:w="2585" w:type="dxa"/>
            <w:tcBorders>
              <w:bottom w:val="single" w:sz="6" w:space="0" w:color="000000"/>
            </w:tcBorders>
            <w:shd w:fill="E6EFFF" w:val="clear"/>
            <w:vAlign w:val="center"/>
          </w:tcPr>
          <w:p>
            <w:pPr>
              <w:pStyle w:val="TableContents"/>
              <w:bidi w:val="0"/>
              <w:spacing w:before="0" w:after="283"/>
              <w:jc w:val="left"/>
              <w:rPr/>
            </w:pPr>
            <w:r>
              <w:rPr/>
              <w:t>In the fourth to fifth years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980" w:type="dxa"/>
            <w:tcBorders>
              <w:bottom w:val="single" w:sz="6" w:space="0" w:color="000000"/>
            </w:tcBorders>
            <w:shd w:fill="E6EFFF" w:val="clear"/>
            <w:vAlign w:val="center"/>
          </w:tcPr>
          <w:p>
            <w:pPr>
              <w:pStyle w:val="TableContents"/>
              <w:bidi w:val="0"/>
              <w:spacing w:before="0" w:after="283"/>
              <w:jc w:val="right"/>
              <w:rPr/>
            </w:pPr>
            <w:r>
              <w:rPr/>
              <w:t>16,355</w:t>
            </w:r>
          </w:p>
        </w:tc>
        <w:tc>
          <w:tcPr>
            <w:tcW w:w="75"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2585" w:type="dxa"/>
            <w:tcBorders>
              <w:top w:val="single" w:sz="6" w:space="0" w:color="000000"/>
              <w:bottom w:val="single" w:sz="12" w:space="0" w:color="000000"/>
            </w:tcBorders>
            <w:tcMar>
              <w:top w:w="28" w:type="dxa"/>
            </w:tcMar>
            <w:vAlign w:val="center"/>
          </w:tcPr>
          <w:p>
            <w:pPr>
              <w:pStyle w:val="TableContents"/>
              <w:bidi w:val="0"/>
              <w:spacing w:before="0" w:after="283"/>
              <w:jc w:val="left"/>
              <w:rPr/>
            </w:pPr>
            <w:r>
              <w:rPr/>
              <w:t>Total</w:t>
            </w:r>
          </w:p>
        </w:tc>
        <w:tc>
          <w:tcPr>
            <w:tcW w:w="60" w:type="dxa"/>
            <w:tcBorders>
              <w:top w:val="single" w:sz="6" w:space="0" w:color="000000"/>
              <w:bottom w:val="single" w:sz="12" w:space="0" w:color="000000"/>
            </w:tcBorders>
            <w:tcMar>
              <w:top w:w="28" w:type="dxa"/>
            </w:tcMar>
            <w:vAlign w:val="center"/>
          </w:tcPr>
          <w:p>
            <w:pPr>
              <w:pStyle w:val="TableContents"/>
              <w:bidi w:val="0"/>
              <w:spacing w:before="0" w:after="283"/>
              <w:jc w:val="left"/>
              <w:rPr/>
            </w:pPr>
            <w:r>
              <w:rPr/>
              <w:t> </w:t>
            </w:r>
          </w:p>
        </w:tc>
        <w:tc>
          <w:tcPr>
            <w:tcW w:w="980" w:type="dxa"/>
            <w:tcBorders>
              <w:top w:val="single" w:sz="6" w:space="0" w:color="000000"/>
              <w:bottom w:val="single" w:sz="12" w:space="0" w:color="000000"/>
            </w:tcBorders>
            <w:tcMar>
              <w:top w:w="28" w:type="dxa"/>
            </w:tcMar>
            <w:vAlign w:val="center"/>
          </w:tcPr>
          <w:p>
            <w:pPr>
              <w:pStyle w:val="TableContents"/>
              <w:bidi w:val="0"/>
              <w:spacing w:before="0" w:after="283"/>
              <w:jc w:val="right"/>
              <w:rPr/>
            </w:pPr>
            <w:r>
              <w:rPr/>
              <w:t>5,267,015</w:t>
            </w:r>
          </w:p>
        </w:tc>
        <w:tc>
          <w:tcPr>
            <w:tcW w:w="75" w:type="dxa"/>
            <w:tcBorders>
              <w:top w:val="single" w:sz="6" w:space="0" w:color="000000"/>
              <w:bottom w:val="single" w:sz="12" w:space="0" w:color="000000"/>
            </w:tcBorders>
            <w:tcMar>
              <w:top w:w="28" w:type="dxa"/>
            </w:tcMar>
            <w:vAlign w:val="center"/>
          </w:tcPr>
          <w:p>
            <w:pPr>
              <w:pStyle w:val="TableContents"/>
              <w:bidi w:val="0"/>
              <w:spacing w:before="0" w:after="283"/>
              <w:jc w:val="left"/>
              <w:rPr/>
            </w:pPr>
            <w:r>
              <w:rPr/>
              <w:t> </w:t>
            </w:r>
          </w:p>
        </w:tc>
      </w:tr>
    </w:tbl>
    <w:p>
      <w:pPr>
        <w:pStyle w:val="TextBody"/>
        <w:bidi w:val="0"/>
        <w:ind w:left="520" w:right="0" w:hanging="0"/>
        <w:jc w:val="both"/>
        <w:rPr/>
      </w:pPr>
      <w:r>
        <w:rPr/>
        <w:t>As at February 28, 2023, there is an unprovided contingent liability of $2,104,394 in relation to officers and employee bonuses. The board approved payment of these bonuses in the event that certain conditions are satisfied. Management's view is that it is unlikely that the conditions will be satisfied to trigger the payment of the bonuses for the year ended February 28, 2023 and therefore $nil has been included in accounts payable and accrued liabilities at February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15.</w:t>
      </w:r>
      <w:r>
        <w:rPr/>
        <w:t> </w:t>
      </w:r>
      <w:r>
        <w:rPr>
          <w:b/>
        </w:rPr>
        <w:t>Segmented Information</w:t>
      </w:r>
    </w:p>
    <w:p>
      <w:pPr>
        <w:pStyle w:val="TextBody"/>
        <w:bidi w:val="0"/>
        <w:ind w:left="480" w:right="0" w:hanging="0"/>
        <w:jc w:val="both"/>
        <w:rPr/>
      </w:pPr>
      <w:r>
        <w:rPr/>
        <w:t>The Company has one operating segment, research and development ("R&amp;D") of psychedelic and non- psychedelic medicine. The Company's head office and operations are in the UK. Geographic information for non-current assets is as follows:</w:t>
      </w:r>
    </w:p>
    <w:tbl>
      <w:tblPr>
        <w:tblW w:w="5480" w:type="dxa"/>
        <w:jc w:val="left"/>
        <w:tblInd w:w="513" w:type="dxa"/>
        <w:tblLayout w:type="fixed"/>
        <w:tblCellMar>
          <w:top w:w="0" w:type="dxa"/>
          <w:left w:w="0" w:type="dxa"/>
          <w:bottom w:w="28" w:type="dxa"/>
          <w:right w:w="0" w:type="dxa"/>
        </w:tblCellMar>
      </w:tblPr>
      <w:tblGrid>
        <w:gridCol w:w="2345"/>
        <w:gridCol w:w="60"/>
        <w:gridCol w:w="980"/>
        <w:gridCol w:w="60"/>
        <w:gridCol w:w="60"/>
        <w:gridCol w:w="800"/>
        <w:gridCol w:w="60"/>
        <w:gridCol w:w="60"/>
        <w:gridCol w:w="980"/>
        <w:gridCol w:w="75"/>
      </w:tblGrid>
      <w:tr>
        <w:trPr/>
        <w:tc>
          <w:tcPr>
            <w:tcW w:w="2345" w:type="dxa"/>
            <w:tcBorders>
              <w:bottom w:val="single" w:sz="6" w:space="0" w:color="000000"/>
            </w:tcBorders>
            <w:vAlign w:val="center"/>
          </w:tcPr>
          <w:p>
            <w:pPr>
              <w:pStyle w:val="TableContents"/>
              <w:bidi w:val="0"/>
              <w:spacing w:before="0" w:after="283"/>
              <w:jc w:val="both"/>
              <w:rPr/>
            </w:pPr>
            <w:r>
              <w:rPr/>
              <w:t>As at February 28, 2023</w:t>
            </w:r>
          </w:p>
        </w:tc>
        <w:tc>
          <w:tcPr>
            <w:tcW w:w="60" w:type="dxa"/>
            <w:tcBorders>
              <w:bottom w:val="single" w:sz="6" w:space="0" w:color="000000"/>
            </w:tcBorders>
            <w:vAlign w:val="center"/>
          </w:tcPr>
          <w:p>
            <w:pPr>
              <w:pStyle w:val="TableContents"/>
              <w:bidi w:val="0"/>
              <w:spacing w:before="0" w:after="283"/>
              <w:jc w:val="center"/>
              <w:rPr/>
            </w:pPr>
            <w:r>
              <w:rPr/>
              <w:t> </w:t>
            </w:r>
          </w:p>
        </w:tc>
        <w:tc>
          <w:tcPr>
            <w:tcW w:w="980" w:type="dxa"/>
            <w:tcBorders>
              <w:bottom w:val="single" w:sz="6" w:space="0" w:color="000000"/>
            </w:tcBorders>
            <w:vAlign w:val="center"/>
          </w:tcPr>
          <w:p>
            <w:pPr>
              <w:pStyle w:val="TableContents"/>
              <w:bidi w:val="0"/>
              <w:spacing w:before="0" w:after="283"/>
              <w:jc w:val="center"/>
              <w:rPr/>
            </w:pPr>
            <w:r>
              <w:rPr/>
              <w:t>Canada</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00" w:type="dxa"/>
            <w:tcBorders>
              <w:bottom w:val="single" w:sz="6" w:space="0" w:color="000000"/>
            </w:tcBorders>
            <w:vAlign w:val="center"/>
          </w:tcPr>
          <w:p>
            <w:pPr>
              <w:pStyle w:val="TableContents"/>
              <w:bidi w:val="0"/>
              <w:spacing w:before="0" w:after="283"/>
              <w:jc w:val="center"/>
              <w:rPr/>
            </w:pPr>
            <w:r>
              <w:rPr/>
              <w:t>UK</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980" w:type="dxa"/>
            <w:tcBorders>
              <w:bottom w:val="single" w:sz="6" w:space="0" w:color="000000"/>
            </w:tcBorders>
            <w:vAlign w:val="center"/>
          </w:tcPr>
          <w:p>
            <w:pPr>
              <w:pStyle w:val="TableContents"/>
              <w:bidi w:val="0"/>
              <w:spacing w:before="0" w:after="283"/>
              <w:jc w:val="center"/>
              <w:rPr/>
            </w:pPr>
            <w:r>
              <w:rPr/>
              <w:t>Total</w:t>
              <w:br/>
              <w: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2345" w:type="dxa"/>
            <w:tcBorders/>
            <w:shd w:fill="E6EFFF" w:val="clear"/>
            <w:tcMar>
              <w:bottom w:w="0" w:type="dxa"/>
            </w:tcMar>
            <w:vAlign w:val="center"/>
          </w:tcPr>
          <w:p>
            <w:pPr>
              <w:pStyle w:val="TableContents"/>
              <w:bidi w:val="0"/>
              <w:spacing w:before="0" w:after="283"/>
              <w:jc w:val="left"/>
              <w:rPr/>
            </w:pPr>
            <w:r>
              <w:rPr/>
              <w:t>Property and equipment</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800" w:type="dxa"/>
            <w:tcBorders/>
            <w:shd w:fill="E6EFFF" w:val="clear"/>
            <w:tcMar>
              <w:bottom w:w="0" w:type="dxa"/>
            </w:tcMar>
            <w:vAlign w:val="center"/>
          </w:tcPr>
          <w:p>
            <w:pPr>
              <w:pStyle w:val="TableContents"/>
              <w:bidi w:val="0"/>
              <w:spacing w:before="0" w:after="283"/>
              <w:jc w:val="right"/>
              <w:rPr/>
            </w:pPr>
            <w:r>
              <w:rPr/>
              <w:t>54,341</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54,341</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345" w:type="dxa"/>
            <w:tcBorders>
              <w:bottom w:val="single" w:sz="6" w:space="0" w:color="000000"/>
            </w:tcBorders>
            <w:vAlign w:val="center"/>
          </w:tcPr>
          <w:p>
            <w:pPr>
              <w:pStyle w:val="TableContents"/>
              <w:bidi w:val="0"/>
              <w:spacing w:before="0" w:after="283"/>
              <w:jc w:val="left"/>
              <w:rPr/>
            </w:pPr>
            <w:r>
              <w:rPr/>
              <w:t>Right-of-use asset</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righ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800" w:type="dxa"/>
            <w:tcBorders>
              <w:bottom w:val="single" w:sz="6" w:space="0" w:color="000000"/>
            </w:tcBorders>
            <w:vAlign w:val="center"/>
          </w:tcPr>
          <w:p>
            <w:pPr>
              <w:pStyle w:val="TableContents"/>
              <w:bidi w:val="0"/>
              <w:spacing w:before="0" w:after="283"/>
              <w:jc w:val="right"/>
              <w:rPr/>
            </w:pPr>
            <w:r>
              <w:rPr/>
              <w:t>605,233</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right"/>
              <w:rPr/>
            </w:pPr>
            <w:r>
              <w:rPr/>
              <w:t>605,233</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2345" w:type="dxa"/>
            <w:tcBorders>
              <w:bottom w:val="single" w:sz="12" w:space="0" w:color="000000"/>
            </w:tcBorders>
            <w:shd w:fill="E6EFFF" w:val="clear"/>
            <w:vAlign w:val="center"/>
          </w:tcPr>
          <w:p>
            <w:pPr>
              <w:pStyle w:val="TableContents"/>
              <w:bidi w:val="0"/>
              <w:spacing w:before="0" w:after="0"/>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80" w:type="dxa"/>
            <w:tcBorders>
              <w:bottom w:val="single" w:sz="12" w:space="0" w:color="000000"/>
            </w:tcBorders>
            <w:shd w:fill="E6EFFF" w:val="clear"/>
            <w:vAlign w:val="center"/>
          </w:tcPr>
          <w:p>
            <w:pPr>
              <w:pStyle w:val="TableContents"/>
              <w:bidi w:val="0"/>
              <w:spacing w:before="0" w:after="283"/>
              <w:jc w:val="right"/>
              <w:rPr/>
            </w:pPr>
            <w:r>
              <w:rPr/>
              <w:t>-</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00" w:type="dxa"/>
            <w:tcBorders>
              <w:bottom w:val="single" w:sz="12" w:space="0" w:color="000000"/>
            </w:tcBorders>
            <w:shd w:fill="E6EFFF" w:val="clear"/>
            <w:vAlign w:val="center"/>
          </w:tcPr>
          <w:p>
            <w:pPr>
              <w:pStyle w:val="TableContents"/>
              <w:bidi w:val="0"/>
              <w:spacing w:before="0" w:after="283"/>
              <w:jc w:val="right"/>
              <w:rPr/>
            </w:pPr>
            <w:r>
              <w:rPr/>
              <w:t>659,574</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80" w:type="dxa"/>
            <w:tcBorders>
              <w:bottom w:val="single" w:sz="12" w:space="0" w:color="000000"/>
            </w:tcBorders>
            <w:shd w:fill="E6EFFF" w:val="clear"/>
            <w:vAlign w:val="center"/>
          </w:tcPr>
          <w:p>
            <w:pPr>
              <w:pStyle w:val="TableContents"/>
              <w:bidi w:val="0"/>
              <w:spacing w:before="0" w:after="283"/>
              <w:jc w:val="right"/>
              <w:rPr/>
            </w:pPr>
            <w:r>
              <w:rPr/>
              <w:t>659,574</w:t>
            </w:r>
          </w:p>
        </w:tc>
        <w:tc>
          <w:tcPr>
            <w:tcW w:w="75" w:type="dxa"/>
            <w:tcBorders>
              <w:bottom w:val="single" w:sz="12" w:space="0" w:color="000000"/>
            </w:tcBorders>
            <w:shd w:fill="E6EFFF" w:val="clear"/>
            <w:vAlign w:val="center"/>
          </w:tcPr>
          <w:p>
            <w:pPr>
              <w:pStyle w:val="TableContents"/>
              <w:bidi w:val="0"/>
              <w:spacing w:before="0" w:after="283"/>
              <w:jc w:val="left"/>
              <w:rPr/>
            </w:pPr>
            <w:r>
              <w:rPr/>
              <w:t> </w:t>
            </w:r>
          </w:p>
        </w:tc>
      </w:tr>
      <w:tr>
        <w:trPr/>
        <w:tc>
          <w:tcPr>
            <w:tcW w:w="23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80" w:type="dxa"/>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45" w:type="dxa"/>
            <w:tcBorders>
              <w:bottom w:val="single" w:sz="6" w:space="0" w:color="000000"/>
            </w:tcBorders>
            <w:vAlign w:val="center"/>
          </w:tcPr>
          <w:p>
            <w:pPr>
              <w:pStyle w:val="TableContents"/>
              <w:bidi w:val="0"/>
              <w:spacing w:before="0" w:after="283"/>
              <w:jc w:val="left"/>
              <w:rPr/>
            </w:pPr>
            <w:r>
              <w:rPr/>
              <w:t>As at February 28, 2022</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center"/>
              <w:rPr/>
            </w:pPr>
            <w:r>
              <w:rPr/>
              <w:t>Canada</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00" w:type="dxa"/>
            <w:tcBorders>
              <w:bottom w:val="single" w:sz="6" w:space="0" w:color="000000"/>
            </w:tcBorders>
            <w:vAlign w:val="center"/>
          </w:tcPr>
          <w:p>
            <w:pPr>
              <w:pStyle w:val="TableContents"/>
              <w:bidi w:val="0"/>
              <w:spacing w:before="0" w:after="283"/>
              <w:jc w:val="center"/>
              <w:rPr/>
            </w:pPr>
            <w:r>
              <w:rPr/>
              <w:t>UK</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980" w:type="dxa"/>
            <w:tcBorders>
              <w:bottom w:val="single" w:sz="6" w:space="0" w:color="000000"/>
            </w:tcBorders>
            <w:vAlign w:val="center"/>
          </w:tcPr>
          <w:p>
            <w:pPr>
              <w:pStyle w:val="TableContents"/>
              <w:bidi w:val="0"/>
              <w:spacing w:before="0" w:after="283"/>
              <w:jc w:val="center"/>
              <w:rPr/>
            </w:pPr>
            <w:r>
              <w:rPr/>
              <w:t>Total</w:t>
              <w:br/>
              <w:t>$</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2345" w:type="dxa"/>
            <w:tcBorders/>
            <w:shd w:fill="E6EFFF" w:val="clear"/>
            <w:tcMar>
              <w:bottom w:w="0" w:type="dxa"/>
            </w:tcMar>
            <w:vAlign w:val="center"/>
          </w:tcPr>
          <w:p>
            <w:pPr>
              <w:pStyle w:val="TableContents"/>
              <w:bidi w:val="0"/>
              <w:spacing w:before="0" w:after="283"/>
              <w:jc w:val="left"/>
              <w:rPr/>
            </w:pPr>
            <w:r>
              <w:rPr/>
              <w:t>Restricted cash</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2,500,000</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800" w:type="dxa"/>
            <w:tcBorders/>
            <w:shd w:fill="E6EFFF" w:val="clear"/>
            <w:tcMar>
              <w:bottom w:w="0" w:type="dxa"/>
            </w:tcMar>
            <w:vAlign w:val="center"/>
          </w:tcPr>
          <w:p>
            <w:pPr>
              <w:pStyle w:val="TableContents"/>
              <w:bidi w:val="0"/>
              <w:spacing w:before="0" w:after="283"/>
              <w:jc w:val="righ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2,500,000</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345" w:type="dxa"/>
            <w:tcBorders>
              <w:bottom w:val="single" w:sz="6" w:space="0" w:color="000000"/>
            </w:tcBorders>
            <w:vAlign w:val="center"/>
          </w:tcPr>
          <w:p>
            <w:pPr>
              <w:pStyle w:val="TableContents"/>
              <w:bidi w:val="0"/>
              <w:spacing w:before="0" w:after="283"/>
              <w:jc w:val="left"/>
              <w:rPr/>
            </w:pPr>
            <w:r>
              <w:rPr/>
              <w:t>Property and equipment</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righ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800" w:type="dxa"/>
            <w:tcBorders>
              <w:bottom w:val="single" w:sz="6" w:space="0" w:color="000000"/>
            </w:tcBorders>
            <w:vAlign w:val="center"/>
          </w:tcPr>
          <w:p>
            <w:pPr>
              <w:pStyle w:val="TableContents"/>
              <w:bidi w:val="0"/>
              <w:spacing w:before="0" w:after="283"/>
              <w:jc w:val="right"/>
              <w:rPr/>
            </w:pPr>
            <w:r>
              <w:rPr/>
              <w:t>61,789</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right"/>
              <w:rPr/>
            </w:pPr>
            <w:r>
              <w:rPr/>
              <w:t>61,789</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2345" w:type="dxa"/>
            <w:tcBorders>
              <w:bottom w:val="single" w:sz="12" w:space="0" w:color="000000"/>
            </w:tcBorders>
            <w:shd w:fill="E6EFFF" w:val="clear"/>
            <w:vAlign w:val="center"/>
          </w:tcPr>
          <w:p>
            <w:pPr>
              <w:pStyle w:val="TableContents"/>
              <w:bidi w:val="0"/>
              <w:spacing w:before="0" w:after="0"/>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80" w:type="dxa"/>
            <w:tcBorders>
              <w:bottom w:val="single" w:sz="12" w:space="0" w:color="000000"/>
            </w:tcBorders>
            <w:shd w:fill="E6EFFF" w:val="clear"/>
            <w:vAlign w:val="center"/>
          </w:tcPr>
          <w:p>
            <w:pPr>
              <w:pStyle w:val="TableContents"/>
              <w:bidi w:val="0"/>
              <w:spacing w:before="0" w:after="283"/>
              <w:jc w:val="right"/>
              <w:rPr/>
            </w:pPr>
            <w:r>
              <w:rPr/>
              <w:t>2,500,000</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00" w:type="dxa"/>
            <w:tcBorders>
              <w:bottom w:val="single" w:sz="12" w:space="0" w:color="000000"/>
            </w:tcBorders>
            <w:shd w:fill="E6EFFF" w:val="clear"/>
            <w:vAlign w:val="center"/>
          </w:tcPr>
          <w:p>
            <w:pPr>
              <w:pStyle w:val="TableContents"/>
              <w:bidi w:val="0"/>
              <w:spacing w:before="0" w:after="283"/>
              <w:jc w:val="right"/>
              <w:rPr/>
            </w:pPr>
            <w:r>
              <w:rPr/>
              <w:t>61,789</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80" w:type="dxa"/>
            <w:tcBorders>
              <w:bottom w:val="single" w:sz="12" w:space="0" w:color="000000"/>
            </w:tcBorders>
            <w:shd w:fill="E6EFFF" w:val="clear"/>
            <w:vAlign w:val="center"/>
          </w:tcPr>
          <w:p>
            <w:pPr>
              <w:pStyle w:val="TableContents"/>
              <w:bidi w:val="0"/>
              <w:spacing w:before="0" w:after="283"/>
              <w:jc w:val="right"/>
              <w:rPr/>
            </w:pPr>
            <w:r>
              <w:rPr/>
              <w:t>2,561,789</w:t>
            </w:r>
          </w:p>
        </w:tc>
        <w:tc>
          <w:tcPr>
            <w:tcW w:w="75"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ind w:left="480" w:right="0" w:hanging="0"/>
        <w:jc w:val="both"/>
        <w:rPr/>
      </w:pPr>
      <w:r>
        <w:rPr/>
        <w:t>For the year ended February 28, 2023, the Company did not generate any revenue (2022 - $nil).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16.</w:t>
      </w:r>
      <w:r>
        <w:rPr/>
        <w:t> </w:t>
      </w:r>
      <w:r>
        <w:rPr>
          <w:b/>
        </w:rPr>
        <w:t>Taxation</w:t>
      </w:r>
    </w:p>
    <w:p>
      <w:pPr>
        <w:pStyle w:val="TextBody"/>
        <w:bidi w:val="0"/>
        <w:ind w:left="480" w:right="0" w:hanging="0"/>
        <w:jc w:val="both"/>
        <w:rPr/>
      </w:pPr>
      <w:r>
        <w:rPr>
          <w:b/>
        </w:rPr>
        <w:t>(a)</w:t>
      </w:r>
      <w:r>
        <w:rPr/>
        <w:t> </w:t>
      </w:r>
      <w:r>
        <w:rPr>
          <w:b/>
        </w:rPr>
        <w:t>Income Tax Rate</w:t>
      </w:r>
    </w:p>
    <w:p>
      <w:pPr>
        <w:pStyle w:val="TextBody"/>
        <w:bidi w:val="0"/>
        <w:ind w:left="480" w:right="0" w:hanging="0"/>
        <w:jc w:val="both"/>
        <w:rPr/>
      </w:pPr>
      <w:r>
        <w:rPr/>
        <w:t>The major items causing the Company's income tax rate to differ from the Canadian statutory rate of approximately 27% (2022: 27%) are as follows:</w:t>
      </w:r>
    </w:p>
    <w:tbl>
      <w:tblPr>
        <w:tblW w:w="9725" w:type="dxa"/>
        <w:jc w:val="left"/>
        <w:tblInd w:w="480" w:type="dxa"/>
        <w:tblLayout w:type="fixed"/>
        <w:tblCellMar>
          <w:top w:w="0" w:type="dxa"/>
          <w:left w:w="0" w:type="dxa"/>
          <w:bottom w:w="0" w:type="dxa"/>
          <w:right w:w="0" w:type="dxa"/>
        </w:tblCellMar>
      </w:tblPr>
      <w:tblGrid>
        <w:gridCol w:w="6944"/>
        <w:gridCol w:w="60"/>
        <w:gridCol w:w="1227"/>
        <w:gridCol w:w="95"/>
        <w:gridCol w:w="60"/>
        <w:gridCol w:w="1227"/>
        <w:gridCol w:w="112"/>
      </w:tblGrid>
      <w:tr>
        <w:trPr/>
        <w:tc>
          <w:tcPr>
            <w:tcW w:w="6944"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Year ended</w:t>
              <w:br/>
              <w:t>February 28,</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Year ended</w:t>
              <w:br/>
              <w:t>February 28,</w:t>
            </w:r>
          </w:p>
        </w:tc>
        <w:tc>
          <w:tcPr>
            <w:tcW w:w="112" w:type="dxa"/>
            <w:tcBorders/>
            <w:vAlign w:val="center"/>
          </w:tcPr>
          <w:p>
            <w:pPr>
              <w:pStyle w:val="TableContents"/>
              <w:bidi w:val="0"/>
              <w:spacing w:before="0" w:after="283"/>
              <w:jc w:val="left"/>
              <w:rPr/>
            </w:pPr>
            <w:r>
              <w:rPr/>
              <w:t> </w:t>
            </w:r>
          </w:p>
        </w:tc>
      </w:tr>
      <w:tr>
        <w:trPr/>
        <w:tc>
          <w:tcPr>
            <w:tcW w:w="6944"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2022</w:t>
            </w:r>
          </w:p>
        </w:tc>
        <w:tc>
          <w:tcPr>
            <w:tcW w:w="112" w:type="dxa"/>
            <w:tcBorders/>
            <w:vAlign w:val="center"/>
          </w:tcPr>
          <w:p>
            <w:pPr>
              <w:pStyle w:val="TableContents"/>
              <w:bidi w:val="0"/>
              <w:spacing w:before="0" w:after="283"/>
              <w:jc w:val="left"/>
              <w:rPr/>
            </w:pPr>
            <w:r>
              <w:rPr/>
              <w:t> </w:t>
            </w:r>
          </w:p>
        </w:tc>
      </w:tr>
      <w:tr>
        <w:trPr/>
        <w:tc>
          <w:tcPr>
            <w:tcW w:w="6944" w:type="dxa"/>
            <w:tcBorders>
              <w:bottom w:val="single" w:sz="6" w:space="0" w:color="000000"/>
            </w:tcBorders>
            <w:tcMar>
              <w:bottom w:w="28" w:type="dxa"/>
            </w:tcMar>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27"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27" w:type="dxa"/>
            <w:tcBorders>
              <w:bottom w:val="single" w:sz="6" w:space="0" w:color="000000"/>
            </w:tcBorders>
            <w:tcMar>
              <w:bottom w:w="28" w:type="dxa"/>
            </w:tcMar>
            <w:vAlign w:val="center"/>
          </w:tcPr>
          <w:p>
            <w:pPr>
              <w:pStyle w:val="TableContents"/>
              <w:bidi w:val="0"/>
              <w:spacing w:before="0" w:after="283"/>
              <w:jc w:val="center"/>
              <w:rPr/>
            </w:pPr>
            <w:r>
              <w:rPr/>
              <w:t>$</w:t>
            </w:r>
          </w:p>
        </w:tc>
        <w:tc>
          <w:tcPr>
            <w:tcW w:w="112"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6944"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center"/>
              <w:rPr/>
            </w:pPr>
            <w:r>
              <w:rPr/>
              <w:t> </w:t>
            </w:r>
          </w:p>
        </w:tc>
      </w:tr>
      <w:tr>
        <w:trPr/>
        <w:tc>
          <w:tcPr>
            <w:tcW w:w="6944" w:type="dxa"/>
            <w:tcBorders>
              <w:bottom w:val="single" w:sz="6" w:space="0" w:color="000000"/>
            </w:tcBorders>
            <w:shd w:fill="E6EFFF" w:val="clear"/>
            <w:tcMar>
              <w:bottom w:w="28" w:type="dxa"/>
            </w:tcMar>
            <w:vAlign w:val="center"/>
          </w:tcPr>
          <w:p>
            <w:pPr>
              <w:pStyle w:val="TableContents"/>
              <w:bidi w:val="0"/>
              <w:spacing w:before="0" w:after="283"/>
              <w:jc w:val="left"/>
              <w:rPr/>
            </w:pPr>
            <w:r>
              <w:rPr/>
              <w:t>Net loss before income taxes</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shd w:fill="E6EFFF" w:val="clear"/>
            <w:tcMar>
              <w:bottom w:w="28" w:type="dxa"/>
            </w:tcMar>
            <w:vAlign w:val="center"/>
          </w:tcPr>
          <w:p>
            <w:pPr>
              <w:pStyle w:val="TableContents"/>
              <w:bidi w:val="0"/>
              <w:spacing w:before="0" w:after="283"/>
              <w:jc w:val="right"/>
              <w:rPr/>
            </w:pPr>
            <w:r>
              <w:rPr/>
              <w:t>(24,721,409</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shd w:fill="E6EFFF" w:val="clear"/>
            <w:tcMar>
              <w:bottom w:w="28" w:type="dxa"/>
            </w:tcMar>
            <w:vAlign w:val="center"/>
          </w:tcPr>
          <w:p>
            <w:pPr>
              <w:pStyle w:val="TableContents"/>
              <w:bidi w:val="0"/>
              <w:spacing w:before="0" w:after="283"/>
              <w:jc w:val="right"/>
              <w:rPr/>
            </w:pPr>
            <w:r>
              <w:rPr/>
              <w:t>(22,920,850</w:t>
            </w:r>
          </w:p>
        </w:tc>
        <w:tc>
          <w:tcPr>
            <w:tcW w:w="112"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r>
      <w:tr>
        <w:trPr/>
        <w:tc>
          <w:tcPr>
            <w:tcW w:w="6944" w:type="dxa"/>
            <w:tcBorders/>
            <w:vAlign w:val="center"/>
          </w:tcPr>
          <w:p>
            <w:pPr>
              <w:pStyle w:val="TableContents"/>
              <w:bidi w:val="0"/>
              <w:spacing w:before="0" w:after="283"/>
              <w:jc w:val="left"/>
              <w:rPr/>
            </w:pPr>
            <w:r>
              <w:rPr/>
              <w:t>Expected recovery at statutory rate of 27% (2022: 27%)</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(6,674,780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(6,188,629</w:t>
            </w:r>
          </w:p>
        </w:tc>
        <w:tc>
          <w:tcPr>
            <w:tcW w:w="112" w:type="dxa"/>
            <w:tcBorders/>
            <w:vAlign w:val="center"/>
          </w:tcPr>
          <w:p>
            <w:pPr>
              <w:pStyle w:val="TableContents"/>
              <w:bidi w:val="0"/>
              <w:spacing w:before="0" w:after="283"/>
              <w:jc w:val="left"/>
              <w:rPr/>
            </w:pPr>
            <w:r>
              <w:rPr/>
              <w:t>)</w:t>
            </w:r>
          </w:p>
        </w:tc>
      </w:tr>
      <w:tr>
        <w:trPr/>
        <w:tc>
          <w:tcPr>
            <w:tcW w:w="6944" w:type="dxa"/>
            <w:tcBorders/>
            <w:shd w:fill="E6EFFF" w:val="clear"/>
            <w:vAlign w:val="center"/>
          </w:tcPr>
          <w:p>
            <w:pPr>
              <w:pStyle w:val="TableContents"/>
              <w:bidi w:val="0"/>
              <w:spacing w:before="0" w:after="283"/>
              <w:jc w:val="left"/>
              <w:rPr/>
            </w:pPr>
            <w:r>
              <w:rPr/>
              <w:t>Difference between Canadian and foreign tax rates</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1,886,975</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1,429,463</w:t>
            </w:r>
          </w:p>
        </w:tc>
        <w:tc>
          <w:tcPr>
            <w:tcW w:w="112" w:type="dxa"/>
            <w:tcBorders/>
            <w:shd w:fill="E6EFFF" w:val="clear"/>
            <w:vAlign w:val="center"/>
          </w:tcPr>
          <w:p>
            <w:pPr>
              <w:pStyle w:val="TableContents"/>
              <w:bidi w:val="0"/>
              <w:spacing w:before="0" w:after="283"/>
              <w:jc w:val="left"/>
              <w:rPr/>
            </w:pPr>
            <w:r>
              <w:rPr/>
              <w:t> </w:t>
            </w:r>
          </w:p>
        </w:tc>
      </w:tr>
      <w:tr>
        <w:trPr/>
        <w:tc>
          <w:tcPr>
            <w:tcW w:w="6944" w:type="dxa"/>
            <w:tcBorders/>
            <w:vAlign w:val="center"/>
          </w:tcPr>
          <w:p>
            <w:pPr>
              <w:pStyle w:val="TableContents"/>
              <w:bidi w:val="0"/>
              <w:spacing w:before="0" w:after="283"/>
              <w:jc w:val="left"/>
              <w:rPr/>
            </w:pPr>
            <w:r>
              <w:rPr/>
              <w:t>Share-based payment expense</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190,794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148,539</w:t>
            </w:r>
          </w:p>
        </w:tc>
        <w:tc>
          <w:tcPr>
            <w:tcW w:w="112" w:type="dxa"/>
            <w:tcBorders/>
            <w:vAlign w:val="center"/>
          </w:tcPr>
          <w:p>
            <w:pPr>
              <w:pStyle w:val="TableContents"/>
              <w:bidi w:val="0"/>
              <w:spacing w:before="0" w:after="283"/>
              <w:jc w:val="left"/>
              <w:rPr/>
            </w:pPr>
            <w:r>
              <w:rPr/>
              <w:t> </w:t>
            </w:r>
          </w:p>
        </w:tc>
      </w:tr>
      <w:tr>
        <w:trPr/>
        <w:tc>
          <w:tcPr>
            <w:tcW w:w="6944" w:type="dxa"/>
            <w:tcBorders/>
            <w:shd w:fill="E6EFFF" w:val="clear"/>
            <w:vAlign w:val="center"/>
          </w:tcPr>
          <w:p>
            <w:pPr>
              <w:pStyle w:val="TableContents"/>
              <w:bidi w:val="0"/>
              <w:spacing w:before="0" w:after="283"/>
              <w:jc w:val="left"/>
              <w:rPr/>
            </w:pPr>
            <w:r>
              <w:rPr/>
              <w:t>Non-deductible expenses</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3,814</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1,374,452</w:t>
            </w:r>
          </w:p>
        </w:tc>
        <w:tc>
          <w:tcPr>
            <w:tcW w:w="112" w:type="dxa"/>
            <w:tcBorders/>
            <w:shd w:fill="E6EFFF" w:val="clear"/>
            <w:vAlign w:val="center"/>
          </w:tcPr>
          <w:p>
            <w:pPr>
              <w:pStyle w:val="TableContents"/>
              <w:bidi w:val="0"/>
              <w:spacing w:before="0" w:after="283"/>
              <w:jc w:val="left"/>
              <w:rPr/>
            </w:pPr>
            <w:r>
              <w:rPr/>
              <w:t> </w:t>
            </w:r>
          </w:p>
        </w:tc>
      </w:tr>
      <w:tr>
        <w:trPr/>
        <w:tc>
          <w:tcPr>
            <w:tcW w:w="6944" w:type="dxa"/>
            <w:tcBorders/>
            <w:vAlign w:val="center"/>
          </w:tcPr>
          <w:p>
            <w:pPr>
              <w:pStyle w:val="TableContents"/>
              <w:bidi w:val="0"/>
              <w:spacing w:before="0" w:after="283"/>
              <w:jc w:val="left"/>
              <w:rPr/>
            </w:pPr>
            <w:r>
              <w:rPr/>
              <w:t>Share issuance cost booked to equity</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(189,028</w:t>
            </w:r>
          </w:p>
        </w:tc>
        <w:tc>
          <w:tcPr>
            <w:tcW w:w="112" w:type="dxa"/>
            <w:tcBorders/>
            <w:vAlign w:val="center"/>
          </w:tcPr>
          <w:p>
            <w:pPr>
              <w:pStyle w:val="TableContents"/>
              <w:bidi w:val="0"/>
              <w:spacing w:before="0" w:after="283"/>
              <w:jc w:val="left"/>
              <w:rPr/>
            </w:pPr>
            <w:r>
              <w:rPr/>
              <w:t>)</w:t>
            </w:r>
          </w:p>
        </w:tc>
      </w:tr>
      <w:tr>
        <w:trPr/>
        <w:tc>
          <w:tcPr>
            <w:tcW w:w="6944" w:type="dxa"/>
            <w:tcBorders/>
            <w:shd w:fill="E6EFFF" w:val="clear"/>
            <w:vAlign w:val="center"/>
          </w:tcPr>
          <w:p>
            <w:pPr>
              <w:pStyle w:val="TableContents"/>
              <w:bidi w:val="0"/>
              <w:spacing w:before="0" w:after="283"/>
              <w:jc w:val="left"/>
              <w:rPr/>
            </w:pPr>
            <w:r>
              <w:rPr/>
              <w:t>Surrender of prior year losses for research &amp; development</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1,108,234</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w:t>
            </w:r>
          </w:p>
        </w:tc>
        <w:tc>
          <w:tcPr>
            <w:tcW w:w="112" w:type="dxa"/>
            <w:tcBorders/>
            <w:shd w:fill="E6EFFF" w:val="clear"/>
            <w:vAlign w:val="center"/>
          </w:tcPr>
          <w:p>
            <w:pPr>
              <w:pStyle w:val="TableContents"/>
              <w:bidi w:val="0"/>
              <w:spacing w:before="0" w:after="283"/>
              <w:jc w:val="left"/>
              <w:rPr/>
            </w:pPr>
            <w:r>
              <w:rPr/>
              <w:t> </w:t>
            </w:r>
          </w:p>
        </w:tc>
      </w:tr>
      <w:tr>
        <w:trPr/>
        <w:tc>
          <w:tcPr>
            <w:tcW w:w="6944" w:type="dxa"/>
            <w:tcBorders/>
            <w:vAlign w:val="center"/>
          </w:tcPr>
          <w:p>
            <w:pPr>
              <w:pStyle w:val="TableContents"/>
              <w:bidi w:val="0"/>
              <w:spacing w:before="0" w:after="283"/>
              <w:jc w:val="left"/>
              <w:rPr/>
            </w:pPr>
            <w:r>
              <w:rPr/>
              <w:t>Prior year research &amp; development credit</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(1,885,196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(655,166</w:t>
            </w:r>
          </w:p>
        </w:tc>
        <w:tc>
          <w:tcPr>
            <w:tcW w:w="112" w:type="dxa"/>
            <w:tcBorders/>
            <w:vAlign w:val="center"/>
          </w:tcPr>
          <w:p>
            <w:pPr>
              <w:pStyle w:val="TableContents"/>
              <w:bidi w:val="0"/>
              <w:spacing w:before="0" w:after="283"/>
              <w:jc w:val="left"/>
              <w:rPr/>
            </w:pPr>
            <w:r>
              <w:rPr/>
              <w:t>)</w:t>
            </w:r>
          </w:p>
        </w:tc>
      </w:tr>
      <w:tr>
        <w:trPr/>
        <w:tc>
          <w:tcPr>
            <w:tcW w:w="6944" w:type="dxa"/>
            <w:tcBorders/>
            <w:shd w:fill="E6EFFF" w:val="clear"/>
            <w:vAlign w:val="center"/>
          </w:tcPr>
          <w:p>
            <w:pPr>
              <w:pStyle w:val="TableContents"/>
              <w:bidi w:val="0"/>
              <w:spacing w:before="0" w:after="283"/>
              <w:jc w:val="left"/>
              <w:rPr/>
            </w:pPr>
            <w:r>
              <w:rPr/>
              <w:t>Increase to prior year losses for option exercise</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(2,021,827</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w:t>
            </w:r>
          </w:p>
        </w:tc>
        <w:tc>
          <w:tcPr>
            <w:tcW w:w="112" w:type="dxa"/>
            <w:tcBorders/>
            <w:shd w:fill="E6EFFF" w:val="clear"/>
            <w:vAlign w:val="center"/>
          </w:tcPr>
          <w:p>
            <w:pPr>
              <w:pStyle w:val="TableContents"/>
              <w:bidi w:val="0"/>
              <w:spacing w:before="0" w:after="283"/>
              <w:jc w:val="left"/>
              <w:rPr/>
            </w:pPr>
            <w:r>
              <w:rPr/>
              <w:t> </w:t>
            </w:r>
          </w:p>
        </w:tc>
      </w:tr>
      <w:tr>
        <w:trPr/>
        <w:tc>
          <w:tcPr>
            <w:tcW w:w="6944" w:type="dxa"/>
            <w:tcBorders/>
            <w:vAlign w:val="center"/>
          </w:tcPr>
          <w:p>
            <w:pPr>
              <w:pStyle w:val="TableContents"/>
              <w:bidi w:val="0"/>
              <w:spacing w:before="0" w:after="283"/>
              <w:jc w:val="left"/>
              <w:rPr/>
            </w:pPr>
            <w:r>
              <w:rPr/>
              <w:t>Adjustment to prior period losses</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(42,006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w:t>
            </w:r>
          </w:p>
        </w:tc>
        <w:tc>
          <w:tcPr>
            <w:tcW w:w="112" w:type="dxa"/>
            <w:tcBorders/>
            <w:vAlign w:val="center"/>
          </w:tcPr>
          <w:p>
            <w:pPr>
              <w:pStyle w:val="TableContents"/>
              <w:bidi w:val="0"/>
              <w:spacing w:before="0" w:after="283"/>
              <w:jc w:val="left"/>
              <w:rPr/>
            </w:pPr>
            <w:r>
              <w:rPr/>
              <w:t> </w:t>
            </w:r>
          </w:p>
        </w:tc>
      </w:tr>
      <w:tr>
        <w:trPr/>
        <w:tc>
          <w:tcPr>
            <w:tcW w:w="6944" w:type="dxa"/>
            <w:tcBorders/>
            <w:shd w:fill="E6EFFF" w:val="clear"/>
            <w:vAlign w:val="center"/>
          </w:tcPr>
          <w:p>
            <w:pPr>
              <w:pStyle w:val="TableContents"/>
              <w:bidi w:val="0"/>
              <w:spacing w:before="0" w:after="283"/>
              <w:jc w:val="left"/>
              <w:rPr/>
            </w:pPr>
            <w:r>
              <w:rPr/>
              <w:t>Group consolidation</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(491,377</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w:t>
            </w:r>
          </w:p>
        </w:tc>
        <w:tc>
          <w:tcPr>
            <w:tcW w:w="112" w:type="dxa"/>
            <w:tcBorders/>
            <w:shd w:fill="E6EFFF" w:val="clear"/>
            <w:vAlign w:val="center"/>
          </w:tcPr>
          <w:p>
            <w:pPr>
              <w:pStyle w:val="TableContents"/>
              <w:bidi w:val="0"/>
              <w:spacing w:before="0" w:after="283"/>
              <w:jc w:val="left"/>
              <w:rPr/>
            </w:pPr>
            <w:r>
              <w:rPr/>
              <w:t> </w:t>
            </w:r>
          </w:p>
        </w:tc>
      </w:tr>
      <w:tr>
        <w:trPr/>
        <w:tc>
          <w:tcPr>
            <w:tcW w:w="6944" w:type="dxa"/>
            <w:tcBorders/>
            <w:vAlign w:val="center"/>
          </w:tcPr>
          <w:p>
            <w:pPr>
              <w:pStyle w:val="TableContents"/>
              <w:bidi w:val="0"/>
              <w:spacing w:before="0" w:after="283"/>
              <w:jc w:val="left"/>
              <w:rPr/>
            </w:pPr>
            <w:r>
              <w:rPr/>
              <w:t>Change in tax rate</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(1,674,159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w:t>
            </w:r>
          </w:p>
        </w:tc>
        <w:tc>
          <w:tcPr>
            <w:tcW w:w="112" w:type="dxa"/>
            <w:tcBorders/>
            <w:vAlign w:val="center"/>
          </w:tcPr>
          <w:p>
            <w:pPr>
              <w:pStyle w:val="TableContents"/>
              <w:bidi w:val="0"/>
              <w:spacing w:before="0" w:after="283"/>
              <w:jc w:val="left"/>
              <w:rPr/>
            </w:pPr>
            <w:r>
              <w:rPr/>
              <w:t> </w:t>
            </w:r>
          </w:p>
        </w:tc>
      </w:tr>
      <w:tr>
        <w:trPr/>
        <w:tc>
          <w:tcPr>
            <w:tcW w:w="6944" w:type="dxa"/>
            <w:tcBorders>
              <w:bottom w:val="single" w:sz="6" w:space="0" w:color="000000"/>
            </w:tcBorders>
            <w:shd w:fill="E6EFFF" w:val="clear"/>
            <w:tcMar>
              <w:bottom w:w="28" w:type="dxa"/>
            </w:tcMar>
            <w:vAlign w:val="center"/>
          </w:tcPr>
          <w:p>
            <w:pPr>
              <w:pStyle w:val="TableContents"/>
              <w:bidi w:val="0"/>
              <w:spacing w:before="0" w:after="283"/>
              <w:jc w:val="left"/>
              <w:rPr/>
            </w:pPr>
            <w:r>
              <w:rPr/>
              <w:t>Change in unrecognized deferred tax assets</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shd w:fill="E6EFFF" w:val="clear"/>
            <w:tcMar>
              <w:bottom w:w="28" w:type="dxa"/>
            </w:tcMar>
            <w:vAlign w:val="center"/>
          </w:tcPr>
          <w:p>
            <w:pPr>
              <w:pStyle w:val="TableContents"/>
              <w:bidi w:val="0"/>
              <w:spacing w:before="0" w:after="283"/>
              <w:jc w:val="right"/>
              <w:rPr/>
            </w:pPr>
            <w:r>
              <w:rPr/>
              <w:t>7,714,332</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shd w:fill="E6EFFF" w:val="clear"/>
            <w:tcMar>
              <w:bottom w:w="28" w:type="dxa"/>
            </w:tcMar>
            <w:vAlign w:val="center"/>
          </w:tcPr>
          <w:p>
            <w:pPr>
              <w:pStyle w:val="TableContents"/>
              <w:bidi w:val="0"/>
              <w:spacing w:before="0" w:after="283"/>
              <w:jc w:val="right"/>
              <w:rPr/>
            </w:pPr>
            <w:r>
              <w:rPr/>
              <w:t>3,425,203</w:t>
            </w:r>
          </w:p>
        </w:tc>
        <w:tc>
          <w:tcPr>
            <w:tcW w:w="112"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6944" w:type="dxa"/>
            <w:tcBorders>
              <w:bottom w:val="single" w:sz="12" w:space="0" w:color="000000"/>
            </w:tcBorders>
            <w:tcMar>
              <w:bottom w:w="28" w:type="dxa"/>
            </w:tcMar>
            <w:vAlign w:val="center"/>
          </w:tcPr>
          <w:p>
            <w:pPr>
              <w:pStyle w:val="TableContents"/>
              <w:bidi w:val="0"/>
              <w:spacing w:before="0" w:after="283"/>
              <w:jc w:val="left"/>
              <w:rPr/>
            </w:pPr>
            <w:r>
              <w:rPr/>
              <w:t>Income tax (recovery) expense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tcMar>
              <w:bottom w:w="28" w:type="dxa"/>
            </w:tcMar>
            <w:vAlign w:val="center"/>
          </w:tcPr>
          <w:p>
            <w:pPr>
              <w:pStyle w:val="TableContents"/>
              <w:bidi w:val="0"/>
              <w:spacing w:before="0" w:after="283"/>
              <w:jc w:val="right"/>
              <w:rPr/>
            </w:pPr>
            <w:r>
              <w:rPr/>
              <w:t>(1,885,196</w:t>
            </w:r>
          </w:p>
        </w:tc>
        <w:tc>
          <w:tcPr>
            <w:tcW w:w="95" w:type="dxa"/>
            <w:tcBorders>
              <w:bottom w:val="single" w:sz="12" w:space="0" w:color="000000"/>
            </w:tcBorders>
            <w:tcMar>
              <w:bottom w:w="28" w:type="dxa"/>
            </w:tcMar>
            <w:vAlign w:val="center"/>
          </w:tcPr>
          <w:p>
            <w:pPr>
              <w:pStyle w:val="TableContents"/>
              <w:bidi w:val="0"/>
              <w:spacing w:before="0" w:after="283"/>
              <w:jc w:val="left"/>
              <w:rPr/>
            </w:pPr>
            <w:r>
              <w:rPr/>
              <w:t>)</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tcMar>
              <w:bottom w:w="28" w:type="dxa"/>
            </w:tcMar>
            <w:vAlign w:val="center"/>
          </w:tcPr>
          <w:p>
            <w:pPr>
              <w:pStyle w:val="TableContents"/>
              <w:bidi w:val="0"/>
              <w:spacing w:before="0" w:after="283"/>
              <w:jc w:val="right"/>
              <w:rPr/>
            </w:pPr>
            <w:r>
              <w:rPr/>
              <w:t>(655,166</w:t>
            </w:r>
          </w:p>
        </w:tc>
        <w:tc>
          <w:tcPr>
            <w:tcW w:w="112" w:type="dxa"/>
            <w:tcBorders>
              <w:bottom w:val="single" w:sz="12" w:space="0" w:color="000000"/>
            </w:tcBorders>
            <w:tcMar>
              <w:bottom w:w="28" w:type="dxa"/>
            </w:tcMar>
            <w:vAlign w:val="center"/>
          </w:tcPr>
          <w:p>
            <w:pPr>
              <w:pStyle w:val="TableContents"/>
              <w:bidi w:val="0"/>
              <w:spacing w:before="0" w:after="283"/>
              <w:jc w:val="left"/>
              <w:rPr/>
            </w:pPr>
            <w:r>
              <w:rPr/>
              <w:t>)</w:t>
            </w:r>
          </w:p>
        </w:tc>
      </w:tr>
      <w:tr>
        <w:trPr/>
        <w:tc>
          <w:tcPr>
            <w:tcW w:w="6944" w:type="dxa"/>
            <w:tcBorders/>
            <w:shd w:fill="E6EFFF" w:val="clear"/>
            <w:vAlign w:val="center"/>
          </w:tcPr>
          <w:p>
            <w:pPr>
              <w:pStyle w:val="TableContents"/>
              <w:bidi w:val="0"/>
              <w:spacing w:before="0" w:after="283"/>
              <w:jc w:val="left"/>
              <w:rPr/>
            </w:pPr>
            <w:r>
              <w:rPr/>
              <w:t>The Company's income tax recovery is allocated as follows: Current tax recovery</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(1,885,196</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(655,166</w:t>
            </w:r>
          </w:p>
        </w:tc>
        <w:tc>
          <w:tcPr>
            <w:tcW w:w="112" w:type="dxa"/>
            <w:tcBorders/>
            <w:shd w:fill="E6EFFF" w:val="clear"/>
            <w:vAlign w:val="center"/>
          </w:tcPr>
          <w:p>
            <w:pPr>
              <w:pStyle w:val="TableContents"/>
              <w:bidi w:val="0"/>
              <w:spacing w:before="0" w:after="283"/>
              <w:jc w:val="left"/>
              <w:rPr/>
            </w:pPr>
            <w:r>
              <w:rPr/>
              <w:t>)</w:t>
            </w:r>
          </w:p>
        </w:tc>
      </w:tr>
      <w:tr>
        <w:trPr/>
        <w:tc>
          <w:tcPr>
            <w:tcW w:w="6944" w:type="dxa"/>
            <w:tcBorders>
              <w:bottom w:val="single" w:sz="6" w:space="0" w:color="000000"/>
            </w:tcBorders>
            <w:tcMar>
              <w:bottom w:w="28" w:type="dxa"/>
            </w:tcMar>
            <w:vAlign w:val="center"/>
          </w:tcPr>
          <w:p>
            <w:pPr>
              <w:pStyle w:val="TableContents"/>
              <w:bidi w:val="0"/>
              <w:spacing w:before="0" w:after="283"/>
              <w:jc w:val="left"/>
              <w:rPr/>
            </w:pPr>
            <w:r>
              <w:rPr/>
              <w:t>Deferred tax (recovery) expense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w:t>
            </w:r>
          </w:p>
        </w:tc>
        <w:tc>
          <w:tcPr>
            <w:tcW w:w="11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44" w:type="dxa"/>
            <w:tcBorders>
              <w:bottom w:val="single" w:sz="12" w:space="0" w:color="000000"/>
            </w:tcBorders>
            <w:shd w:fill="E6EFFF" w:val="clear"/>
            <w:tcMar>
              <w:bottom w:w="28" w:type="dxa"/>
            </w:tcMar>
            <w:vAlign w:val="center"/>
          </w:tcPr>
          <w:p>
            <w:pPr>
              <w:pStyle w:val="TableContents"/>
              <w:bidi w:val="0"/>
              <w:spacing w:before="0" w:after="0"/>
              <w:jc w:val="left"/>
              <w:rPr/>
            </w:pPr>
            <w:r>
              <w:rPr/>
              <w:t> </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E6EFFF" w:val="clear"/>
            <w:tcMar>
              <w:bottom w:w="28" w:type="dxa"/>
            </w:tcMar>
            <w:vAlign w:val="center"/>
          </w:tcPr>
          <w:p>
            <w:pPr>
              <w:pStyle w:val="TableContents"/>
              <w:bidi w:val="0"/>
              <w:spacing w:before="0" w:after="283"/>
              <w:jc w:val="right"/>
              <w:rPr/>
            </w:pPr>
            <w:r>
              <w:rPr/>
              <w:t>(1,885,196</w:t>
            </w:r>
          </w:p>
        </w:tc>
        <w:tc>
          <w:tcPr>
            <w:tcW w:w="95" w:type="dxa"/>
            <w:tcBorders>
              <w:bottom w:val="single" w:sz="12" w:space="0" w:color="000000"/>
            </w:tcBorders>
            <w:shd w:fill="E6EFFF" w:val="clear"/>
            <w:tcMar>
              <w:bottom w:w="28" w:type="dxa"/>
            </w:tcMar>
            <w:vAlign w:val="center"/>
          </w:tcPr>
          <w:p>
            <w:pPr>
              <w:pStyle w:val="TableContents"/>
              <w:bidi w:val="0"/>
              <w:spacing w:before="0" w:after="283"/>
              <w:jc w:val="left"/>
              <w:rPr/>
            </w:pPr>
            <w:r>
              <w:rPr/>
              <w:t>)</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E6EFFF" w:val="clear"/>
            <w:tcMar>
              <w:bottom w:w="28" w:type="dxa"/>
            </w:tcMar>
            <w:vAlign w:val="center"/>
          </w:tcPr>
          <w:p>
            <w:pPr>
              <w:pStyle w:val="TableContents"/>
              <w:bidi w:val="0"/>
              <w:spacing w:before="0" w:after="283"/>
              <w:jc w:val="right"/>
              <w:rPr/>
            </w:pPr>
            <w:r>
              <w:rPr/>
              <w:t>(655,166</w:t>
            </w:r>
          </w:p>
        </w:tc>
        <w:tc>
          <w:tcPr>
            <w:tcW w:w="112" w:type="dxa"/>
            <w:tcBorders>
              <w:bottom w:val="single" w:sz="12" w:space="0" w:color="000000"/>
            </w:tcBorders>
            <w:shd w:fill="E6EFFF" w:val="clear"/>
            <w:tcMar>
              <w:bottom w:w="28" w:type="dxa"/>
            </w:tcMar>
            <w:vAlign w:val="center"/>
          </w:tcPr>
          <w:p>
            <w:pPr>
              <w:pStyle w:val="TableContents"/>
              <w:bidi w:val="0"/>
              <w:spacing w:before="0" w:after="283"/>
              <w:jc w:val="left"/>
              <w:rPr/>
            </w:pPr>
            <w:r>
              <w:rPr/>
              <w:t>)</w:t>
            </w:r>
          </w:p>
        </w:tc>
      </w:tr>
    </w:tbl>
    <w:p>
      <w:pPr>
        <w:pStyle w:val="TextBody"/>
        <w:bidi w:val="0"/>
        <w:ind w:left="480" w:right="0" w:hanging="0"/>
        <w:jc w:val="both"/>
        <w:rPr/>
      </w:pPr>
      <w:r>
        <w:rPr>
          <w:b/>
        </w:rPr>
        <w:t>(b)</w:t>
      </w:r>
      <w:r>
        <w:rPr/>
        <w:t> </w:t>
      </w:r>
      <w:r>
        <w:rPr>
          <w:b/>
        </w:rPr>
        <w:t>Deferred Tax</w:t>
      </w:r>
    </w:p>
    <w:p>
      <w:pPr>
        <w:pStyle w:val="TextBody"/>
        <w:bidi w:val="0"/>
        <w:ind w:left="480" w:right="0" w:hanging="0"/>
        <w:jc w:val="both"/>
        <w:rPr/>
      </w:pPr>
      <w:r>
        <w:rPr/>
        <w:t>The significant components of the Company's deferred tax assets that have not been included in the consolidated statements of financial position, are as follows:</w:t>
      </w:r>
    </w:p>
    <w:tbl>
      <w:tblPr>
        <w:tblW w:w="6645" w:type="dxa"/>
        <w:jc w:val="left"/>
        <w:tblInd w:w="480" w:type="dxa"/>
        <w:tblLayout w:type="fixed"/>
        <w:tblCellMar>
          <w:top w:w="0" w:type="dxa"/>
          <w:left w:w="0" w:type="dxa"/>
          <w:bottom w:w="0" w:type="dxa"/>
          <w:right w:w="0" w:type="dxa"/>
        </w:tblCellMar>
      </w:tblPr>
      <w:tblGrid>
        <w:gridCol w:w="3920"/>
        <w:gridCol w:w="60"/>
        <w:gridCol w:w="1235"/>
        <w:gridCol w:w="60"/>
        <w:gridCol w:w="60"/>
        <w:gridCol w:w="1235"/>
        <w:gridCol w:w="75"/>
      </w:tblGrid>
      <w:tr>
        <w:trPr/>
        <w:tc>
          <w:tcPr>
            <w:tcW w:w="3920" w:type="dxa"/>
            <w:tcBorders/>
            <w:vAlign w:val="center"/>
          </w:tcPr>
          <w:p>
            <w:pPr>
              <w:pStyle w:val="TableContents"/>
              <w:bidi w:val="0"/>
              <w:spacing w:before="0" w:after="283"/>
              <w:jc w:val="left"/>
              <w:rPr/>
            </w:pPr>
            <w:r>
              <w:rPr/>
              <w:t> </w:t>
            </w:r>
            <w:r>
              <w:rPr/>
              <w:br/>
              <w:t>Gross losses</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February 28,</w:t>
              <w:br/>
              <w:t>2023</w:t>
              <w:b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February 28,</w:t>
              <w:br/>
              <w:t>2022</w:t>
              <w:br/>
              <w:t>$</w:t>
            </w:r>
          </w:p>
        </w:tc>
        <w:tc>
          <w:tcPr>
            <w:tcW w:w="75"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920" w:type="dxa"/>
            <w:tcBorders>
              <w:top w:val="single" w:sz="6" w:space="0" w:color="000000"/>
            </w:tcBorders>
            <w:shd w:fill="E6EFFF" w:val="clear"/>
            <w:tcMar>
              <w:top w:w="28" w:type="dxa"/>
            </w:tcMar>
            <w:vAlign w:val="center"/>
          </w:tcPr>
          <w:p>
            <w:pPr>
              <w:pStyle w:val="TableContents"/>
              <w:bidi w:val="0"/>
              <w:spacing w:before="0" w:after="283"/>
              <w:jc w:val="left"/>
              <w:rPr/>
            </w:pPr>
            <w:r>
              <w:rPr/>
              <w:t>Non-capital loss carry forwards - UK</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35" w:type="dxa"/>
            <w:tcBorders>
              <w:top w:val="single" w:sz="6" w:space="0" w:color="000000"/>
            </w:tcBorders>
            <w:shd w:fill="E6EFFF" w:val="clear"/>
            <w:tcMar>
              <w:top w:w="28" w:type="dxa"/>
            </w:tcMar>
            <w:vAlign w:val="center"/>
          </w:tcPr>
          <w:p>
            <w:pPr>
              <w:pStyle w:val="TableContents"/>
              <w:bidi w:val="0"/>
              <w:spacing w:before="0" w:after="283"/>
              <w:jc w:val="right"/>
              <w:rPr/>
            </w:pPr>
            <w:r>
              <w:rPr/>
              <w:t>46,631,081</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35" w:type="dxa"/>
            <w:tcBorders>
              <w:top w:val="single" w:sz="6" w:space="0" w:color="000000"/>
            </w:tcBorders>
            <w:shd w:fill="E6EFFF" w:val="clear"/>
            <w:tcMar>
              <w:top w:w="28" w:type="dxa"/>
            </w:tcMar>
            <w:vAlign w:val="center"/>
          </w:tcPr>
          <w:p>
            <w:pPr>
              <w:pStyle w:val="TableContents"/>
              <w:bidi w:val="0"/>
              <w:spacing w:before="0" w:after="283"/>
              <w:jc w:val="right"/>
              <w:rPr/>
            </w:pPr>
            <w:r>
              <w:rPr/>
              <w:t>18,736,186</w:t>
            </w:r>
          </w:p>
        </w:tc>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Non-capital loss carry forwards - Canada</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6,481,704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2,969,457</w:t>
            </w:r>
          </w:p>
        </w:tc>
        <w:tc>
          <w:tcPr>
            <w:tcW w:w="75" w:type="dxa"/>
            <w:tcBorders/>
            <w:vAlign w:val="center"/>
          </w:tcPr>
          <w:p>
            <w:pPr>
              <w:pStyle w:val="TableContents"/>
              <w:bidi w:val="0"/>
              <w:spacing w:before="0" w:after="283"/>
              <w:jc w:val="left"/>
              <w:rPr/>
            </w:pPr>
            <w:r>
              <w:rPr/>
              <w:t> </w:t>
            </w:r>
          </w:p>
        </w:tc>
      </w:tr>
      <w:tr>
        <w:trPr/>
        <w:tc>
          <w:tcPr>
            <w:tcW w:w="3920" w:type="dxa"/>
            <w:tcBorders>
              <w:bottom w:val="single" w:sz="6" w:space="0" w:color="000000"/>
            </w:tcBorders>
            <w:shd w:fill="E6EFFF" w:val="clear"/>
            <w:tcMar>
              <w:bottom w:w="28" w:type="dxa"/>
            </w:tcMar>
            <w:vAlign w:val="center"/>
          </w:tcPr>
          <w:p>
            <w:pPr>
              <w:pStyle w:val="TableContents"/>
              <w:bidi w:val="0"/>
              <w:spacing w:before="0" w:after="283"/>
              <w:jc w:val="left"/>
              <w:rPr/>
            </w:pPr>
            <w:r>
              <w:rPr/>
              <w:t>Financing costs - Canada</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2,911,350</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3,752,320</w:t>
            </w:r>
          </w:p>
        </w:tc>
        <w:tc>
          <w:tcPr>
            <w:tcW w:w="7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3920" w:type="dxa"/>
            <w:tcBorders>
              <w:bottom w:val="single" w:sz="12" w:space="0" w:color="000000"/>
            </w:tcBorders>
            <w:tcMar>
              <w:bottom w:w="28" w:type="dxa"/>
            </w:tcMar>
            <w:vAlign w:val="center"/>
          </w:tcPr>
          <w:p>
            <w:pPr>
              <w:pStyle w:val="TableContents"/>
              <w:bidi w:val="0"/>
              <w:spacing w:before="0" w:after="0"/>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56,024,135</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25,457,963</w:t>
            </w:r>
          </w:p>
        </w:tc>
        <w:tc>
          <w:tcPr>
            <w:tcW w:w="7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ind w:left="480" w:right="0" w:hanging="0"/>
        <w:jc w:val="both"/>
        <w:rPr/>
      </w:pPr>
      <w:r>
        <w:rPr/>
        <w:t>No deferred tax assets have been recognized in relation to these losses as at February 28, 2023 and 2022 as it is not yet probable that future taxable profit will be available against which the Company will be able to use these potential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16. Taxation </w:t>
      </w:r>
      <w:r>
        <w:rPr/>
        <w:t>(continued)</w:t>
      </w:r>
    </w:p>
    <w:p>
      <w:pPr>
        <w:pStyle w:val="TextBody"/>
        <w:bidi w:val="0"/>
        <w:ind w:left="480" w:right="0" w:hanging="0"/>
        <w:jc w:val="both"/>
        <w:rPr/>
      </w:pPr>
      <w:r>
        <w:rPr>
          <w:b/>
        </w:rPr>
        <w:t>(c)</w:t>
      </w:r>
      <w:r>
        <w:rPr/>
        <w:t> </w:t>
      </w:r>
      <w:r>
        <w:rPr>
          <w:b/>
        </w:rPr>
        <w:t>Non-Capital Loss Balance</w:t>
      </w:r>
    </w:p>
    <w:p>
      <w:pPr>
        <w:pStyle w:val="TextBody"/>
        <w:bidi w:val="0"/>
        <w:ind w:left="480" w:right="0" w:hanging="0"/>
        <w:jc w:val="both"/>
        <w:rPr/>
      </w:pPr>
      <w:r>
        <w:rPr/>
        <w:t>As at February 28, 2023, the Company has non-capital losses in the UK, which under certain circumstances can be used to reduce the taxable income of future years. There is no expiry date on these non-capital losses. From April 1, 2023 the UK corporation tax rate will be 25% and the unprovided deferred tax has been set at this tax rate.</w:t>
      </w:r>
    </w:p>
    <w:p>
      <w:pPr>
        <w:pStyle w:val="TextBody"/>
        <w:bidi w:val="0"/>
        <w:ind w:left="480" w:right="0" w:hanging="0"/>
        <w:jc w:val="both"/>
        <w:rPr/>
      </w:pPr>
      <w:r>
        <w:rPr/>
        <w:t>As at February 28, 2023, the Company has non-capital losses in Canada, which under certain circumstances can be used to reduce the taxable income of future years. The non-capital losses expire as follows:</w:t>
      </w:r>
    </w:p>
    <w:tbl>
      <w:tblPr>
        <w:tblW w:w="2755" w:type="dxa"/>
        <w:jc w:val="left"/>
        <w:tblInd w:w="480" w:type="dxa"/>
        <w:tblLayout w:type="fixed"/>
        <w:tblCellMar>
          <w:top w:w="0" w:type="dxa"/>
          <w:left w:w="0" w:type="dxa"/>
          <w:bottom w:w="28" w:type="dxa"/>
          <w:right w:w="0" w:type="dxa"/>
        </w:tblCellMar>
      </w:tblPr>
      <w:tblGrid>
        <w:gridCol w:w="1400"/>
        <w:gridCol w:w="60"/>
        <w:gridCol w:w="1235"/>
        <w:gridCol w:w="60"/>
      </w:tblGrid>
      <w:tr>
        <w:trPr/>
        <w:tc>
          <w:tcPr>
            <w:tcW w:w="1400" w:type="dxa"/>
            <w:tcBorders>
              <w:bottom w:val="single" w:sz="6" w:space="0" w:color="000000"/>
            </w:tcBorders>
            <w:vAlign w:val="center"/>
          </w:tcPr>
          <w:p>
            <w:pPr>
              <w:pStyle w:val="TableContents"/>
              <w:bidi w:val="0"/>
              <w:spacing w:before="0" w:after="283"/>
              <w:jc w:val="left"/>
              <w:rPr/>
            </w:pPr>
            <w:r>
              <w:rPr/>
              <w:t>Year of expiry</w:t>
            </w:r>
          </w:p>
        </w:tc>
        <w:tc>
          <w:tcPr>
            <w:tcW w:w="60" w:type="dxa"/>
            <w:tcBorders>
              <w:bottom w:val="single" w:sz="6" w:space="0" w:color="000000"/>
            </w:tcBorders>
            <w:vAlign w:val="center"/>
          </w:tcPr>
          <w:p>
            <w:pPr>
              <w:pStyle w:val="TableContents"/>
              <w:bidi w:val="0"/>
              <w:spacing w:before="0" w:after="283"/>
              <w:jc w:val="center"/>
              <w:rPr/>
            </w:pPr>
            <w:r>
              <w:rPr/>
              <w:t> </w:t>
            </w:r>
          </w:p>
        </w:tc>
        <w:tc>
          <w:tcPr>
            <w:tcW w:w="1235" w:type="dxa"/>
            <w:tcBorders>
              <w:bottom w:val="single" w:sz="6" w:space="0" w:color="000000"/>
            </w:tcBorders>
            <w:vAlign w:val="center"/>
          </w:tcPr>
          <w:p>
            <w:pPr>
              <w:pStyle w:val="TableContents"/>
              <w:bidi w:val="0"/>
              <w:spacing w:before="0" w:after="283"/>
              <w:jc w:val="center"/>
              <w:rPr/>
            </w:pPr>
            <w:r>
              <w:rPr/>
              <w:t>February 28,</w:t>
              <w:br/>
              <w:t>2023</w:t>
              <w:br/>
              <w:t>$</w:t>
            </w:r>
          </w:p>
        </w:tc>
        <w:tc>
          <w:tcPr>
            <w:tcW w:w="60" w:type="dxa"/>
            <w:tcBorders>
              <w:bottom w:val="single" w:sz="6" w:space="0" w:color="000000"/>
            </w:tcBorders>
            <w:vAlign w:val="center"/>
          </w:tcPr>
          <w:p>
            <w:pPr>
              <w:pStyle w:val="TableContents"/>
              <w:bidi w:val="0"/>
              <w:spacing w:before="0" w:after="283"/>
              <w:jc w:val="center"/>
              <w:rPr/>
            </w:pPr>
            <w:r>
              <w:rPr/>
              <w:t> </w:t>
            </w:r>
          </w:p>
        </w:tc>
      </w:tr>
      <w:tr>
        <w:trPr/>
        <w:tc>
          <w:tcPr>
            <w:tcW w:w="14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400" w:type="dxa"/>
            <w:tcBorders/>
            <w:shd w:fill="E6EFFF" w:val="clear"/>
            <w:tcMar>
              <w:bottom w:w="0" w:type="dxa"/>
            </w:tcMar>
            <w:vAlign w:val="center"/>
          </w:tcPr>
          <w:p>
            <w:pPr>
              <w:pStyle w:val="TableContents"/>
              <w:bidi w:val="0"/>
              <w:spacing w:before="0" w:after="283"/>
              <w:jc w:val="left"/>
              <w:rPr/>
            </w:pPr>
            <w:r>
              <w:rPr/>
              <w:t>2043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3,783,150</w:t>
            </w:r>
          </w:p>
        </w:tc>
        <w:tc>
          <w:tcPr>
            <w:tcW w:w="60" w:type="dxa"/>
            <w:tcBorders/>
            <w:shd w:fill="E6EFFF" w:val="clear"/>
            <w:tcMar>
              <w:bottom w:w="0" w:type="dxa"/>
            </w:tcMar>
            <w:vAlign w:val="center"/>
          </w:tcPr>
          <w:p>
            <w:pPr>
              <w:pStyle w:val="TableContents"/>
              <w:bidi w:val="0"/>
              <w:spacing w:before="0" w:after="283"/>
              <w:jc w:val="left"/>
              <w:rPr/>
            </w:pPr>
            <w:r>
              <w:rPr/>
              <w:t> </w:t>
            </w:r>
          </w:p>
        </w:tc>
      </w:tr>
      <w:tr>
        <w:trPr/>
        <w:tc>
          <w:tcPr>
            <w:tcW w:w="1400" w:type="dxa"/>
            <w:tcBorders>
              <w:bottom w:val="single" w:sz="6" w:space="0" w:color="000000"/>
            </w:tcBorders>
            <w:vAlign w:val="center"/>
          </w:tcPr>
          <w:p>
            <w:pPr>
              <w:pStyle w:val="TableContents"/>
              <w:bidi w:val="0"/>
              <w:spacing w:before="0" w:after="283"/>
              <w:jc w:val="left"/>
              <w:rPr/>
            </w:pPr>
            <w:r>
              <w:rPr/>
              <w:t>2042</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2,698,554</w:t>
            </w:r>
          </w:p>
        </w:tc>
        <w:tc>
          <w:tcPr>
            <w:tcW w:w="60" w:type="dxa"/>
            <w:tcBorders>
              <w:bottom w:val="single" w:sz="6" w:space="0" w:color="000000"/>
            </w:tcBorders>
            <w:vAlign w:val="center"/>
          </w:tcPr>
          <w:p>
            <w:pPr>
              <w:pStyle w:val="TableContents"/>
              <w:bidi w:val="0"/>
              <w:spacing w:before="0" w:after="283"/>
              <w:jc w:val="left"/>
              <w:rPr/>
            </w:pPr>
            <w:r>
              <w:rPr/>
              <w:t> </w:t>
            </w:r>
          </w:p>
        </w:tc>
      </w:tr>
    </w:tbl>
    <w:p>
      <w:pPr>
        <w:pStyle w:val="TextBody"/>
        <w:bidi w:val="0"/>
        <w:jc w:val="both"/>
        <w:rPr>
          <w:b/>
        </w:rPr>
      </w:pPr>
      <w:r>
        <w:rPr>
          <w:b/>
        </w:rPr>
        <w:t>17. Subsequent Events</w:t>
      </w:r>
    </w:p>
    <w:p>
      <w:pPr>
        <w:pStyle w:val="TextBody"/>
        <w:bidi w:val="0"/>
        <w:ind w:left="480" w:right="0" w:hanging="0"/>
        <w:jc w:val="both"/>
        <w:rPr/>
      </w:pPr>
      <w:r>
        <w:rPr/>
        <w:t>On March 1, 2023, the Company granted stock options to purchase up to an aggregate of 3,725,000 common shares to certain employees of the Company pursuant to the Company's stock option plan. Each option is exercisable at $0.09 per common share for a period of ten years and is subject to certain vesting requirements.</w:t>
      </w:r>
    </w:p>
    <w:p>
      <w:pPr>
        <w:pStyle w:val="TextBody"/>
        <w:bidi w:val="0"/>
        <w:ind w:left="480" w:right="0" w:hanging="0"/>
        <w:jc w:val="both"/>
        <w:rPr/>
      </w:pPr>
      <w:r>
        <w:rPr/>
        <w:t>On April 29, 2023, share purchase warrants to purchase 3,947,547 common shares of the Company at $0.96 per common share expired without exercise.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24" w:name="exhibit99-3.htm"/>
      <w:bookmarkStart w:id="25" w:name="ksexhibit993"/>
      <w:bookmarkStart w:id="26" w:name="exhibit99-3.htm"/>
      <w:bookmarkStart w:id="27" w:name="ksexhibit993"/>
      <w:bookmarkEnd w:id="26"/>
      <w:bookmarkEnd w:id="27"/>
      <w:r>
        <w:br w:type="page"/>
      </w:r>
    </w:p>
    <w:p>
      <w:pPr>
        <w:pStyle w:val="TextBody"/>
        <w:bidi w:val="0"/>
        <w:jc w:val="center"/>
        <w:rPr/>
      </w:pPr>
      <w:bookmarkStart w:id="28" w:name="page_12"/>
      <w:bookmarkEnd w:id="28"/>
      <w:r>
        <w:rPr/>
        <w:t> </w:t>
      </w:r>
    </w:p>
    <w:p>
      <w:pPr>
        <w:pStyle w:val="TextBody"/>
        <w:bidi w:val="0"/>
        <w:jc w:val="center"/>
        <w:rPr/>
      </w:pPr>
      <w:r>
        <w:rPr/>
        <w:t> </w:t>
      </w:r>
    </w:p>
    <w:p>
      <w:pPr>
        <w:pStyle w:val="TextBody"/>
        <w:bidi w:val="0"/>
        <w:jc w:val="center"/>
        <w:rPr>
          <w:b/>
          <w:sz w:val="28"/>
        </w:rPr>
      </w:pPr>
      <w:r>
        <w:rPr>
          <w:b/>
          <w:sz w:val="28"/>
        </w:rPr>
        <w:t>SMALL PHARMA INC.</w:t>
      </w:r>
    </w:p>
    <w:p>
      <w:pPr>
        <w:pStyle w:val="TextBody"/>
        <w:bidi w:val="0"/>
        <w:jc w:val="center"/>
        <w:rPr/>
      </w:pPr>
      <w:r>
        <w:rPr/>
        <w:t> </w:t>
      </w:r>
    </w:p>
    <w:p>
      <w:pPr>
        <w:pStyle w:val="TextBody"/>
        <w:bidi w:val="0"/>
        <w:jc w:val="center"/>
        <w:rPr/>
      </w:pPr>
      <w:r>
        <w:rPr/>
        <w:t>Interim Condensed Consolidated Financial Statements</w:t>
      </w:r>
    </w:p>
    <w:p>
      <w:pPr>
        <w:pStyle w:val="TextBody"/>
        <w:bidi w:val="0"/>
        <w:jc w:val="center"/>
        <w:rPr/>
      </w:pPr>
      <w:r>
        <w:rPr/>
        <w:t>Three months ended May 31, 2023 and 2022</w:t>
      </w:r>
    </w:p>
    <w:p>
      <w:pPr>
        <w:pStyle w:val="TextBody"/>
        <w:bidi w:val="0"/>
        <w:jc w:val="center"/>
        <w:rPr/>
      </w:pPr>
      <w:r>
        <w:rPr/>
        <w:t>(Expressed in Canadian Dollars)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single" w:sz="30" w:space="0" w:color="000000"/>
        </w:pBdr>
        <w:bidi w:val="0"/>
        <w:jc w:val="left"/>
        <w:rPr/>
      </w:pPr>
      <w:r>
        <w:rPr/>
      </w:r>
    </w:p>
    <w:p>
      <w:pPr>
        <w:pStyle w:val="TextBody"/>
        <w:bidi w:val="0"/>
        <w:jc w:val="center"/>
        <w:rPr>
          <w:b/>
        </w:rPr>
      </w:pPr>
      <w:bookmarkStart w:id="29" w:name="page_22"/>
      <w:bookmarkEnd w:id="29"/>
      <w:r>
        <w:rPr>
          <w:b/>
        </w:rPr>
        <w:t>SMALL PHARMA INC.</w:t>
      </w:r>
    </w:p>
    <w:p>
      <w:pPr>
        <w:pStyle w:val="TextBody"/>
        <w:bidi w:val="0"/>
        <w:jc w:val="center"/>
        <w:rPr/>
      </w:pPr>
      <w:r>
        <w:rPr/>
        <w:t>Contents</w:t>
      </w:r>
    </w:p>
    <w:tbl>
      <w:tblPr>
        <w:tblW w:w="8530" w:type="dxa"/>
        <w:jc w:val="left"/>
        <w:tblInd w:w="0" w:type="dxa"/>
        <w:tblLayout w:type="fixed"/>
        <w:tblCellMar>
          <w:top w:w="0" w:type="dxa"/>
          <w:left w:w="0" w:type="dxa"/>
          <w:bottom w:w="0" w:type="dxa"/>
          <w:right w:w="0" w:type="dxa"/>
        </w:tblCellMar>
      </w:tblPr>
      <w:tblGrid>
        <w:gridCol w:w="8030"/>
        <w:gridCol w:w="500"/>
      </w:tblGrid>
      <w:tr>
        <w:trPr/>
        <w:tc>
          <w:tcPr>
            <w:tcW w:w="803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Page</w:t>
            </w:r>
          </w:p>
        </w:tc>
      </w:tr>
      <w:tr>
        <w:trPr/>
        <w:tc>
          <w:tcPr>
            <w:tcW w:w="803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803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8030" w:type="dxa"/>
            <w:tcBorders/>
            <w:shd w:fill="EEEEEE" w:val="clear"/>
            <w:vAlign w:val="center"/>
          </w:tcPr>
          <w:p>
            <w:pPr>
              <w:pStyle w:val="TableContents"/>
              <w:bidi w:val="0"/>
              <w:spacing w:before="0" w:after="0"/>
              <w:jc w:val="left"/>
              <w:rPr/>
            </w:pPr>
            <w:hyperlink w:anchor="page_3">
              <w:r>
                <w:rPr>
                  <w:rStyle w:val="InternetLink"/>
                </w:rPr>
                <w:t>Interim Condensed Consolidated Statements of Financial Position</w:t>
              </w:r>
            </w:hyperlink>
          </w:p>
        </w:tc>
        <w:tc>
          <w:tcPr>
            <w:tcW w:w="500" w:type="dxa"/>
            <w:tcBorders/>
            <w:shd w:fill="EEEEEE" w:val="clear"/>
            <w:vAlign w:val="center"/>
          </w:tcPr>
          <w:p>
            <w:pPr>
              <w:pStyle w:val="TableContents"/>
              <w:bidi w:val="0"/>
              <w:spacing w:before="0" w:after="0"/>
              <w:jc w:val="left"/>
              <w:rPr/>
            </w:pPr>
            <w:hyperlink w:anchor="page_3">
              <w:r>
                <w:rPr>
                  <w:rStyle w:val="InternetLink"/>
                </w:rPr>
                <w:t>1</w:t>
              </w:r>
            </w:hyperlink>
          </w:p>
        </w:tc>
      </w:tr>
      <w:tr>
        <w:trPr/>
        <w:tc>
          <w:tcPr>
            <w:tcW w:w="803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8030" w:type="dxa"/>
            <w:tcBorders/>
            <w:shd w:fill="EEEEEE" w:val="clear"/>
            <w:vAlign w:val="center"/>
          </w:tcPr>
          <w:p>
            <w:pPr>
              <w:pStyle w:val="TableContents"/>
              <w:bidi w:val="0"/>
              <w:spacing w:before="0" w:after="0"/>
              <w:jc w:val="left"/>
              <w:rPr/>
            </w:pPr>
            <w:hyperlink w:anchor="page_4">
              <w:r>
                <w:rPr>
                  <w:rStyle w:val="InternetLink"/>
                </w:rPr>
                <w:t>Interim Condensed Consolidated Statements of Operations and Comprehensive Loss</w:t>
              </w:r>
            </w:hyperlink>
          </w:p>
        </w:tc>
        <w:tc>
          <w:tcPr>
            <w:tcW w:w="500" w:type="dxa"/>
            <w:tcBorders/>
            <w:shd w:fill="EEEEEE" w:val="clear"/>
            <w:vAlign w:val="center"/>
          </w:tcPr>
          <w:p>
            <w:pPr>
              <w:pStyle w:val="TableContents"/>
              <w:bidi w:val="0"/>
              <w:spacing w:before="0" w:after="0"/>
              <w:jc w:val="left"/>
              <w:rPr/>
            </w:pPr>
            <w:hyperlink w:anchor="page_4">
              <w:r>
                <w:rPr>
                  <w:rStyle w:val="InternetLink"/>
                </w:rPr>
                <w:t>2</w:t>
              </w:r>
            </w:hyperlink>
          </w:p>
        </w:tc>
      </w:tr>
      <w:tr>
        <w:trPr/>
        <w:tc>
          <w:tcPr>
            <w:tcW w:w="803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8030" w:type="dxa"/>
            <w:tcBorders/>
            <w:shd w:fill="EEEEEE" w:val="clear"/>
            <w:vAlign w:val="center"/>
          </w:tcPr>
          <w:p>
            <w:pPr>
              <w:pStyle w:val="TableContents"/>
              <w:bidi w:val="0"/>
              <w:spacing w:before="0" w:after="0"/>
              <w:jc w:val="left"/>
              <w:rPr/>
            </w:pPr>
            <w:hyperlink w:anchor="page_5">
              <w:r>
                <w:rPr>
                  <w:rStyle w:val="InternetLink"/>
                </w:rPr>
                <w:t>Interim Condensed Consolidated Statements of Changes in Equity (Deficit)</w:t>
              </w:r>
            </w:hyperlink>
          </w:p>
        </w:tc>
        <w:tc>
          <w:tcPr>
            <w:tcW w:w="500" w:type="dxa"/>
            <w:tcBorders/>
            <w:shd w:fill="EEEEEE" w:val="clear"/>
            <w:vAlign w:val="center"/>
          </w:tcPr>
          <w:p>
            <w:pPr>
              <w:pStyle w:val="TableContents"/>
              <w:bidi w:val="0"/>
              <w:spacing w:before="0" w:after="0"/>
              <w:jc w:val="left"/>
              <w:rPr/>
            </w:pPr>
            <w:hyperlink w:anchor="page_5">
              <w:r>
                <w:rPr>
                  <w:rStyle w:val="InternetLink"/>
                </w:rPr>
                <w:t>3</w:t>
              </w:r>
            </w:hyperlink>
          </w:p>
        </w:tc>
      </w:tr>
      <w:tr>
        <w:trPr/>
        <w:tc>
          <w:tcPr>
            <w:tcW w:w="803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8030" w:type="dxa"/>
            <w:tcBorders/>
            <w:shd w:fill="EEEEEE" w:val="clear"/>
            <w:vAlign w:val="center"/>
          </w:tcPr>
          <w:p>
            <w:pPr>
              <w:pStyle w:val="TableContents"/>
              <w:bidi w:val="0"/>
              <w:spacing w:before="0" w:after="0"/>
              <w:jc w:val="left"/>
              <w:rPr/>
            </w:pPr>
            <w:hyperlink w:anchor="page_6">
              <w:r>
                <w:rPr>
                  <w:rStyle w:val="InternetLink"/>
                </w:rPr>
                <w:t>Interim Condensed Consolidated Statements of Cash Flows</w:t>
              </w:r>
            </w:hyperlink>
          </w:p>
        </w:tc>
        <w:tc>
          <w:tcPr>
            <w:tcW w:w="500" w:type="dxa"/>
            <w:tcBorders/>
            <w:shd w:fill="EEEEEE" w:val="clear"/>
            <w:vAlign w:val="center"/>
          </w:tcPr>
          <w:p>
            <w:pPr>
              <w:pStyle w:val="TableContents"/>
              <w:bidi w:val="0"/>
              <w:spacing w:before="0" w:after="0"/>
              <w:jc w:val="left"/>
              <w:rPr/>
            </w:pPr>
            <w:hyperlink w:anchor="page_6">
              <w:r>
                <w:rPr>
                  <w:rStyle w:val="InternetLink"/>
                </w:rPr>
                <w:t>4</w:t>
              </w:r>
            </w:hyperlink>
          </w:p>
        </w:tc>
      </w:tr>
      <w:tr>
        <w:trPr/>
        <w:tc>
          <w:tcPr>
            <w:tcW w:w="803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8030" w:type="dxa"/>
            <w:tcBorders/>
            <w:shd w:fill="EEEEEE" w:val="clear"/>
            <w:vAlign w:val="center"/>
          </w:tcPr>
          <w:p>
            <w:pPr>
              <w:pStyle w:val="TableContents"/>
              <w:bidi w:val="0"/>
              <w:spacing w:before="0" w:after="0"/>
              <w:jc w:val="left"/>
              <w:rPr/>
            </w:pPr>
            <w:hyperlink w:anchor="page_7">
              <w:r>
                <w:rPr>
                  <w:rStyle w:val="InternetLink"/>
                </w:rPr>
                <w:t>Notes to the Interim Condensed Consolidated Financial Statements</w:t>
              </w:r>
            </w:hyperlink>
          </w:p>
        </w:tc>
        <w:tc>
          <w:tcPr>
            <w:tcW w:w="500" w:type="dxa"/>
            <w:tcBorders/>
            <w:shd w:fill="EEEEEE" w:val="clear"/>
            <w:vAlign w:val="center"/>
          </w:tcPr>
          <w:p>
            <w:pPr>
              <w:pStyle w:val="TableContents"/>
              <w:bidi w:val="0"/>
              <w:spacing w:before="0" w:after="0"/>
              <w:jc w:val="left"/>
              <w:rPr/>
            </w:pPr>
            <w:hyperlink w:anchor="page_7">
              <w:r>
                <w:rPr>
                  <w:rStyle w:val="InternetLink"/>
                </w:rPr>
                <w:t>5</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Normal"/>
        <w:bidi w:val="0"/>
        <w:spacing w:before="0" w:after="0"/>
        <w:jc w:val="left"/>
        <w:rPr>
          <w:sz w:val="4"/>
          <w:szCs w:val="4"/>
        </w:rPr>
      </w:pPr>
      <w:r>
        <w:rPr>
          <w:sz w:val="4"/>
          <w:szCs w:val="4"/>
        </w:rPr>
      </w:r>
      <w:bookmarkStart w:id="30" w:name="page_32"/>
      <w:bookmarkStart w:id="31" w:name="page_32"/>
      <w:bookmarkEnd w:id="31"/>
    </w:p>
    <w:tbl>
      <w:tblPr>
        <w:tblW w:w="6695" w:type="dxa"/>
        <w:jc w:val="left"/>
        <w:tblInd w:w="0" w:type="dxa"/>
        <w:tblLayout w:type="fixed"/>
        <w:tblCellMar>
          <w:top w:w="0" w:type="dxa"/>
          <w:left w:w="0" w:type="dxa"/>
          <w:bottom w:w="0" w:type="dxa"/>
          <w:right w:w="0" w:type="dxa"/>
        </w:tblCellMar>
      </w:tblPr>
      <w:tblGrid>
        <w:gridCol w:w="6695"/>
      </w:tblGrid>
      <w:tr>
        <w:trPr/>
        <w:tc>
          <w:tcPr>
            <w:tcW w:w="6695" w:type="dxa"/>
            <w:tcBorders/>
            <w:vAlign w:val="center"/>
          </w:tcPr>
          <w:p>
            <w:pPr>
              <w:pStyle w:val="TableContents"/>
              <w:bidi w:val="0"/>
              <w:spacing w:before="0" w:after="283"/>
              <w:jc w:val="left"/>
              <w:rPr/>
            </w:pPr>
            <w:r>
              <w:rPr>
                <w:b/>
                <w:sz w:val="24"/>
              </w:rPr>
              <w:t>SMALL PHARMA INC.</w:t>
            </w:r>
            <w:r>
              <w:rPr/>
              <w:br/>
              <w:t>Interim Condensed Consolidated Statements of Financial Position as at</w:t>
              <w:br/>
              <w:t>(Expressed in Canadian dollars)</w:t>
            </w:r>
          </w:p>
        </w:tc>
      </w:tr>
    </w:tbl>
    <w:p>
      <w:pPr>
        <w:pStyle w:val="TextBody"/>
        <w:bidi w:val="0"/>
        <w:spacing w:before="0" w:after="0"/>
        <w:jc w:val="left"/>
        <w:rPr/>
      </w:pPr>
      <w:r>
        <w:rPr/>
      </w:r>
    </w:p>
    <w:tbl>
      <w:tblPr>
        <w:tblW w:w="8920" w:type="dxa"/>
        <w:jc w:val="left"/>
        <w:tblInd w:w="0" w:type="dxa"/>
        <w:tblLayout w:type="fixed"/>
        <w:tblCellMar>
          <w:top w:w="0" w:type="dxa"/>
          <w:left w:w="0" w:type="dxa"/>
          <w:bottom w:w="28" w:type="dxa"/>
          <w:right w:w="0" w:type="dxa"/>
        </w:tblCellMar>
      </w:tblPr>
      <w:tblGrid>
        <w:gridCol w:w="6185"/>
        <w:gridCol w:w="60"/>
        <w:gridCol w:w="1175"/>
        <w:gridCol w:w="95"/>
        <w:gridCol w:w="60"/>
        <w:gridCol w:w="1235"/>
        <w:gridCol w:w="110"/>
      </w:tblGrid>
      <w:tr>
        <w:trPr/>
        <w:tc>
          <w:tcPr>
            <w:tcW w:w="618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175" w:type="dxa"/>
            <w:tcBorders>
              <w:bottom w:val="single" w:sz="6" w:space="0" w:color="000000"/>
            </w:tcBorders>
            <w:vAlign w:val="center"/>
          </w:tcPr>
          <w:p>
            <w:pPr>
              <w:pStyle w:val="TableContents"/>
              <w:bidi w:val="0"/>
              <w:spacing w:before="0" w:after="283"/>
              <w:jc w:val="center"/>
              <w:rPr/>
            </w:pPr>
            <w:r>
              <w:rPr/>
              <w:t>May 31,</w:t>
              <w:br/>
              <w:t>2023</w:t>
              <w:br/>
              <w:t>$</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235" w:type="dxa"/>
            <w:tcBorders>
              <w:bottom w:val="single" w:sz="6" w:space="0" w:color="000000"/>
            </w:tcBorders>
            <w:vAlign w:val="center"/>
          </w:tcPr>
          <w:p>
            <w:pPr>
              <w:pStyle w:val="TableContents"/>
              <w:bidi w:val="0"/>
              <w:spacing w:before="0" w:after="283"/>
              <w:jc w:val="center"/>
              <w:rPr/>
            </w:pPr>
            <w:r>
              <w:rPr/>
              <w:t>February 28,</w:t>
              <w:br/>
              <w:t>2023</w:t>
              <w:br/>
              <w:t>$</w:t>
            </w:r>
          </w:p>
        </w:tc>
        <w:tc>
          <w:tcPr>
            <w:tcW w:w="110" w:type="dxa"/>
            <w:tcBorders>
              <w:bottom w:val="single" w:sz="6" w:space="0" w:color="000000"/>
            </w:tcBorders>
            <w:vAlign w:val="center"/>
          </w:tcPr>
          <w:p>
            <w:pPr>
              <w:pStyle w:val="TableContents"/>
              <w:bidi w:val="0"/>
              <w:spacing w:before="0" w:after="283"/>
              <w:jc w:val="center"/>
              <w:rPr/>
            </w:pPr>
            <w:r>
              <w:rPr/>
              <w:t> </w:t>
            </w:r>
          </w:p>
        </w:tc>
      </w:tr>
      <w:tr>
        <w:trPr/>
        <w:tc>
          <w:tcPr>
            <w:tcW w:w="6185" w:type="dxa"/>
            <w:tcBorders/>
            <w:tcMar>
              <w:bottom w:w="0" w:type="dxa"/>
            </w:tcMar>
            <w:vAlign w:val="center"/>
          </w:tcPr>
          <w:p>
            <w:pPr>
              <w:pStyle w:val="TableContents"/>
              <w:bidi w:val="0"/>
              <w:spacing w:before="0" w:after="0"/>
              <w:jc w:val="lef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17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23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10"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6185" w:type="dxa"/>
            <w:tcBorders/>
            <w:shd w:fill="E6EFFF" w:val="clear"/>
            <w:tcMar>
              <w:bottom w:w="0" w:type="dxa"/>
            </w:tcMar>
            <w:vAlign w:val="center"/>
          </w:tcPr>
          <w:p>
            <w:pPr>
              <w:pStyle w:val="TableContents"/>
              <w:bidi w:val="0"/>
              <w:spacing w:before="0" w:after="0"/>
              <w:jc w:val="left"/>
              <w:rPr/>
            </w:pPr>
            <w:r>
              <w:rPr/>
              <w:t>ASSETS</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17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right"/>
              <w:rPr/>
            </w:pPr>
            <w:r>
              <w:rPr/>
              <w:t> </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23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right"/>
              <w:rPr/>
            </w:pPr>
            <w:r>
              <w:rPr/>
              <w:t> </w:t>
            </w:r>
          </w:p>
        </w:tc>
      </w:tr>
      <w:tr>
        <w:trPr/>
        <w:tc>
          <w:tcPr>
            <w:tcW w:w="61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right"/>
              <w:rPr/>
            </w:pPr>
            <w:r>
              <w:rPr/>
              <w:t> </w:t>
            </w:r>
          </w:p>
        </w:tc>
        <w:tc>
          <w:tcPr>
            <w:tcW w:w="117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123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right"/>
              <w:rPr/>
            </w:pPr>
            <w:r>
              <w:rPr/>
              <w:t> </w:t>
            </w:r>
          </w:p>
        </w:tc>
      </w:tr>
      <w:tr>
        <w:trPr/>
        <w:tc>
          <w:tcPr>
            <w:tcW w:w="6185" w:type="dxa"/>
            <w:tcBorders/>
            <w:shd w:fill="E6EFFF" w:val="clear"/>
            <w:tcMar>
              <w:bottom w:w="0" w:type="dxa"/>
            </w:tcMar>
            <w:vAlign w:val="center"/>
          </w:tcPr>
          <w:p>
            <w:pPr>
              <w:pStyle w:val="TableContents"/>
              <w:bidi w:val="0"/>
              <w:spacing w:before="0" w:after="0"/>
              <w:jc w:val="left"/>
              <w:rPr/>
            </w:pPr>
            <w:r>
              <w:rPr/>
              <w:t>Current assets</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17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right"/>
              <w:rPr/>
            </w:pPr>
            <w:r>
              <w:rPr/>
              <w:t> </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23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right"/>
              <w:rPr/>
            </w:pPr>
            <w:r>
              <w:rPr/>
              <w:t> </w:t>
            </w:r>
          </w:p>
        </w:tc>
      </w:tr>
      <w:tr>
        <w:trPr/>
        <w:tc>
          <w:tcPr>
            <w:tcW w:w="6185" w:type="dxa"/>
            <w:tcBorders/>
            <w:tcMar>
              <w:bottom w:w="0" w:type="dxa"/>
            </w:tcMar>
            <w:vAlign w:val="center"/>
          </w:tcPr>
          <w:p>
            <w:pPr>
              <w:pStyle w:val="TableContents"/>
              <w:bidi w:val="0"/>
              <w:spacing w:before="0" w:after="0"/>
              <w:jc w:val="left"/>
              <w:rPr/>
            </w:pPr>
            <w:r>
              <w:rPr/>
              <w:t>Cash</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13,151,992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18,536,958</w:t>
            </w:r>
          </w:p>
        </w:tc>
        <w:tc>
          <w:tcPr>
            <w:tcW w:w="110" w:type="dxa"/>
            <w:tcBorders/>
            <w:tcMar>
              <w:bottom w:w="0" w:type="dxa"/>
            </w:tcMar>
            <w:vAlign w:val="center"/>
          </w:tcPr>
          <w:p>
            <w:pPr>
              <w:pStyle w:val="TableContents"/>
              <w:bidi w:val="0"/>
              <w:spacing w:before="0" w:after="283"/>
              <w:jc w:val="left"/>
              <w:rPr/>
            </w:pPr>
            <w:r>
              <w:rPr/>
              <w:t> </w:t>
            </w:r>
          </w:p>
        </w:tc>
      </w:tr>
      <w:tr>
        <w:trPr/>
        <w:tc>
          <w:tcPr>
            <w:tcW w:w="6185" w:type="dxa"/>
            <w:tcBorders/>
            <w:shd w:fill="E6EFFF" w:val="clear"/>
            <w:tcMar>
              <w:bottom w:w="0" w:type="dxa"/>
            </w:tcMar>
            <w:vAlign w:val="center"/>
          </w:tcPr>
          <w:p>
            <w:pPr>
              <w:pStyle w:val="TableContents"/>
              <w:bidi w:val="0"/>
              <w:spacing w:before="0" w:after="0"/>
              <w:jc w:val="left"/>
              <w:rPr/>
            </w:pPr>
            <w:r>
              <w:rPr/>
              <w:t>Trade and other receivables (Note 5)</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625,774</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800,173</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6185" w:type="dxa"/>
            <w:tcBorders>
              <w:bottom w:val="single" w:sz="6" w:space="0" w:color="000000"/>
            </w:tcBorders>
            <w:vAlign w:val="center"/>
          </w:tcPr>
          <w:p>
            <w:pPr>
              <w:pStyle w:val="TableContents"/>
              <w:bidi w:val="0"/>
              <w:spacing w:before="0" w:after="0"/>
              <w:jc w:val="left"/>
              <w:rPr/>
            </w:pPr>
            <w:r>
              <w:rPr/>
              <w:t>Prepaid expenses (Note 6)</w:t>
            </w:r>
          </w:p>
        </w:tc>
        <w:tc>
          <w:tcPr>
            <w:tcW w:w="60" w:type="dxa"/>
            <w:tcBorders>
              <w:bottom w:val="single" w:sz="6" w:space="0" w:color="000000"/>
            </w:tcBorders>
            <w:vAlign w:val="center"/>
          </w:tcPr>
          <w:p>
            <w:pPr>
              <w:pStyle w:val="TableContents"/>
              <w:bidi w:val="0"/>
              <w:spacing w:before="0" w:after="283"/>
              <w:jc w:val="left"/>
              <w:rPr/>
            </w:pPr>
            <w:r>
              <w:rPr/>
              <w:t> </w:t>
            </w:r>
          </w:p>
        </w:tc>
        <w:tc>
          <w:tcPr>
            <w:tcW w:w="1175" w:type="dxa"/>
            <w:tcBorders>
              <w:bottom w:val="single" w:sz="6" w:space="0" w:color="000000"/>
            </w:tcBorders>
            <w:vAlign w:val="center"/>
          </w:tcPr>
          <w:p>
            <w:pPr>
              <w:pStyle w:val="TableContents"/>
              <w:bidi w:val="0"/>
              <w:spacing w:before="0" w:after="283"/>
              <w:jc w:val="right"/>
              <w:rPr/>
            </w:pPr>
            <w:r>
              <w:rPr/>
              <w:t>874,069</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987,114</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6185" w:type="dxa"/>
            <w:tcBorders>
              <w:bottom w:val="single" w:sz="6" w:space="0" w:color="000000"/>
            </w:tcBorders>
            <w:shd w:fill="E6EFFF" w:val="clear"/>
            <w:vAlign w:val="center"/>
          </w:tcPr>
          <w:p>
            <w:pPr>
              <w:pStyle w:val="TableContents"/>
              <w:bidi w:val="0"/>
              <w:spacing w:before="0" w:after="0"/>
              <w:jc w:val="left"/>
              <w:rPr/>
            </w:pPr>
            <w:r>
              <w:rPr/>
              <w:t>Total current assets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175" w:type="dxa"/>
            <w:tcBorders>
              <w:bottom w:val="single" w:sz="6" w:space="0" w:color="000000"/>
            </w:tcBorders>
            <w:shd w:fill="E6EFFF" w:val="clear"/>
            <w:vAlign w:val="center"/>
          </w:tcPr>
          <w:p>
            <w:pPr>
              <w:pStyle w:val="TableContents"/>
              <w:bidi w:val="0"/>
              <w:spacing w:before="0" w:after="283"/>
              <w:jc w:val="right"/>
              <w:rPr/>
            </w:pPr>
            <w:r>
              <w:rPr/>
              <w:t>14,651,835</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35" w:type="dxa"/>
            <w:tcBorders>
              <w:bottom w:val="single" w:sz="6" w:space="0" w:color="000000"/>
            </w:tcBorders>
            <w:shd w:fill="E6EFFF" w:val="clear"/>
            <w:vAlign w:val="center"/>
          </w:tcPr>
          <w:p>
            <w:pPr>
              <w:pStyle w:val="TableContents"/>
              <w:bidi w:val="0"/>
              <w:spacing w:before="0" w:after="283"/>
              <w:jc w:val="right"/>
              <w:rPr/>
            </w:pPr>
            <w:r>
              <w:rPr/>
              <w:t>20,324,245</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185" w:type="dxa"/>
            <w:tcBorders/>
            <w:shd w:fill="E6EFFF" w:val="clear"/>
            <w:tcMar>
              <w:bottom w:w="0" w:type="dxa"/>
            </w:tcMar>
            <w:vAlign w:val="center"/>
          </w:tcPr>
          <w:p>
            <w:pPr>
              <w:pStyle w:val="TableContents"/>
              <w:bidi w:val="0"/>
              <w:spacing w:before="0" w:after="0"/>
              <w:jc w:val="left"/>
              <w:rPr/>
            </w:pPr>
            <w:r>
              <w:rPr/>
              <w:t>Non-current assets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283"/>
              <w:jc w:val="left"/>
              <w:rPr/>
            </w:pPr>
            <w:r>
              <w:rPr/>
              <w:t>Property and equipment (Note 3)</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48,756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54,341</w:t>
            </w:r>
          </w:p>
        </w:tc>
        <w:tc>
          <w:tcPr>
            <w:tcW w:w="110" w:type="dxa"/>
            <w:tcBorders/>
            <w:tcMar>
              <w:bottom w:w="0" w:type="dxa"/>
            </w:tcMar>
            <w:vAlign w:val="center"/>
          </w:tcPr>
          <w:p>
            <w:pPr>
              <w:pStyle w:val="TableContents"/>
              <w:bidi w:val="0"/>
              <w:spacing w:before="0" w:after="283"/>
              <w:jc w:val="left"/>
              <w:rPr/>
            </w:pPr>
            <w:r>
              <w:rPr/>
              <w:t> </w:t>
            </w:r>
          </w:p>
        </w:tc>
      </w:tr>
      <w:tr>
        <w:trPr/>
        <w:tc>
          <w:tcPr>
            <w:tcW w:w="6185" w:type="dxa"/>
            <w:tcBorders>
              <w:bottom w:val="single" w:sz="6" w:space="0" w:color="000000"/>
            </w:tcBorders>
            <w:shd w:fill="E6EFFF" w:val="clear"/>
            <w:vAlign w:val="center"/>
          </w:tcPr>
          <w:p>
            <w:pPr>
              <w:pStyle w:val="TableContents"/>
              <w:bidi w:val="0"/>
              <w:spacing w:before="0" w:after="283"/>
              <w:jc w:val="left"/>
              <w:rPr/>
            </w:pPr>
            <w:r>
              <w:rPr/>
              <w:t>Right-of-use asset (Note 3)</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175" w:type="dxa"/>
            <w:tcBorders>
              <w:bottom w:val="single" w:sz="6" w:space="0" w:color="000000"/>
            </w:tcBorders>
            <w:shd w:fill="E6EFFF" w:val="clear"/>
            <w:vAlign w:val="center"/>
          </w:tcPr>
          <w:p>
            <w:pPr>
              <w:pStyle w:val="TableContents"/>
              <w:bidi w:val="0"/>
              <w:spacing w:before="0" w:after="283"/>
              <w:jc w:val="right"/>
              <w:rPr/>
            </w:pPr>
            <w:r>
              <w:rPr/>
              <w:t>540,962</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35" w:type="dxa"/>
            <w:tcBorders>
              <w:bottom w:val="single" w:sz="6" w:space="0" w:color="000000"/>
            </w:tcBorders>
            <w:shd w:fill="E6EFFF" w:val="clear"/>
            <w:vAlign w:val="center"/>
          </w:tcPr>
          <w:p>
            <w:pPr>
              <w:pStyle w:val="TableContents"/>
              <w:bidi w:val="0"/>
              <w:spacing w:before="0" w:after="283"/>
              <w:jc w:val="right"/>
              <w:rPr/>
            </w:pPr>
            <w:r>
              <w:rPr/>
              <w:t>605,233</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6185" w:type="dxa"/>
            <w:tcBorders>
              <w:bottom w:val="single" w:sz="6" w:space="0" w:color="000000"/>
            </w:tcBorders>
            <w:vAlign w:val="center"/>
          </w:tcPr>
          <w:p>
            <w:pPr>
              <w:pStyle w:val="TableContents"/>
              <w:bidi w:val="0"/>
              <w:spacing w:before="0" w:after="0"/>
              <w:jc w:val="left"/>
              <w:rPr/>
            </w:pPr>
            <w:r>
              <w:rPr/>
              <w:t>Total non-current assets</w:t>
            </w:r>
          </w:p>
        </w:tc>
        <w:tc>
          <w:tcPr>
            <w:tcW w:w="60" w:type="dxa"/>
            <w:tcBorders>
              <w:bottom w:val="single" w:sz="6" w:space="0" w:color="000000"/>
            </w:tcBorders>
            <w:vAlign w:val="center"/>
          </w:tcPr>
          <w:p>
            <w:pPr>
              <w:pStyle w:val="TableContents"/>
              <w:bidi w:val="0"/>
              <w:spacing w:before="0" w:after="283"/>
              <w:jc w:val="left"/>
              <w:rPr/>
            </w:pPr>
            <w:r>
              <w:rPr/>
              <w:t> </w:t>
            </w:r>
          </w:p>
        </w:tc>
        <w:tc>
          <w:tcPr>
            <w:tcW w:w="1175" w:type="dxa"/>
            <w:tcBorders>
              <w:bottom w:val="single" w:sz="6" w:space="0" w:color="000000"/>
            </w:tcBorders>
            <w:vAlign w:val="center"/>
          </w:tcPr>
          <w:p>
            <w:pPr>
              <w:pStyle w:val="TableContents"/>
              <w:bidi w:val="0"/>
              <w:spacing w:before="0" w:after="283"/>
              <w:jc w:val="right"/>
              <w:rPr/>
            </w:pPr>
            <w:r>
              <w:rPr/>
              <w:t>589,718</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659,574</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6185" w:type="dxa"/>
            <w:tcBorders>
              <w:bottom w:val="single" w:sz="12" w:space="0" w:color="000000"/>
            </w:tcBorders>
            <w:shd w:fill="E6EFFF" w:val="clear"/>
            <w:vAlign w:val="center"/>
          </w:tcPr>
          <w:p>
            <w:pPr>
              <w:pStyle w:val="TableContents"/>
              <w:bidi w:val="0"/>
              <w:spacing w:before="0" w:after="0"/>
              <w:jc w:val="left"/>
              <w:rPr/>
            </w:pPr>
            <w:r>
              <w:rPr/>
              <w:t>Total assets</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75" w:type="dxa"/>
            <w:tcBorders>
              <w:bottom w:val="single" w:sz="12" w:space="0" w:color="000000"/>
            </w:tcBorders>
            <w:shd w:fill="E6EFFF" w:val="clear"/>
            <w:vAlign w:val="center"/>
          </w:tcPr>
          <w:p>
            <w:pPr>
              <w:pStyle w:val="TableContents"/>
              <w:bidi w:val="0"/>
              <w:spacing w:before="0" w:after="283"/>
              <w:jc w:val="right"/>
              <w:rPr/>
            </w:pPr>
            <w:r>
              <w:rPr/>
              <w:t>15,241,553</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35" w:type="dxa"/>
            <w:tcBorders>
              <w:bottom w:val="single" w:sz="12" w:space="0" w:color="000000"/>
            </w:tcBorders>
            <w:shd w:fill="E6EFFF" w:val="clear"/>
            <w:vAlign w:val="center"/>
          </w:tcPr>
          <w:p>
            <w:pPr>
              <w:pStyle w:val="TableContents"/>
              <w:bidi w:val="0"/>
              <w:spacing w:before="0" w:after="283"/>
              <w:jc w:val="right"/>
              <w:rPr/>
            </w:pPr>
            <w:r>
              <w:rPr/>
              <w:t>20,983,819</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185" w:type="dxa"/>
            <w:tcBorders/>
            <w:shd w:fill="E6EFFF" w:val="clear"/>
            <w:tcMar>
              <w:bottom w:w="0" w:type="dxa"/>
            </w:tcMar>
            <w:vAlign w:val="center"/>
          </w:tcPr>
          <w:p>
            <w:pPr>
              <w:pStyle w:val="TableContents"/>
              <w:bidi w:val="0"/>
              <w:spacing w:before="0" w:after="0"/>
              <w:jc w:val="left"/>
              <w:rPr/>
            </w:pPr>
            <w:r>
              <w:rPr/>
              <w:t>LIABILITIES AND SHAREHOLDERS' EQUITY (DEFICIT)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185" w:type="dxa"/>
            <w:tcBorders/>
            <w:shd w:fill="E6EFFF" w:val="clear"/>
            <w:tcMar>
              <w:bottom w:w="0" w:type="dxa"/>
            </w:tcMar>
            <w:vAlign w:val="center"/>
          </w:tcPr>
          <w:p>
            <w:pPr>
              <w:pStyle w:val="TableContents"/>
              <w:bidi w:val="0"/>
              <w:spacing w:before="0" w:after="0"/>
              <w:jc w:val="left"/>
              <w:rPr/>
            </w:pPr>
            <w:r>
              <w:rPr/>
              <w:t>Current liabilities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0"/>
              <w:jc w:val="left"/>
              <w:rPr/>
            </w:pPr>
            <w:r>
              <w:rPr/>
              <w:t>Accounts payable and accrued liabilities (Notes 6 &amp; 10)</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2,686,680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3,217,785</w:t>
            </w:r>
          </w:p>
        </w:tc>
        <w:tc>
          <w:tcPr>
            <w:tcW w:w="110" w:type="dxa"/>
            <w:tcBorders/>
            <w:tcMar>
              <w:bottom w:w="0" w:type="dxa"/>
            </w:tcMar>
            <w:vAlign w:val="center"/>
          </w:tcPr>
          <w:p>
            <w:pPr>
              <w:pStyle w:val="TableContents"/>
              <w:bidi w:val="0"/>
              <w:spacing w:before="0" w:after="283"/>
              <w:jc w:val="left"/>
              <w:rPr/>
            </w:pPr>
            <w:r>
              <w:rPr/>
              <w:t> </w:t>
            </w:r>
          </w:p>
        </w:tc>
      </w:tr>
      <w:tr>
        <w:trPr/>
        <w:tc>
          <w:tcPr>
            <w:tcW w:w="6185" w:type="dxa"/>
            <w:tcBorders>
              <w:bottom w:val="single" w:sz="6" w:space="0" w:color="000000"/>
            </w:tcBorders>
            <w:shd w:fill="E6EFFF" w:val="clear"/>
            <w:vAlign w:val="center"/>
          </w:tcPr>
          <w:p>
            <w:pPr>
              <w:pStyle w:val="TableContents"/>
              <w:bidi w:val="0"/>
              <w:spacing w:before="0" w:after="0"/>
              <w:jc w:val="left"/>
              <w:rPr/>
            </w:pPr>
            <w:r>
              <w:rPr/>
              <w:t>Lease liabilities (Note 4)</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175" w:type="dxa"/>
            <w:tcBorders>
              <w:bottom w:val="single" w:sz="6" w:space="0" w:color="000000"/>
            </w:tcBorders>
            <w:shd w:fill="E6EFFF" w:val="clear"/>
            <w:vAlign w:val="center"/>
          </w:tcPr>
          <w:p>
            <w:pPr>
              <w:pStyle w:val="TableContents"/>
              <w:bidi w:val="0"/>
              <w:spacing w:before="0" w:after="283"/>
              <w:jc w:val="right"/>
              <w:rPr/>
            </w:pPr>
            <w:r>
              <w:rPr/>
              <w:t>315,120</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35" w:type="dxa"/>
            <w:tcBorders>
              <w:bottom w:val="single" w:sz="6" w:space="0" w:color="000000"/>
            </w:tcBorders>
            <w:shd w:fill="E6EFFF" w:val="clear"/>
            <w:vAlign w:val="center"/>
          </w:tcPr>
          <w:p>
            <w:pPr>
              <w:pStyle w:val="TableContents"/>
              <w:bidi w:val="0"/>
              <w:spacing w:before="0" w:after="283"/>
              <w:jc w:val="right"/>
              <w:rPr/>
            </w:pPr>
            <w:r>
              <w:rPr/>
              <w:t>303,650</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6185" w:type="dxa"/>
            <w:tcBorders>
              <w:bottom w:val="single" w:sz="6" w:space="0" w:color="000000"/>
            </w:tcBorders>
            <w:vAlign w:val="center"/>
          </w:tcPr>
          <w:p>
            <w:pPr>
              <w:pStyle w:val="TableContents"/>
              <w:bidi w:val="0"/>
              <w:spacing w:before="0" w:after="0"/>
              <w:jc w:val="left"/>
              <w:rPr/>
            </w:pPr>
            <w:r>
              <w:rPr/>
              <w:t>Total current liabilities</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3,001,800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3,521,435</w:t>
            </w:r>
          </w:p>
        </w:tc>
        <w:tc>
          <w:tcPr>
            <w:tcW w:w="110" w:type="dxa"/>
            <w:tcBorders/>
            <w:tcMar>
              <w:bottom w:w="0" w:type="dxa"/>
            </w:tcMar>
            <w:vAlign w:val="center"/>
          </w:tcPr>
          <w:p>
            <w:pPr>
              <w:pStyle w:val="TableContents"/>
              <w:bidi w:val="0"/>
              <w:spacing w:before="0" w:after="283"/>
              <w:jc w:val="left"/>
              <w:rPr/>
            </w:pPr>
            <w:r>
              <w:rPr/>
              <w:t> </w:t>
            </w:r>
          </w:p>
        </w:tc>
      </w:tr>
      <w:tr>
        <w:trPr/>
        <w:tc>
          <w:tcPr>
            <w:tcW w:w="6185" w:type="dxa"/>
            <w:tcBorders/>
            <w:shd w:fill="E6EFFF" w:val="clear"/>
            <w:tcMar>
              <w:bottom w:w="0" w:type="dxa"/>
            </w:tcMar>
            <w:vAlign w:val="center"/>
          </w:tcPr>
          <w:p>
            <w:pPr>
              <w:pStyle w:val="TableContents"/>
              <w:bidi w:val="0"/>
              <w:spacing w:before="0" w:after="0"/>
              <w:jc w:val="left"/>
              <w:rPr/>
            </w:pPr>
            <w:r>
              <w:rPr/>
              <w:t> </w:t>
            </w:r>
          </w:p>
        </w:tc>
        <w:tc>
          <w:tcPr>
            <w:tcW w:w="60"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 </w:t>
            </w:r>
          </w:p>
        </w:tc>
        <w:tc>
          <w:tcPr>
            <w:tcW w:w="1175" w:type="dxa"/>
            <w:tcBorders>
              <w:top w:val="single" w:sz="6" w:space="0" w:color="000000"/>
            </w:tcBorders>
            <w:shd w:fill="E6EFFF" w:val="clear"/>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 </w:t>
            </w:r>
          </w:p>
        </w:tc>
        <w:tc>
          <w:tcPr>
            <w:tcW w:w="1235" w:type="dxa"/>
            <w:tcBorders>
              <w:top w:val="single" w:sz="6" w:space="0" w:color="000000"/>
            </w:tcBorders>
            <w:shd w:fill="E6EFFF" w:val="clear"/>
            <w:tcMar>
              <w:top w:w="28" w:type="dxa"/>
              <w:bottom w:w="0" w:type="dxa"/>
            </w:tcMar>
            <w:vAlign w:val="center"/>
          </w:tcPr>
          <w:p>
            <w:pPr>
              <w:pStyle w:val="TableContents"/>
              <w:bidi w:val="0"/>
              <w:spacing w:before="0" w:after="283"/>
              <w:jc w:val="right"/>
              <w:rPr/>
            </w:pPr>
            <w:r>
              <w:rPr/>
              <w:t> </w:t>
            </w:r>
          </w:p>
        </w:tc>
        <w:tc>
          <w:tcPr>
            <w:tcW w:w="110"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0"/>
              <w:jc w:val="left"/>
              <w:rPr/>
            </w:pPr>
            <w:r>
              <w:rPr/>
              <w:t>Non-current liabilities</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185" w:type="dxa"/>
            <w:tcBorders>
              <w:bottom w:val="single" w:sz="6" w:space="0" w:color="000000"/>
            </w:tcBorders>
            <w:shd w:fill="E6EFFF" w:val="clear"/>
            <w:vAlign w:val="center"/>
          </w:tcPr>
          <w:p>
            <w:pPr>
              <w:pStyle w:val="TableContents"/>
              <w:bidi w:val="0"/>
              <w:spacing w:before="0" w:after="283"/>
              <w:jc w:val="left"/>
              <w:rPr/>
            </w:pPr>
            <w:r>
              <w:rPr/>
              <w:t>Lease liabilities (Note 4)</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175" w:type="dxa"/>
            <w:tcBorders>
              <w:bottom w:val="single" w:sz="6" w:space="0" w:color="000000"/>
            </w:tcBorders>
            <w:shd w:fill="E6EFFF" w:val="clear"/>
            <w:vAlign w:val="center"/>
          </w:tcPr>
          <w:p>
            <w:pPr>
              <w:pStyle w:val="TableContents"/>
              <w:bidi w:val="0"/>
              <w:spacing w:before="0" w:after="283"/>
              <w:jc w:val="right"/>
              <w:rPr/>
            </w:pPr>
            <w:r>
              <w:rPr/>
              <w:t>233,136</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35" w:type="dxa"/>
            <w:tcBorders>
              <w:bottom w:val="single" w:sz="6" w:space="0" w:color="000000"/>
            </w:tcBorders>
            <w:shd w:fill="E6EFFF" w:val="clear"/>
            <w:vAlign w:val="center"/>
          </w:tcPr>
          <w:p>
            <w:pPr>
              <w:pStyle w:val="TableContents"/>
              <w:bidi w:val="0"/>
              <w:spacing w:before="0" w:after="283"/>
              <w:jc w:val="right"/>
              <w:rPr/>
            </w:pPr>
            <w:r>
              <w:rPr/>
              <w:t>305,903</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6185" w:type="dxa"/>
            <w:tcBorders>
              <w:bottom w:val="single" w:sz="6" w:space="0" w:color="000000"/>
            </w:tcBorders>
            <w:vAlign w:val="center"/>
          </w:tcPr>
          <w:p>
            <w:pPr>
              <w:pStyle w:val="TableContents"/>
              <w:bidi w:val="0"/>
              <w:spacing w:before="0" w:after="0"/>
              <w:jc w:val="left"/>
              <w:rPr/>
            </w:pPr>
            <w:r>
              <w:rPr/>
              <w:t>Total non-current liabilities</w:t>
            </w:r>
          </w:p>
        </w:tc>
        <w:tc>
          <w:tcPr>
            <w:tcW w:w="60" w:type="dxa"/>
            <w:tcBorders>
              <w:bottom w:val="single" w:sz="6" w:space="0" w:color="000000"/>
            </w:tcBorders>
            <w:vAlign w:val="center"/>
          </w:tcPr>
          <w:p>
            <w:pPr>
              <w:pStyle w:val="TableContents"/>
              <w:bidi w:val="0"/>
              <w:spacing w:before="0" w:after="283"/>
              <w:jc w:val="left"/>
              <w:rPr/>
            </w:pPr>
            <w:r>
              <w:rPr/>
              <w:t> </w:t>
            </w:r>
          </w:p>
        </w:tc>
        <w:tc>
          <w:tcPr>
            <w:tcW w:w="1175" w:type="dxa"/>
            <w:tcBorders>
              <w:bottom w:val="single" w:sz="6" w:space="0" w:color="000000"/>
            </w:tcBorders>
            <w:vAlign w:val="center"/>
          </w:tcPr>
          <w:p>
            <w:pPr>
              <w:pStyle w:val="TableContents"/>
              <w:bidi w:val="0"/>
              <w:spacing w:before="0" w:after="283"/>
              <w:jc w:val="right"/>
              <w:rPr/>
            </w:pPr>
            <w:r>
              <w:rPr/>
              <w:t>233,136</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305,903</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6185" w:type="dxa"/>
            <w:tcBorders>
              <w:bottom w:val="single" w:sz="12" w:space="0" w:color="000000"/>
            </w:tcBorders>
            <w:shd w:fill="E6EFFF" w:val="clear"/>
            <w:vAlign w:val="center"/>
          </w:tcPr>
          <w:p>
            <w:pPr>
              <w:pStyle w:val="TableContents"/>
              <w:bidi w:val="0"/>
              <w:spacing w:before="0" w:after="0"/>
              <w:jc w:val="left"/>
              <w:rPr/>
            </w:pPr>
            <w:r>
              <w:rPr/>
              <w:t>Total liabilities</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75" w:type="dxa"/>
            <w:tcBorders>
              <w:bottom w:val="single" w:sz="12" w:space="0" w:color="000000"/>
            </w:tcBorders>
            <w:shd w:fill="E6EFFF" w:val="clear"/>
            <w:vAlign w:val="center"/>
          </w:tcPr>
          <w:p>
            <w:pPr>
              <w:pStyle w:val="TableContents"/>
              <w:bidi w:val="0"/>
              <w:spacing w:before="0" w:after="283"/>
              <w:jc w:val="right"/>
              <w:rPr/>
            </w:pPr>
            <w:r>
              <w:rPr/>
              <w:t>3,234,936</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35" w:type="dxa"/>
            <w:tcBorders>
              <w:bottom w:val="single" w:sz="12" w:space="0" w:color="000000"/>
            </w:tcBorders>
            <w:shd w:fill="E6EFFF" w:val="clear"/>
            <w:vAlign w:val="center"/>
          </w:tcPr>
          <w:p>
            <w:pPr>
              <w:pStyle w:val="TableContents"/>
              <w:bidi w:val="0"/>
              <w:spacing w:before="0" w:after="283"/>
              <w:jc w:val="right"/>
              <w:rPr/>
            </w:pPr>
            <w:r>
              <w:rPr/>
              <w:t>3,827,338</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0"/>
              <w:jc w:val="left"/>
              <w:rPr/>
            </w:pPr>
            <w:r>
              <w:rPr/>
              <w:t> </w:t>
            </w:r>
          </w:p>
        </w:tc>
        <w:tc>
          <w:tcPr>
            <w:tcW w:w="60"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1175" w:type="dxa"/>
            <w:tcBorders>
              <w:top w:val="single" w:sz="12"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1235" w:type="dxa"/>
            <w:tcBorders>
              <w:top w:val="single" w:sz="12" w:space="0" w:color="000000"/>
            </w:tcBorders>
            <w:tcMar>
              <w:top w:w="28" w:type="dxa"/>
              <w:bottom w:w="0" w:type="dxa"/>
            </w:tcMar>
            <w:vAlign w:val="center"/>
          </w:tcPr>
          <w:p>
            <w:pPr>
              <w:pStyle w:val="TableContents"/>
              <w:bidi w:val="0"/>
              <w:spacing w:before="0" w:after="283"/>
              <w:jc w:val="right"/>
              <w:rPr/>
            </w:pPr>
            <w:r>
              <w:rPr/>
              <w:t> </w:t>
            </w:r>
          </w:p>
        </w:tc>
        <w:tc>
          <w:tcPr>
            <w:tcW w:w="110" w:type="dxa"/>
            <w:tcBorders>
              <w:top w:val="single" w:sz="12" w:space="0" w:color="000000"/>
            </w:tcBorders>
            <w:tcMar>
              <w:top w:w="28" w:type="dxa"/>
              <w:bottom w:w="0" w:type="dxa"/>
            </w:tcMar>
            <w:vAlign w:val="center"/>
          </w:tcPr>
          <w:p>
            <w:pPr>
              <w:pStyle w:val="TableContents"/>
              <w:bidi w:val="0"/>
              <w:spacing w:before="0" w:after="283"/>
              <w:jc w:val="left"/>
              <w:rPr/>
            </w:pPr>
            <w:r>
              <w:rPr/>
              <w:t> </w:t>
            </w:r>
          </w:p>
        </w:tc>
      </w:tr>
      <w:tr>
        <w:trPr/>
        <w:tc>
          <w:tcPr>
            <w:tcW w:w="6185" w:type="dxa"/>
            <w:tcBorders/>
            <w:shd w:fill="E6EFFF" w:val="clear"/>
            <w:tcMar>
              <w:bottom w:w="0" w:type="dxa"/>
            </w:tcMar>
            <w:vAlign w:val="center"/>
          </w:tcPr>
          <w:p>
            <w:pPr>
              <w:pStyle w:val="TableContents"/>
              <w:bidi w:val="0"/>
              <w:spacing w:before="0" w:after="0"/>
              <w:jc w:val="left"/>
              <w:rPr/>
            </w:pPr>
            <w:r>
              <w:rPr/>
              <w:t>Shareholders' equity (deficit)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283"/>
              <w:jc w:val="left"/>
              <w:rPr/>
            </w:pPr>
            <w:r>
              <w:rPr/>
              <w:t>Share capital (Note 7)</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69,722,807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69,722,807</w:t>
            </w:r>
          </w:p>
        </w:tc>
        <w:tc>
          <w:tcPr>
            <w:tcW w:w="110" w:type="dxa"/>
            <w:tcBorders/>
            <w:tcMar>
              <w:bottom w:w="0" w:type="dxa"/>
            </w:tcMar>
            <w:vAlign w:val="center"/>
          </w:tcPr>
          <w:p>
            <w:pPr>
              <w:pStyle w:val="TableContents"/>
              <w:bidi w:val="0"/>
              <w:spacing w:before="0" w:after="283"/>
              <w:jc w:val="left"/>
              <w:rPr/>
            </w:pPr>
            <w:r>
              <w:rPr/>
              <w:t> </w:t>
            </w:r>
          </w:p>
        </w:tc>
      </w:tr>
      <w:tr>
        <w:trPr/>
        <w:tc>
          <w:tcPr>
            <w:tcW w:w="6185" w:type="dxa"/>
            <w:tcBorders/>
            <w:shd w:fill="E6EFFF" w:val="clear"/>
            <w:tcMar>
              <w:bottom w:w="0" w:type="dxa"/>
            </w:tcMar>
            <w:vAlign w:val="center"/>
          </w:tcPr>
          <w:p>
            <w:pPr>
              <w:pStyle w:val="TableContents"/>
              <w:bidi w:val="0"/>
              <w:spacing w:before="0" w:after="283"/>
              <w:jc w:val="left"/>
              <w:rPr/>
            </w:pPr>
            <w:r>
              <w:rPr/>
              <w:t>Share-based payment reserve (Notes 8 &amp; 9)</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4,232,653</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4,117,212</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283"/>
              <w:jc w:val="left"/>
              <w:rPr/>
            </w:pPr>
            <w:r>
              <w:rPr/>
              <w:t>Accumulated other comprehensive loss</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(1,664,649</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(2,043,011</w:t>
            </w:r>
          </w:p>
        </w:tc>
        <w:tc>
          <w:tcPr>
            <w:tcW w:w="110" w:type="dxa"/>
            <w:tcBorders/>
            <w:tcMar>
              <w:bottom w:w="0" w:type="dxa"/>
            </w:tcMar>
            <w:vAlign w:val="center"/>
          </w:tcPr>
          <w:p>
            <w:pPr>
              <w:pStyle w:val="TableContents"/>
              <w:bidi w:val="0"/>
              <w:spacing w:before="0" w:after="283"/>
              <w:jc w:val="left"/>
              <w:rPr/>
            </w:pPr>
            <w:r>
              <w:rPr/>
              <w:t>)</w:t>
            </w:r>
          </w:p>
        </w:tc>
      </w:tr>
      <w:tr>
        <w:trPr/>
        <w:tc>
          <w:tcPr>
            <w:tcW w:w="6185" w:type="dxa"/>
            <w:tcBorders>
              <w:bottom w:val="single" w:sz="6" w:space="0" w:color="000000"/>
            </w:tcBorders>
            <w:shd w:fill="E6EFFF" w:val="clear"/>
            <w:vAlign w:val="center"/>
          </w:tcPr>
          <w:p>
            <w:pPr>
              <w:pStyle w:val="TableContents"/>
              <w:bidi w:val="0"/>
              <w:spacing w:before="0" w:after="283"/>
              <w:jc w:val="left"/>
              <w:rPr/>
            </w:pPr>
            <w:r>
              <w:rPr/>
              <w:t>Deficit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175" w:type="dxa"/>
            <w:tcBorders>
              <w:bottom w:val="single" w:sz="6" w:space="0" w:color="000000"/>
            </w:tcBorders>
            <w:shd w:fill="E6EFFF" w:val="clear"/>
            <w:vAlign w:val="center"/>
          </w:tcPr>
          <w:p>
            <w:pPr>
              <w:pStyle w:val="TableContents"/>
              <w:bidi w:val="0"/>
              <w:spacing w:before="0" w:after="283"/>
              <w:jc w:val="right"/>
              <w:rPr/>
            </w:pPr>
            <w:r>
              <w:rPr/>
              <w:t>(60,284,194</w:t>
            </w:r>
          </w:p>
        </w:tc>
        <w:tc>
          <w:tcPr>
            <w:tcW w:w="95" w:type="dxa"/>
            <w:tcBorders>
              <w:bottom w:val="single" w:sz="6" w:space="0" w:color="000000"/>
            </w:tcBorders>
            <w:shd w:fill="E6EFFF" w:val="clear"/>
            <w:vAlign w:val="center"/>
          </w:tcPr>
          <w:p>
            <w:pPr>
              <w:pStyle w:val="TableContents"/>
              <w:bidi w:val="0"/>
              <w:spacing w:before="0" w:after="283"/>
              <w:jc w:val="left"/>
              <w:rPr/>
            </w:pPr>
            <w:r>
              <w:rPr/>
              <w: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35" w:type="dxa"/>
            <w:tcBorders>
              <w:bottom w:val="single" w:sz="6" w:space="0" w:color="000000"/>
            </w:tcBorders>
            <w:shd w:fill="E6EFFF" w:val="clear"/>
            <w:vAlign w:val="center"/>
          </w:tcPr>
          <w:p>
            <w:pPr>
              <w:pStyle w:val="TableContents"/>
              <w:bidi w:val="0"/>
              <w:spacing w:before="0" w:after="283"/>
              <w:jc w:val="right"/>
              <w:rPr/>
            </w:pPr>
            <w:r>
              <w:rPr/>
              <w:t>(54,640,527</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6185" w:type="dxa"/>
            <w:tcBorders>
              <w:bottom w:val="single" w:sz="6" w:space="0" w:color="000000"/>
            </w:tcBorders>
            <w:vAlign w:val="center"/>
          </w:tcPr>
          <w:p>
            <w:pPr>
              <w:pStyle w:val="TableContents"/>
              <w:bidi w:val="0"/>
              <w:spacing w:before="0" w:after="0"/>
              <w:jc w:val="left"/>
              <w:rPr/>
            </w:pPr>
            <w:r>
              <w:rPr/>
              <w:t>Total shareholders' equity (deficit)</w:t>
            </w:r>
          </w:p>
        </w:tc>
        <w:tc>
          <w:tcPr>
            <w:tcW w:w="60" w:type="dxa"/>
            <w:tcBorders>
              <w:bottom w:val="single" w:sz="6" w:space="0" w:color="000000"/>
            </w:tcBorders>
            <w:vAlign w:val="center"/>
          </w:tcPr>
          <w:p>
            <w:pPr>
              <w:pStyle w:val="TableContents"/>
              <w:bidi w:val="0"/>
              <w:spacing w:before="0" w:after="283"/>
              <w:jc w:val="left"/>
              <w:rPr/>
            </w:pPr>
            <w:r>
              <w:rPr/>
              <w:t> </w:t>
            </w:r>
          </w:p>
        </w:tc>
        <w:tc>
          <w:tcPr>
            <w:tcW w:w="1175" w:type="dxa"/>
            <w:tcBorders>
              <w:bottom w:val="single" w:sz="6" w:space="0" w:color="000000"/>
            </w:tcBorders>
            <w:vAlign w:val="center"/>
          </w:tcPr>
          <w:p>
            <w:pPr>
              <w:pStyle w:val="TableContents"/>
              <w:bidi w:val="0"/>
              <w:spacing w:before="0" w:after="283"/>
              <w:jc w:val="right"/>
              <w:rPr/>
            </w:pPr>
            <w:r>
              <w:rPr/>
              <w:t>12,006,617</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17,156,481</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6185" w:type="dxa"/>
            <w:tcBorders>
              <w:bottom w:val="single" w:sz="12" w:space="0" w:color="000000"/>
            </w:tcBorders>
            <w:shd w:fill="E6EFFF" w:val="clear"/>
            <w:vAlign w:val="center"/>
          </w:tcPr>
          <w:p>
            <w:pPr>
              <w:pStyle w:val="TableContents"/>
              <w:bidi w:val="0"/>
              <w:spacing w:before="0" w:after="0"/>
              <w:jc w:val="left"/>
              <w:rPr/>
            </w:pPr>
            <w:r>
              <w:rPr/>
              <w:t>Total liabilities and shareholders' equity (deficit)</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75" w:type="dxa"/>
            <w:tcBorders>
              <w:bottom w:val="single" w:sz="12" w:space="0" w:color="000000"/>
            </w:tcBorders>
            <w:shd w:fill="E6EFFF" w:val="clear"/>
            <w:vAlign w:val="center"/>
          </w:tcPr>
          <w:p>
            <w:pPr>
              <w:pStyle w:val="TableContents"/>
              <w:bidi w:val="0"/>
              <w:spacing w:before="0" w:after="283"/>
              <w:jc w:val="right"/>
              <w:rPr/>
            </w:pPr>
            <w:r>
              <w:rPr/>
              <w:t>15,241,553</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35" w:type="dxa"/>
            <w:tcBorders>
              <w:bottom w:val="single" w:sz="12" w:space="0" w:color="000000"/>
            </w:tcBorders>
            <w:shd w:fill="E6EFFF" w:val="clear"/>
            <w:vAlign w:val="center"/>
          </w:tcPr>
          <w:p>
            <w:pPr>
              <w:pStyle w:val="TableContents"/>
              <w:bidi w:val="0"/>
              <w:spacing w:before="0" w:after="283"/>
              <w:jc w:val="right"/>
              <w:rPr/>
            </w:pPr>
            <w:r>
              <w:rPr/>
              <w:t>20,983,819</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spacing w:before="0" w:after="0"/>
        <w:jc w:val="both"/>
        <w:rPr/>
      </w:pPr>
      <w:r>
        <w:rPr/>
        <w:t>Commitments (Note 11)</w:t>
      </w:r>
    </w:p>
    <w:p>
      <w:pPr>
        <w:pStyle w:val="TextBody"/>
        <w:bidi w:val="0"/>
        <w:spacing w:before="0" w:after="283"/>
        <w:jc w:val="both"/>
        <w:rPr/>
      </w:pPr>
      <w:r>
        <w:rPr/>
        <w:t>Subsequent event (Note 13)</w:t>
      </w:r>
    </w:p>
    <w:p>
      <w:pPr>
        <w:pStyle w:val="TextBody"/>
        <w:bidi w:val="0"/>
        <w:jc w:val="both"/>
        <w:rPr/>
      </w:pPr>
      <w:r>
        <w:rPr/>
        <w:t>Approved and authorized for issuance on behalf of the board of directors on July 27, 2023:</w:t>
      </w:r>
    </w:p>
    <w:tbl>
      <w:tblPr>
        <w:tblW w:w="4690" w:type="dxa"/>
        <w:jc w:val="left"/>
        <w:tblInd w:w="0" w:type="dxa"/>
        <w:tblLayout w:type="fixed"/>
        <w:tblCellMar>
          <w:top w:w="0" w:type="dxa"/>
          <w:left w:w="0" w:type="dxa"/>
          <w:bottom w:w="28" w:type="dxa"/>
          <w:right w:w="0" w:type="dxa"/>
        </w:tblCellMar>
      </w:tblPr>
      <w:tblGrid>
        <w:gridCol w:w="2345"/>
        <w:gridCol w:w="60"/>
        <w:gridCol w:w="2285"/>
      </w:tblGrid>
      <w:tr>
        <w:trPr/>
        <w:tc>
          <w:tcPr>
            <w:tcW w:w="2345" w:type="dxa"/>
            <w:tcBorders>
              <w:bottom w:val="single" w:sz="6" w:space="0" w:color="000000"/>
            </w:tcBorders>
            <w:vAlign w:val="center"/>
          </w:tcPr>
          <w:p>
            <w:pPr>
              <w:pStyle w:val="TableContents"/>
              <w:bidi w:val="0"/>
              <w:spacing w:before="0" w:after="0"/>
              <w:jc w:val="left"/>
              <w:rPr>
                <w:i/>
              </w:rPr>
            </w:pPr>
            <w:r>
              <w:rPr>
                <w:i/>
              </w:rPr>
              <w:t>/s/ Michael Wolfe</w:t>
            </w:r>
          </w:p>
        </w:tc>
        <w:tc>
          <w:tcPr>
            <w:tcW w:w="60" w:type="dxa"/>
            <w:tcBorders/>
            <w:tcMar>
              <w:bottom w:w="0" w:type="dxa"/>
            </w:tcMar>
            <w:vAlign w:val="center"/>
          </w:tcPr>
          <w:p>
            <w:pPr>
              <w:pStyle w:val="TableContents"/>
              <w:bidi w:val="0"/>
              <w:spacing w:before="0" w:after="0"/>
              <w:jc w:val="left"/>
              <w:rPr/>
            </w:pPr>
            <w:r>
              <w:rPr/>
              <w:t> </w:t>
            </w:r>
          </w:p>
        </w:tc>
        <w:tc>
          <w:tcPr>
            <w:tcW w:w="2285" w:type="dxa"/>
            <w:tcBorders>
              <w:bottom w:val="single" w:sz="6" w:space="0" w:color="000000"/>
            </w:tcBorders>
            <w:vAlign w:val="center"/>
          </w:tcPr>
          <w:p>
            <w:pPr>
              <w:pStyle w:val="TableContents"/>
              <w:bidi w:val="0"/>
              <w:spacing w:before="0" w:after="0"/>
              <w:jc w:val="left"/>
              <w:rPr>
                <w:i/>
              </w:rPr>
            </w:pPr>
            <w:r>
              <w:rPr>
                <w:i/>
              </w:rPr>
              <w:t>/s/ George Tziras</w:t>
            </w:r>
          </w:p>
        </w:tc>
      </w:tr>
      <w:tr>
        <w:trPr/>
        <w:tc>
          <w:tcPr>
            <w:tcW w:w="2345" w:type="dxa"/>
            <w:tcBorders/>
            <w:tcMar>
              <w:bottom w:w="0" w:type="dxa"/>
            </w:tcMar>
            <w:vAlign w:val="center"/>
          </w:tcPr>
          <w:p>
            <w:pPr>
              <w:pStyle w:val="TableContents"/>
              <w:bidi w:val="0"/>
              <w:spacing w:before="0" w:after="0"/>
              <w:jc w:val="left"/>
              <w:rPr/>
            </w:pPr>
            <w:r>
              <w:rPr/>
              <w:t>Michael Wolfe, Director</w:t>
            </w:r>
          </w:p>
        </w:tc>
        <w:tc>
          <w:tcPr>
            <w:tcW w:w="60" w:type="dxa"/>
            <w:tcBorders/>
            <w:tcMar>
              <w:bottom w:w="0" w:type="dxa"/>
            </w:tcMar>
            <w:vAlign w:val="center"/>
          </w:tcPr>
          <w:p>
            <w:pPr>
              <w:pStyle w:val="TableContents"/>
              <w:bidi w:val="0"/>
              <w:spacing w:before="0" w:after="0"/>
              <w:jc w:val="left"/>
              <w:rPr/>
            </w:pPr>
            <w:r>
              <w:rPr/>
              <w:t> </w:t>
            </w:r>
          </w:p>
        </w:tc>
        <w:tc>
          <w:tcPr>
            <w:tcW w:w="2285" w:type="dxa"/>
            <w:tcBorders/>
            <w:tcMar>
              <w:bottom w:w="0" w:type="dxa"/>
            </w:tcMar>
            <w:vAlign w:val="center"/>
          </w:tcPr>
          <w:p>
            <w:pPr>
              <w:pStyle w:val="TableContents"/>
              <w:bidi w:val="0"/>
              <w:spacing w:before="0" w:after="0"/>
              <w:jc w:val="left"/>
              <w:rPr/>
            </w:pPr>
            <w:r>
              <w:rPr/>
              <w:t>George Tziras, Director</w:t>
            </w:r>
          </w:p>
        </w:tc>
      </w:tr>
    </w:tbl>
    <w:p>
      <w:pPr>
        <w:pStyle w:val="TextBody"/>
        <w:bidi w:val="0"/>
        <w:spacing w:before="0" w:after="283"/>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9935" w:type="dxa"/>
        <w:jc w:val="left"/>
        <w:tblInd w:w="0" w:type="dxa"/>
        <w:tblLayout w:type="fixed"/>
        <w:tblCellMar>
          <w:top w:w="0" w:type="dxa"/>
          <w:left w:w="0" w:type="dxa"/>
          <w:bottom w:w="0" w:type="dxa"/>
          <w:right w:w="0" w:type="dxa"/>
        </w:tblCellMar>
      </w:tblPr>
      <w:tblGrid>
        <w:gridCol w:w="9935"/>
      </w:tblGrid>
      <w:tr>
        <w:trPr/>
        <w:tc>
          <w:tcPr>
            <w:tcW w:w="9935" w:type="dxa"/>
            <w:tcBorders/>
            <w:vAlign w:val="center"/>
          </w:tcPr>
          <w:p>
            <w:pPr>
              <w:pStyle w:val="TableContents"/>
              <w:bidi w:val="0"/>
              <w:spacing w:before="0" w:after="283"/>
              <w:jc w:val="center"/>
              <w:rPr/>
            </w:pPr>
            <w:r>
              <w:rPr/>
              <w:t>The accompanying notes are an integral part of these interim condensed consolidated financial statements</w:t>
            </w:r>
          </w:p>
        </w:tc>
      </w:tr>
      <w:tr>
        <w:trPr/>
        <w:tc>
          <w:tcPr>
            <w:tcW w:w="9935" w:type="dxa"/>
            <w:tcBorders/>
            <w:vAlign w:val="center"/>
          </w:tcPr>
          <w:p>
            <w:pPr>
              <w:pStyle w:val="TableContents"/>
              <w:bidi w:val="0"/>
              <w:spacing w:before="0" w:after="283"/>
              <w:jc w:val="center"/>
              <w:rPr/>
            </w:pPr>
            <w:r>
              <w:rPr/>
              <w:t>1</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Normal"/>
        <w:bidi w:val="0"/>
        <w:spacing w:before="0" w:after="0"/>
        <w:jc w:val="left"/>
        <w:rPr>
          <w:sz w:val="4"/>
          <w:szCs w:val="4"/>
        </w:rPr>
      </w:pPr>
      <w:r>
        <w:rPr>
          <w:sz w:val="4"/>
          <w:szCs w:val="4"/>
        </w:rPr>
      </w:r>
      <w:bookmarkStart w:id="32" w:name="page_41"/>
      <w:bookmarkStart w:id="33" w:name="page_41"/>
      <w:bookmarkEnd w:id="33"/>
    </w:p>
    <w:tbl>
      <w:tblPr>
        <w:tblW w:w="8690" w:type="dxa"/>
        <w:jc w:val="left"/>
        <w:tblInd w:w="0" w:type="dxa"/>
        <w:tblLayout w:type="fixed"/>
        <w:tblCellMar>
          <w:top w:w="0" w:type="dxa"/>
          <w:left w:w="0" w:type="dxa"/>
          <w:bottom w:w="0" w:type="dxa"/>
          <w:right w:w="0" w:type="dxa"/>
        </w:tblCellMar>
      </w:tblPr>
      <w:tblGrid>
        <w:gridCol w:w="8690"/>
      </w:tblGrid>
      <w:tr>
        <w:trPr/>
        <w:tc>
          <w:tcPr>
            <w:tcW w:w="8690" w:type="dxa"/>
            <w:tcBorders/>
            <w:vAlign w:val="center"/>
          </w:tcPr>
          <w:p>
            <w:pPr>
              <w:pStyle w:val="TableContents"/>
              <w:bidi w:val="0"/>
              <w:spacing w:before="0" w:after="283"/>
              <w:jc w:val="left"/>
              <w:rPr/>
            </w:pPr>
            <w:r>
              <w:rPr>
                <w:b/>
                <w:sz w:val="24"/>
              </w:rPr>
              <w:t>SMALL PHARMA INC.</w:t>
            </w:r>
            <w:r>
              <w:rPr/>
              <w:br/>
              <w:t>Interim Condensed Consolidated Statements of Operations and Comprehensive Loss for the</w:t>
              <w:br/>
              <w:t>(Expressed in Canadian dollars)</w:t>
            </w:r>
          </w:p>
        </w:tc>
      </w:tr>
    </w:tbl>
    <w:p>
      <w:pPr>
        <w:pStyle w:val="TextBody"/>
        <w:bidi w:val="0"/>
        <w:spacing w:before="0" w:after="0"/>
        <w:jc w:val="left"/>
        <w:rPr/>
      </w:pPr>
      <w:r>
        <w:rPr/>
      </w:r>
    </w:p>
    <w:tbl>
      <w:tblPr>
        <w:tblW w:w="7690" w:type="dxa"/>
        <w:jc w:val="left"/>
        <w:tblInd w:w="0" w:type="dxa"/>
        <w:tblLayout w:type="fixed"/>
        <w:tblCellMar>
          <w:top w:w="0" w:type="dxa"/>
          <w:left w:w="0" w:type="dxa"/>
          <w:bottom w:w="28" w:type="dxa"/>
          <w:right w:w="0" w:type="dxa"/>
        </w:tblCellMar>
      </w:tblPr>
      <w:tblGrid>
        <w:gridCol w:w="4715"/>
        <w:gridCol w:w="60"/>
        <w:gridCol w:w="1325"/>
        <w:gridCol w:w="95"/>
        <w:gridCol w:w="60"/>
        <w:gridCol w:w="1325"/>
        <w:gridCol w:w="110"/>
      </w:tblGrid>
      <w:tr>
        <w:trPr/>
        <w:tc>
          <w:tcPr>
            <w:tcW w:w="4715" w:type="dxa"/>
            <w:tcBorders>
              <w:bottom w:val="single" w:sz="6" w:space="0" w:color="000000"/>
            </w:tcBorders>
            <w:vAlign w:val="center"/>
          </w:tcPr>
          <w:p>
            <w:pPr>
              <w:pStyle w:val="TableContents"/>
              <w:bidi w:val="0"/>
              <w:spacing w:before="0" w:after="0"/>
              <w:jc w:val="left"/>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325" w:type="dxa"/>
            <w:tcBorders>
              <w:bottom w:val="single" w:sz="6" w:space="0" w:color="000000"/>
            </w:tcBorders>
            <w:vAlign w:val="center"/>
          </w:tcPr>
          <w:p>
            <w:pPr>
              <w:pStyle w:val="TableContents"/>
              <w:bidi w:val="0"/>
              <w:spacing w:before="0" w:after="283"/>
              <w:jc w:val="center"/>
              <w:rPr/>
            </w:pPr>
            <w:r>
              <w:rPr/>
              <w:t>Three months</w:t>
              <w:br/>
              <w:t>ended</w:t>
              <w:br/>
              <w:t>May 31,</w:t>
              <w:br/>
              <w:t>2023</w:t>
              <w:br/>
              <w:t>$</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325" w:type="dxa"/>
            <w:tcBorders>
              <w:bottom w:val="single" w:sz="6" w:space="0" w:color="000000"/>
            </w:tcBorders>
            <w:vAlign w:val="center"/>
          </w:tcPr>
          <w:p>
            <w:pPr>
              <w:pStyle w:val="TableContents"/>
              <w:bidi w:val="0"/>
              <w:spacing w:before="0" w:after="283"/>
              <w:jc w:val="center"/>
              <w:rPr/>
            </w:pPr>
            <w:r>
              <w:rPr/>
              <w:t>Three months</w:t>
              <w:br/>
              <w:t>ended</w:t>
              <w:br/>
              <w:t>May 31,</w:t>
              <w:br/>
              <w:t>2022</w:t>
              <w:br/>
              <w:t>$</w:t>
            </w:r>
          </w:p>
        </w:tc>
        <w:tc>
          <w:tcPr>
            <w:tcW w:w="110" w:type="dxa"/>
            <w:tcBorders>
              <w:bottom w:val="single" w:sz="6" w:space="0" w:color="000000"/>
            </w:tcBorders>
            <w:vAlign w:val="center"/>
          </w:tcPr>
          <w:p>
            <w:pPr>
              <w:pStyle w:val="TableContents"/>
              <w:bidi w:val="0"/>
              <w:spacing w:before="0" w:after="283"/>
              <w:jc w:val="center"/>
              <w:rPr/>
            </w:pPr>
            <w:r>
              <w:rPr/>
              <w:t> </w:t>
            </w:r>
          </w:p>
        </w:tc>
      </w:tr>
      <w:tr>
        <w:trPr/>
        <w:tc>
          <w:tcPr>
            <w:tcW w:w="4715" w:type="dxa"/>
            <w:tcBorders/>
            <w:tcMar>
              <w:bottom w:w="0" w:type="dxa"/>
            </w:tcMar>
            <w:vAlign w:val="center"/>
          </w:tcPr>
          <w:p>
            <w:pPr>
              <w:pStyle w:val="TableContents"/>
              <w:bidi w:val="0"/>
              <w:spacing w:before="0" w:after="0"/>
              <w:jc w:val="lef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32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32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0" w:type="dxa"/>
            <w:tcBorders>
              <w:top w:val="single" w:sz="6" w:space="0" w:color="000000"/>
            </w:tcBorders>
            <w:tcMar>
              <w:top w:w="28" w:type="dxa"/>
              <w:bottom w:w="0" w:type="dxa"/>
            </w:tcMar>
            <w:vAlign w:val="center"/>
          </w:tcPr>
          <w:p>
            <w:pPr>
              <w:pStyle w:val="TableContents"/>
              <w:bidi w:val="0"/>
              <w:spacing w:before="0" w:after="283"/>
              <w:jc w:val="center"/>
              <w:rPr/>
            </w:pPr>
            <w:r>
              <w:rPr/>
              <w:t> </w:t>
            </w:r>
          </w:p>
        </w:tc>
      </w:tr>
      <w:tr>
        <w:trPr/>
        <w:tc>
          <w:tcPr>
            <w:tcW w:w="4715" w:type="dxa"/>
            <w:tcBorders>
              <w:bottom w:val="single" w:sz="6" w:space="0" w:color="000000"/>
            </w:tcBorders>
            <w:shd w:fill="E6EFFF" w:val="clear"/>
            <w:vAlign w:val="center"/>
          </w:tcPr>
          <w:p>
            <w:pPr>
              <w:pStyle w:val="TableContents"/>
              <w:bidi w:val="0"/>
              <w:spacing w:before="0" w:after="0"/>
              <w:jc w:val="left"/>
              <w:rPr/>
            </w:pPr>
            <w:r>
              <w:rPr/>
              <w:t>Revenue</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715" w:type="dxa"/>
            <w:tcBorders/>
            <w:tcMar>
              <w:bottom w:w="0" w:type="dxa"/>
            </w:tcMar>
            <w:vAlign w:val="center"/>
          </w:tcPr>
          <w:p>
            <w:pPr>
              <w:pStyle w:val="TableContents"/>
              <w:bidi w:val="0"/>
              <w:spacing w:before="0" w:after="0"/>
              <w:jc w:val="lef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32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32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10" w:type="dxa"/>
            <w:tcBorders>
              <w:top w:val="single" w:sz="6" w:space="0" w:color="000000"/>
            </w:tcBorders>
            <w:tcMar>
              <w:top w:w="28" w:type="dxa"/>
              <w:bottom w:w="0" w:type="dxa"/>
            </w:tcMar>
            <w:vAlign w:val="center"/>
          </w:tcPr>
          <w:p>
            <w:pPr>
              <w:pStyle w:val="TableContents"/>
              <w:bidi w:val="0"/>
              <w:spacing w:before="0" w:after="283"/>
              <w:jc w:val="left"/>
              <w:rPr/>
            </w:pPr>
            <w:r>
              <w:rPr/>
              <w:t> </w:t>
            </w:r>
          </w:p>
        </w:tc>
      </w:tr>
      <w:tr>
        <w:trPr/>
        <w:tc>
          <w:tcPr>
            <w:tcW w:w="4715" w:type="dxa"/>
            <w:tcBorders/>
            <w:shd w:fill="E6EFFF" w:val="clear"/>
            <w:tcMar>
              <w:bottom w:w="0" w:type="dxa"/>
            </w:tcMar>
            <w:vAlign w:val="center"/>
          </w:tcPr>
          <w:p>
            <w:pPr>
              <w:pStyle w:val="TableContents"/>
              <w:bidi w:val="0"/>
              <w:spacing w:before="0" w:after="0"/>
              <w:jc w:val="left"/>
              <w:rPr/>
            </w:pPr>
            <w:r>
              <w:rPr/>
              <w:t>Expenses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715" w:type="dxa"/>
            <w:tcBorders/>
            <w:tcMar>
              <w:bottom w:w="0" w:type="dxa"/>
            </w:tcMar>
            <w:vAlign w:val="center"/>
          </w:tcPr>
          <w:p>
            <w:pPr>
              <w:pStyle w:val="TableContents"/>
              <w:bidi w:val="0"/>
              <w:spacing w:before="0" w:after="0"/>
              <w:jc w:val="left"/>
              <w:rPr/>
            </w:pPr>
            <w:r>
              <w:rPr/>
              <w:t>Investor and public relations</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169,777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348,363</w:t>
            </w:r>
          </w:p>
        </w:tc>
        <w:tc>
          <w:tcPr>
            <w:tcW w:w="110" w:type="dxa"/>
            <w:tcBorders/>
            <w:tcMar>
              <w:bottom w:w="0" w:type="dxa"/>
            </w:tcMar>
            <w:vAlign w:val="center"/>
          </w:tcPr>
          <w:p>
            <w:pPr>
              <w:pStyle w:val="TableContents"/>
              <w:bidi w:val="0"/>
              <w:spacing w:before="0" w:after="283"/>
              <w:jc w:val="left"/>
              <w:rPr/>
            </w:pPr>
            <w:r>
              <w:rPr/>
              <w:t> </w:t>
            </w:r>
          </w:p>
        </w:tc>
      </w:tr>
      <w:tr>
        <w:trPr/>
        <w:tc>
          <w:tcPr>
            <w:tcW w:w="4715" w:type="dxa"/>
            <w:tcBorders/>
            <w:shd w:fill="E6EFFF" w:val="clear"/>
            <w:tcMar>
              <w:bottom w:w="0" w:type="dxa"/>
            </w:tcMar>
            <w:vAlign w:val="center"/>
          </w:tcPr>
          <w:p>
            <w:pPr>
              <w:pStyle w:val="TableContents"/>
              <w:bidi w:val="0"/>
              <w:spacing w:before="0" w:after="0"/>
              <w:jc w:val="left"/>
              <w:rPr/>
            </w:pPr>
            <w:r>
              <w:rPr/>
              <w:t>Consulting fees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4,856</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177,092</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715" w:type="dxa"/>
            <w:tcBorders/>
            <w:tcMar>
              <w:bottom w:w="0" w:type="dxa"/>
            </w:tcMar>
            <w:vAlign w:val="center"/>
          </w:tcPr>
          <w:p>
            <w:pPr>
              <w:pStyle w:val="TableContents"/>
              <w:bidi w:val="0"/>
              <w:spacing w:before="0" w:after="0"/>
              <w:jc w:val="left"/>
              <w:rPr/>
            </w:pPr>
            <w:r>
              <w:rPr/>
              <w:t>Depreciation</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85,526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5,686</w:t>
            </w:r>
          </w:p>
        </w:tc>
        <w:tc>
          <w:tcPr>
            <w:tcW w:w="110" w:type="dxa"/>
            <w:tcBorders/>
            <w:tcMar>
              <w:bottom w:w="0" w:type="dxa"/>
            </w:tcMar>
            <w:vAlign w:val="center"/>
          </w:tcPr>
          <w:p>
            <w:pPr>
              <w:pStyle w:val="TableContents"/>
              <w:bidi w:val="0"/>
              <w:spacing w:before="0" w:after="283"/>
              <w:jc w:val="left"/>
              <w:rPr/>
            </w:pPr>
            <w:r>
              <w:rPr/>
              <w:t> </w:t>
            </w:r>
          </w:p>
        </w:tc>
      </w:tr>
      <w:tr>
        <w:trPr/>
        <w:tc>
          <w:tcPr>
            <w:tcW w:w="4715" w:type="dxa"/>
            <w:tcBorders/>
            <w:shd w:fill="E6EFFF" w:val="clear"/>
            <w:tcMar>
              <w:bottom w:w="0" w:type="dxa"/>
            </w:tcMar>
            <w:vAlign w:val="center"/>
          </w:tcPr>
          <w:p>
            <w:pPr>
              <w:pStyle w:val="TableContents"/>
              <w:bidi w:val="0"/>
              <w:spacing w:before="0" w:after="0"/>
              <w:jc w:val="left"/>
              <w:rPr/>
            </w:pPr>
            <w:r>
              <w:rPr/>
              <w:t>Directors' fees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81,612</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73,000</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715" w:type="dxa"/>
            <w:tcBorders/>
            <w:tcMar>
              <w:bottom w:w="0" w:type="dxa"/>
            </w:tcMar>
            <w:vAlign w:val="center"/>
          </w:tcPr>
          <w:p>
            <w:pPr>
              <w:pStyle w:val="TableContents"/>
              <w:bidi w:val="0"/>
              <w:spacing w:before="0" w:after="0"/>
              <w:jc w:val="left"/>
              <w:rPr/>
            </w:pPr>
            <w:r>
              <w:rPr/>
              <w:t>Foreign exchange loss</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4,308</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7,940</w:t>
            </w:r>
          </w:p>
        </w:tc>
        <w:tc>
          <w:tcPr>
            <w:tcW w:w="110" w:type="dxa"/>
            <w:tcBorders/>
            <w:tcMar>
              <w:bottom w:w="0" w:type="dxa"/>
            </w:tcMar>
            <w:vAlign w:val="center"/>
          </w:tcPr>
          <w:p>
            <w:pPr>
              <w:pStyle w:val="TableContents"/>
              <w:bidi w:val="0"/>
              <w:spacing w:before="0" w:after="283"/>
              <w:jc w:val="left"/>
              <w:rPr/>
            </w:pPr>
            <w:r>
              <w:rPr/>
              <w:t> </w:t>
            </w:r>
          </w:p>
        </w:tc>
      </w:tr>
      <w:tr>
        <w:trPr/>
        <w:tc>
          <w:tcPr>
            <w:tcW w:w="4715" w:type="dxa"/>
            <w:tcBorders/>
            <w:shd w:fill="E6EFFF" w:val="clear"/>
            <w:tcMar>
              <w:bottom w:w="0" w:type="dxa"/>
            </w:tcMar>
            <w:vAlign w:val="center"/>
          </w:tcPr>
          <w:p>
            <w:pPr>
              <w:pStyle w:val="TableContents"/>
              <w:bidi w:val="0"/>
              <w:spacing w:before="0" w:after="0"/>
              <w:jc w:val="left"/>
              <w:rPr/>
            </w:pPr>
            <w:r>
              <w:rPr/>
              <w:t>Office and miscellaneous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247,059</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134,900</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715" w:type="dxa"/>
            <w:tcBorders/>
            <w:tcMar>
              <w:bottom w:w="0" w:type="dxa"/>
            </w:tcMar>
            <w:vAlign w:val="center"/>
          </w:tcPr>
          <w:p>
            <w:pPr>
              <w:pStyle w:val="TableContents"/>
              <w:bidi w:val="0"/>
              <w:spacing w:before="0" w:after="0"/>
              <w:jc w:val="left"/>
              <w:rPr/>
            </w:pPr>
            <w:r>
              <w:rPr/>
              <w:t>Professional fees</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933,150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887,732</w:t>
            </w:r>
          </w:p>
        </w:tc>
        <w:tc>
          <w:tcPr>
            <w:tcW w:w="110" w:type="dxa"/>
            <w:tcBorders/>
            <w:tcMar>
              <w:bottom w:w="0" w:type="dxa"/>
            </w:tcMar>
            <w:vAlign w:val="center"/>
          </w:tcPr>
          <w:p>
            <w:pPr>
              <w:pStyle w:val="TableContents"/>
              <w:bidi w:val="0"/>
              <w:spacing w:before="0" w:after="283"/>
              <w:jc w:val="left"/>
              <w:rPr/>
            </w:pPr>
            <w:r>
              <w:rPr/>
              <w:t> </w:t>
            </w:r>
          </w:p>
        </w:tc>
      </w:tr>
      <w:tr>
        <w:trPr/>
        <w:tc>
          <w:tcPr>
            <w:tcW w:w="4715" w:type="dxa"/>
            <w:tcBorders/>
            <w:shd w:fill="E6EFFF" w:val="clear"/>
            <w:tcMar>
              <w:bottom w:w="0" w:type="dxa"/>
            </w:tcMar>
            <w:vAlign w:val="center"/>
          </w:tcPr>
          <w:p>
            <w:pPr>
              <w:pStyle w:val="TableContents"/>
              <w:bidi w:val="0"/>
              <w:spacing w:before="0" w:after="0"/>
              <w:jc w:val="left"/>
              <w:rPr/>
            </w:pPr>
            <w:r>
              <w:rPr/>
              <w:t>Occupancy costs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13,407</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51,593</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715" w:type="dxa"/>
            <w:tcBorders/>
            <w:tcMar>
              <w:bottom w:w="0" w:type="dxa"/>
            </w:tcMar>
            <w:vAlign w:val="center"/>
          </w:tcPr>
          <w:p>
            <w:pPr>
              <w:pStyle w:val="TableContents"/>
              <w:bidi w:val="0"/>
              <w:spacing w:before="0" w:after="0"/>
              <w:jc w:val="left"/>
              <w:rPr/>
            </w:pPr>
            <w:r>
              <w:rPr/>
              <w:t>Research and development</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2,494,099</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2,088,702</w:t>
            </w:r>
          </w:p>
        </w:tc>
        <w:tc>
          <w:tcPr>
            <w:tcW w:w="110" w:type="dxa"/>
            <w:tcBorders/>
            <w:tcMar>
              <w:bottom w:w="0" w:type="dxa"/>
            </w:tcMar>
            <w:vAlign w:val="center"/>
          </w:tcPr>
          <w:p>
            <w:pPr>
              <w:pStyle w:val="TableContents"/>
              <w:bidi w:val="0"/>
              <w:spacing w:before="0" w:after="283"/>
              <w:jc w:val="left"/>
              <w:rPr/>
            </w:pPr>
            <w:r>
              <w:rPr/>
              <w:t> </w:t>
            </w:r>
          </w:p>
        </w:tc>
      </w:tr>
      <w:tr>
        <w:trPr/>
        <w:tc>
          <w:tcPr>
            <w:tcW w:w="4715" w:type="dxa"/>
            <w:tcBorders/>
            <w:shd w:fill="E6EFFF" w:val="clear"/>
            <w:tcMar>
              <w:bottom w:w="0" w:type="dxa"/>
            </w:tcMar>
            <w:vAlign w:val="center"/>
          </w:tcPr>
          <w:p>
            <w:pPr>
              <w:pStyle w:val="TableContents"/>
              <w:bidi w:val="0"/>
              <w:spacing w:before="0" w:after="0"/>
              <w:jc w:val="left"/>
              <w:rPr/>
            </w:pPr>
            <w:r>
              <w:rPr/>
              <w:t>Salaries and benefits (Note 6)</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1,586,042</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1,881,123</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715" w:type="dxa"/>
            <w:tcBorders/>
            <w:tcMar>
              <w:bottom w:w="0" w:type="dxa"/>
            </w:tcMar>
            <w:vAlign w:val="center"/>
          </w:tcPr>
          <w:p>
            <w:pPr>
              <w:pStyle w:val="TableContents"/>
              <w:bidi w:val="0"/>
              <w:spacing w:before="0" w:after="0"/>
              <w:jc w:val="left"/>
              <w:rPr/>
            </w:pPr>
            <w:r>
              <w:rPr/>
              <w:t>Share-based payment expense (Note 9)</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115,441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109,598</w:t>
            </w:r>
          </w:p>
        </w:tc>
        <w:tc>
          <w:tcPr>
            <w:tcW w:w="110" w:type="dxa"/>
            <w:tcBorders/>
            <w:tcMar>
              <w:bottom w:w="0" w:type="dxa"/>
            </w:tcMar>
            <w:vAlign w:val="center"/>
          </w:tcPr>
          <w:p>
            <w:pPr>
              <w:pStyle w:val="TableContents"/>
              <w:bidi w:val="0"/>
              <w:spacing w:before="0" w:after="283"/>
              <w:jc w:val="left"/>
              <w:rPr/>
            </w:pPr>
            <w:r>
              <w:rPr/>
              <w:t> </w:t>
            </w:r>
          </w:p>
        </w:tc>
      </w:tr>
      <w:tr>
        <w:trPr/>
        <w:tc>
          <w:tcPr>
            <w:tcW w:w="4715" w:type="dxa"/>
            <w:tcBorders>
              <w:bottom w:val="single" w:sz="6" w:space="0" w:color="000000"/>
            </w:tcBorders>
            <w:shd w:fill="E6EFFF" w:val="clear"/>
            <w:vAlign w:val="center"/>
          </w:tcPr>
          <w:p>
            <w:pPr>
              <w:pStyle w:val="TableContents"/>
              <w:bidi w:val="0"/>
              <w:spacing w:before="0" w:after="0"/>
              <w:jc w:val="left"/>
              <w:rPr/>
            </w:pPr>
            <w:r>
              <w:rPr/>
              <w:t>Transfer agent and filing fees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14,206</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19,899</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4715" w:type="dxa"/>
            <w:tcBorders>
              <w:bottom w:val="single" w:sz="6" w:space="0" w:color="000000"/>
            </w:tcBorders>
            <w:vAlign w:val="center"/>
          </w:tcPr>
          <w:p>
            <w:pPr>
              <w:pStyle w:val="TableContents"/>
              <w:bidi w:val="0"/>
              <w:spacing w:before="0" w:after="0"/>
              <w:jc w:val="left"/>
              <w:rPr/>
            </w:pPr>
            <w:r>
              <w:rPr/>
              <w:t>Total expenses</w:t>
            </w:r>
          </w:p>
        </w:tc>
        <w:tc>
          <w:tcPr>
            <w:tcW w:w="60" w:type="dxa"/>
            <w:tcBorders>
              <w:bottom w:val="single" w:sz="6" w:space="0" w:color="000000"/>
            </w:tcBorders>
            <w:vAlign w:val="center"/>
          </w:tcPr>
          <w:p>
            <w:pPr>
              <w:pStyle w:val="TableContents"/>
              <w:bidi w:val="0"/>
              <w:spacing w:before="0" w:after="283"/>
              <w:jc w:val="left"/>
              <w:rPr/>
            </w:pPr>
            <w:r>
              <w:rPr/>
              <w:t> </w:t>
            </w:r>
          </w:p>
        </w:tc>
        <w:tc>
          <w:tcPr>
            <w:tcW w:w="1325" w:type="dxa"/>
            <w:tcBorders>
              <w:bottom w:val="single" w:sz="6" w:space="0" w:color="000000"/>
            </w:tcBorders>
            <w:vAlign w:val="center"/>
          </w:tcPr>
          <w:p>
            <w:pPr>
              <w:pStyle w:val="TableContents"/>
              <w:bidi w:val="0"/>
              <w:spacing w:before="0" w:after="283"/>
              <w:jc w:val="right"/>
              <w:rPr/>
            </w:pPr>
            <w:r>
              <w:rPr/>
              <w:t>5,749,483</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325" w:type="dxa"/>
            <w:tcBorders>
              <w:bottom w:val="single" w:sz="6" w:space="0" w:color="000000"/>
            </w:tcBorders>
            <w:vAlign w:val="center"/>
          </w:tcPr>
          <w:p>
            <w:pPr>
              <w:pStyle w:val="TableContents"/>
              <w:bidi w:val="0"/>
              <w:spacing w:before="0" w:after="283"/>
              <w:jc w:val="right"/>
              <w:rPr/>
            </w:pPr>
            <w:r>
              <w:rPr/>
              <w:t>5,785,628</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4715" w:type="dxa"/>
            <w:tcBorders>
              <w:bottom w:val="single" w:sz="6" w:space="0" w:color="000000"/>
            </w:tcBorders>
            <w:shd w:fill="E6EFFF" w:val="clear"/>
            <w:vAlign w:val="center"/>
          </w:tcPr>
          <w:p>
            <w:pPr>
              <w:pStyle w:val="TableContents"/>
              <w:bidi w:val="0"/>
              <w:spacing w:before="0" w:after="0"/>
              <w:jc w:val="left"/>
              <w:rPr/>
            </w:pPr>
            <w:r>
              <w:rPr/>
              <w:t>Loss before other items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(5,749,483</w:t>
            </w:r>
          </w:p>
        </w:tc>
        <w:tc>
          <w:tcPr>
            <w:tcW w:w="95" w:type="dxa"/>
            <w:tcBorders>
              <w:bottom w:val="single" w:sz="6" w:space="0" w:color="000000"/>
            </w:tcBorders>
            <w:shd w:fill="E6EFFF" w:val="clear"/>
            <w:vAlign w:val="center"/>
          </w:tcPr>
          <w:p>
            <w:pPr>
              <w:pStyle w:val="TableContents"/>
              <w:bidi w:val="0"/>
              <w:spacing w:before="0" w:after="283"/>
              <w:jc w:val="left"/>
              <w:rPr/>
            </w:pPr>
            <w:r>
              <w:rPr/>
              <w: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(5,785,628</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4715" w:type="dxa"/>
            <w:tcBorders/>
            <w:tcMar>
              <w:bottom w:w="0" w:type="dxa"/>
            </w:tcMar>
            <w:vAlign w:val="center"/>
          </w:tcPr>
          <w:p>
            <w:pPr>
              <w:pStyle w:val="TableContents"/>
              <w:bidi w:val="0"/>
              <w:spacing w:before="0" w:after="0"/>
              <w:jc w:val="left"/>
              <w:rPr/>
            </w:pPr>
            <w:r>
              <w:rPr/>
              <w:t>Other items</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ind w:left="0" w:right="0" w:hanging="142"/>
              <w:jc w:val="left"/>
              <w:rPr/>
            </w:pPr>
            <w:r>
              <w:rPr/>
              <w:t> </w:t>
            </w:r>
          </w:p>
        </w:tc>
      </w:tr>
      <w:tr>
        <w:trPr/>
        <w:tc>
          <w:tcPr>
            <w:tcW w:w="4715" w:type="dxa"/>
            <w:tcBorders/>
            <w:shd w:fill="E6EFFF" w:val="clear"/>
            <w:tcMar>
              <w:bottom w:w="0" w:type="dxa"/>
            </w:tcMar>
            <w:vAlign w:val="center"/>
          </w:tcPr>
          <w:p>
            <w:pPr>
              <w:pStyle w:val="TableContents"/>
              <w:bidi w:val="0"/>
              <w:spacing w:before="0" w:after="283"/>
              <w:jc w:val="left"/>
              <w:rPr/>
            </w:pPr>
            <w:r>
              <w:rPr/>
              <w:t>Interest expense (Note 4)</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(7,617</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w:t>
            </w:r>
          </w:p>
        </w:tc>
        <w:tc>
          <w:tcPr>
            <w:tcW w:w="110" w:type="dxa"/>
            <w:tcBorders/>
            <w:shd w:fill="E6EFFF" w:val="clear"/>
            <w:tcMar>
              <w:bottom w:w="0" w:type="dxa"/>
            </w:tcMar>
            <w:vAlign w:val="center"/>
          </w:tcPr>
          <w:p>
            <w:pPr>
              <w:pStyle w:val="TableContents"/>
              <w:bidi w:val="0"/>
              <w:spacing w:before="0" w:after="283"/>
              <w:ind w:left="0" w:right="0" w:hanging="142"/>
              <w:jc w:val="left"/>
              <w:rPr/>
            </w:pPr>
            <w:r>
              <w:rPr/>
              <w:t> </w:t>
            </w:r>
          </w:p>
        </w:tc>
      </w:tr>
      <w:tr>
        <w:trPr/>
        <w:tc>
          <w:tcPr>
            <w:tcW w:w="4715" w:type="dxa"/>
            <w:tcBorders>
              <w:bottom w:val="single" w:sz="6" w:space="0" w:color="000000"/>
            </w:tcBorders>
            <w:vAlign w:val="center"/>
          </w:tcPr>
          <w:p>
            <w:pPr>
              <w:pStyle w:val="TableContents"/>
              <w:bidi w:val="0"/>
              <w:spacing w:before="0" w:after="283"/>
              <w:jc w:val="left"/>
              <w:rPr/>
            </w:pPr>
            <w:r>
              <w:rPr/>
              <w:t>Interest income</w:t>
            </w:r>
          </w:p>
        </w:tc>
        <w:tc>
          <w:tcPr>
            <w:tcW w:w="60" w:type="dxa"/>
            <w:tcBorders>
              <w:bottom w:val="single" w:sz="6" w:space="0" w:color="000000"/>
            </w:tcBorders>
            <w:vAlign w:val="center"/>
          </w:tcPr>
          <w:p>
            <w:pPr>
              <w:pStyle w:val="TableContents"/>
              <w:bidi w:val="0"/>
              <w:spacing w:before="0" w:after="283"/>
              <w:jc w:val="left"/>
              <w:rPr/>
            </w:pPr>
            <w:r>
              <w:rPr/>
              <w:t> </w:t>
            </w:r>
          </w:p>
        </w:tc>
        <w:tc>
          <w:tcPr>
            <w:tcW w:w="1325" w:type="dxa"/>
            <w:tcBorders>
              <w:bottom w:val="single" w:sz="6" w:space="0" w:color="000000"/>
            </w:tcBorders>
            <w:vAlign w:val="center"/>
          </w:tcPr>
          <w:p>
            <w:pPr>
              <w:pStyle w:val="TableContents"/>
              <w:bidi w:val="0"/>
              <w:spacing w:before="0" w:after="283"/>
              <w:jc w:val="right"/>
              <w:rPr/>
            </w:pPr>
            <w:r>
              <w:rPr/>
              <w:t>113,433</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325" w:type="dxa"/>
            <w:tcBorders>
              <w:bottom w:val="single" w:sz="6" w:space="0" w:color="000000"/>
            </w:tcBorders>
            <w:vAlign w:val="center"/>
          </w:tcPr>
          <w:p>
            <w:pPr>
              <w:pStyle w:val="TableContents"/>
              <w:bidi w:val="0"/>
              <w:spacing w:before="0" w:after="283"/>
              <w:jc w:val="right"/>
              <w:rPr/>
            </w:pPr>
            <w:r>
              <w:rPr/>
              <w:t>3,924</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4715" w:type="dxa"/>
            <w:tcBorders>
              <w:bottom w:val="single" w:sz="6" w:space="0" w:color="000000"/>
            </w:tcBorders>
            <w:shd w:fill="E6EFFF" w:val="clear"/>
            <w:vAlign w:val="center"/>
          </w:tcPr>
          <w:p>
            <w:pPr>
              <w:pStyle w:val="TableContents"/>
              <w:bidi w:val="0"/>
              <w:spacing w:before="0" w:after="0"/>
              <w:jc w:val="left"/>
              <w:rPr/>
            </w:pPr>
            <w:r>
              <w:rPr/>
              <w:t>Total other items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105,816</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3,924</w:t>
            </w:r>
          </w:p>
        </w:tc>
        <w:tc>
          <w:tcPr>
            <w:tcW w:w="110" w:type="dxa"/>
            <w:tcBorders>
              <w:bottom w:val="single" w:sz="6" w:space="0" w:color="000000"/>
            </w:tcBorders>
            <w:shd w:fill="E6EFFF" w:val="clear"/>
            <w:vAlign w:val="center"/>
          </w:tcPr>
          <w:p>
            <w:pPr>
              <w:pStyle w:val="TableContents"/>
              <w:bidi w:val="0"/>
              <w:spacing w:before="0" w:after="283"/>
              <w:ind w:left="0" w:right="0" w:hanging="270"/>
              <w:jc w:val="left"/>
              <w:rPr/>
            </w:pPr>
            <w:r>
              <w:rPr/>
              <w:t> </w:t>
            </w:r>
          </w:p>
        </w:tc>
      </w:tr>
      <w:tr>
        <w:trPr/>
        <w:tc>
          <w:tcPr>
            <w:tcW w:w="4715" w:type="dxa"/>
            <w:tcBorders/>
            <w:tcMar>
              <w:bottom w:w="0" w:type="dxa"/>
            </w:tcMar>
            <w:vAlign w:val="center"/>
          </w:tcPr>
          <w:p>
            <w:pPr>
              <w:pStyle w:val="TableContents"/>
              <w:bidi w:val="0"/>
              <w:spacing w:before="0" w:after="283"/>
              <w:jc w:val="left"/>
              <w:rPr/>
            </w:pPr>
            <w:r>
              <w:rPr/>
              <w:t>Net loss for the period before income taxes</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(5,643,667</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(5,781,704</w:t>
            </w:r>
          </w:p>
        </w:tc>
        <w:tc>
          <w:tcPr>
            <w:tcW w:w="110" w:type="dxa"/>
            <w:tcBorders/>
            <w:tcMar>
              <w:bottom w:w="0" w:type="dxa"/>
            </w:tcMar>
            <w:vAlign w:val="center"/>
          </w:tcPr>
          <w:p>
            <w:pPr>
              <w:pStyle w:val="TableContents"/>
              <w:bidi w:val="0"/>
              <w:spacing w:before="0" w:after="283"/>
              <w:jc w:val="left"/>
              <w:rPr/>
            </w:pPr>
            <w:r>
              <w:rPr/>
              <w:t>)</w:t>
            </w:r>
          </w:p>
        </w:tc>
      </w:tr>
      <w:tr>
        <w:trPr/>
        <w:tc>
          <w:tcPr>
            <w:tcW w:w="4715" w:type="dxa"/>
            <w:tcBorders>
              <w:bottom w:val="single" w:sz="6" w:space="0" w:color="000000"/>
            </w:tcBorders>
            <w:shd w:fill="E6EFFF" w:val="clear"/>
            <w:vAlign w:val="center"/>
          </w:tcPr>
          <w:p>
            <w:pPr>
              <w:pStyle w:val="TableContents"/>
              <w:bidi w:val="0"/>
              <w:spacing w:before="0" w:after="0"/>
              <w:jc w:val="left"/>
              <w:rPr/>
            </w:pPr>
            <w:r>
              <w:rPr/>
              <w:t>Income tax expense</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w:t>
            </w:r>
          </w:p>
        </w:tc>
        <w:tc>
          <w:tcPr>
            <w:tcW w:w="110" w:type="dxa"/>
            <w:tcBorders>
              <w:bottom w:val="single" w:sz="6" w:space="0" w:color="000000"/>
            </w:tcBorders>
            <w:shd w:fill="E6EFFF" w:val="clear"/>
            <w:vAlign w:val="center"/>
          </w:tcPr>
          <w:p>
            <w:pPr>
              <w:pStyle w:val="TableContents"/>
              <w:bidi w:val="0"/>
              <w:spacing w:before="0" w:after="283"/>
              <w:ind w:left="0" w:right="0" w:hanging="270"/>
              <w:jc w:val="left"/>
              <w:rPr/>
            </w:pPr>
            <w:r>
              <w:rPr/>
              <w:t> </w:t>
            </w:r>
          </w:p>
        </w:tc>
      </w:tr>
      <w:tr>
        <w:trPr/>
        <w:tc>
          <w:tcPr>
            <w:tcW w:w="4715" w:type="dxa"/>
            <w:tcBorders/>
            <w:tcMar>
              <w:bottom w:w="0" w:type="dxa"/>
            </w:tcMar>
            <w:vAlign w:val="center"/>
          </w:tcPr>
          <w:p>
            <w:pPr>
              <w:pStyle w:val="TableContents"/>
              <w:bidi w:val="0"/>
              <w:spacing w:before="0" w:after="283"/>
              <w:jc w:val="left"/>
              <w:rPr/>
            </w:pPr>
            <w:r>
              <w:rPr/>
              <w:t>Net loss for the period</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(5,643,667</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(5,781,704</w:t>
            </w:r>
          </w:p>
        </w:tc>
        <w:tc>
          <w:tcPr>
            <w:tcW w:w="110" w:type="dxa"/>
            <w:tcBorders/>
            <w:tcMar>
              <w:bottom w:w="0" w:type="dxa"/>
            </w:tcMar>
            <w:vAlign w:val="center"/>
          </w:tcPr>
          <w:p>
            <w:pPr>
              <w:pStyle w:val="TableContents"/>
              <w:bidi w:val="0"/>
              <w:spacing w:before="0" w:after="283"/>
              <w:ind w:left="0" w:right="0" w:hanging="270"/>
              <w:jc w:val="left"/>
              <w:rPr/>
            </w:pPr>
            <w:r>
              <w:rPr/>
              <w:t>)</w:t>
            </w:r>
          </w:p>
        </w:tc>
      </w:tr>
      <w:tr>
        <w:trPr/>
        <w:tc>
          <w:tcPr>
            <w:tcW w:w="4715"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Other comprehensive income (loss)</w:t>
            </w:r>
          </w:p>
        </w:tc>
        <w:tc>
          <w:tcPr>
            <w:tcW w:w="60"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 </w:t>
            </w:r>
          </w:p>
        </w:tc>
        <w:tc>
          <w:tcPr>
            <w:tcW w:w="1325" w:type="dxa"/>
            <w:tcBorders>
              <w:top w:val="single" w:sz="6" w:space="0" w:color="000000"/>
            </w:tcBorders>
            <w:shd w:fill="E6EFFF" w:val="clear"/>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 </w:t>
            </w:r>
          </w:p>
        </w:tc>
        <w:tc>
          <w:tcPr>
            <w:tcW w:w="1325" w:type="dxa"/>
            <w:tcBorders>
              <w:top w:val="single" w:sz="6" w:space="0" w:color="000000"/>
            </w:tcBorders>
            <w:shd w:fill="E6EFFF" w:val="clear"/>
            <w:tcMar>
              <w:top w:w="28" w:type="dxa"/>
              <w:bottom w:w="0" w:type="dxa"/>
            </w:tcMar>
            <w:vAlign w:val="center"/>
          </w:tcPr>
          <w:p>
            <w:pPr>
              <w:pStyle w:val="TableContents"/>
              <w:bidi w:val="0"/>
              <w:spacing w:before="0" w:after="283"/>
              <w:jc w:val="right"/>
              <w:rPr/>
            </w:pPr>
            <w:r>
              <w:rPr/>
              <w:t> </w:t>
            </w:r>
          </w:p>
        </w:tc>
        <w:tc>
          <w:tcPr>
            <w:tcW w:w="110" w:type="dxa"/>
            <w:tcBorders>
              <w:top w:val="single" w:sz="6" w:space="0" w:color="000000"/>
            </w:tcBorders>
            <w:shd w:fill="E6EFFF" w:val="clear"/>
            <w:tcMar>
              <w:top w:w="28" w:type="dxa"/>
              <w:bottom w:w="0" w:type="dxa"/>
            </w:tcMar>
            <w:vAlign w:val="center"/>
          </w:tcPr>
          <w:p>
            <w:pPr>
              <w:pStyle w:val="TableContents"/>
              <w:bidi w:val="0"/>
              <w:spacing w:before="0" w:after="283"/>
              <w:ind w:left="0" w:right="0" w:hanging="140"/>
              <w:jc w:val="left"/>
              <w:rPr/>
            </w:pPr>
            <w:r>
              <w:rPr/>
              <w:t> </w:t>
            </w:r>
          </w:p>
        </w:tc>
      </w:tr>
      <w:tr>
        <w:trPr/>
        <w:tc>
          <w:tcPr>
            <w:tcW w:w="4715" w:type="dxa"/>
            <w:tcBorders>
              <w:bottom w:val="single" w:sz="6" w:space="0" w:color="000000"/>
            </w:tcBorders>
            <w:vAlign w:val="center"/>
          </w:tcPr>
          <w:p>
            <w:pPr>
              <w:pStyle w:val="TableContents"/>
              <w:bidi w:val="0"/>
              <w:spacing w:before="0" w:after="283"/>
              <w:jc w:val="left"/>
              <w:rPr/>
            </w:pPr>
            <w:r>
              <w:rPr/>
              <w:t>Foreign currency translation gain (loss)</w:t>
            </w:r>
          </w:p>
        </w:tc>
        <w:tc>
          <w:tcPr>
            <w:tcW w:w="60" w:type="dxa"/>
            <w:tcBorders>
              <w:bottom w:val="single" w:sz="6" w:space="0" w:color="000000"/>
            </w:tcBorders>
            <w:vAlign w:val="center"/>
          </w:tcPr>
          <w:p>
            <w:pPr>
              <w:pStyle w:val="TableContents"/>
              <w:bidi w:val="0"/>
              <w:spacing w:before="0" w:after="283"/>
              <w:jc w:val="left"/>
              <w:rPr/>
            </w:pPr>
            <w:r>
              <w:rPr/>
              <w:t> </w:t>
            </w:r>
          </w:p>
        </w:tc>
        <w:tc>
          <w:tcPr>
            <w:tcW w:w="1325" w:type="dxa"/>
            <w:tcBorders>
              <w:bottom w:val="single" w:sz="6" w:space="0" w:color="000000"/>
            </w:tcBorders>
            <w:vAlign w:val="center"/>
          </w:tcPr>
          <w:p>
            <w:pPr>
              <w:pStyle w:val="TableContents"/>
              <w:bidi w:val="0"/>
              <w:spacing w:before="0" w:after="283"/>
              <w:jc w:val="right"/>
              <w:rPr/>
            </w:pPr>
            <w:r>
              <w:rPr/>
              <w:t>378,362</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325" w:type="dxa"/>
            <w:tcBorders>
              <w:bottom w:val="single" w:sz="6" w:space="0" w:color="000000"/>
            </w:tcBorders>
            <w:vAlign w:val="center"/>
          </w:tcPr>
          <w:p>
            <w:pPr>
              <w:pStyle w:val="TableContents"/>
              <w:bidi w:val="0"/>
              <w:spacing w:before="0" w:after="283"/>
              <w:jc w:val="right"/>
              <w:rPr/>
            </w:pPr>
            <w:r>
              <w:rPr/>
              <w:t>(2,255,379</w:t>
            </w:r>
          </w:p>
        </w:tc>
        <w:tc>
          <w:tcPr>
            <w:tcW w:w="110" w:type="dxa"/>
            <w:tcBorders>
              <w:bottom w:val="single" w:sz="6" w:space="0" w:color="000000"/>
            </w:tcBorders>
            <w:vAlign w:val="center"/>
          </w:tcPr>
          <w:p>
            <w:pPr>
              <w:pStyle w:val="TableContents"/>
              <w:bidi w:val="0"/>
              <w:spacing w:before="0" w:after="283"/>
              <w:ind w:left="0" w:right="0" w:hanging="270"/>
              <w:jc w:val="left"/>
              <w:rPr/>
            </w:pPr>
            <w:r>
              <w:rPr/>
              <w:t>)</w:t>
            </w:r>
          </w:p>
        </w:tc>
      </w:tr>
      <w:tr>
        <w:trPr/>
        <w:tc>
          <w:tcPr>
            <w:tcW w:w="4715" w:type="dxa"/>
            <w:tcBorders>
              <w:bottom w:val="single" w:sz="12" w:space="0" w:color="000000"/>
            </w:tcBorders>
            <w:shd w:fill="E6EFFF" w:val="clear"/>
            <w:vAlign w:val="center"/>
          </w:tcPr>
          <w:p>
            <w:pPr>
              <w:pStyle w:val="TableContents"/>
              <w:bidi w:val="0"/>
              <w:spacing w:before="0" w:after="283"/>
              <w:jc w:val="left"/>
              <w:rPr/>
            </w:pPr>
            <w:r>
              <w:rPr/>
              <w:t>Comprehensive loss for the period</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(5,265,305</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(8,037,083</w:t>
            </w:r>
          </w:p>
        </w:tc>
        <w:tc>
          <w:tcPr>
            <w:tcW w:w="110" w:type="dxa"/>
            <w:tcBorders/>
            <w:shd w:fill="E6EFFF" w:val="clear"/>
            <w:tcMar>
              <w:bottom w:w="0" w:type="dxa"/>
            </w:tcMar>
            <w:vAlign w:val="center"/>
          </w:tcPr>
          <w:p>
            <w:pPr>
              <w:pStyle w:val="TableContents"/>
              <w:bidi w:val="0"/>
              <w:spacing w:before="0" w:after="283"/>
              <w:jc w:val="left"/>
              <w:rPr/>
            </w:pPr>
            <w:r>
              <w:rPr/>
              <w:t>)</w:t>
            </w:r>
          </w:p>
        </w:tc>
      </w:tr>
      <w:tr>
        <w:trPr/>
        <w:tc>
          <w:tcPr>
            <w:tcW w:w="4715" w:type="dxa"/>
            <w:tcBorders/>
            <w:tcMar>
              <w:bottom w:w="0" w:type="dxa"/>
            </w:tcMar>
            <w:vAlign w:val="center"/>
          </w:tcPr>
          <w:p>
            <w:pPr>
              <w:pStyle w:val="TableContents"/>
              <w:bidi w:val="0"/>
              <w:spacing w:before="0" w:after="0"/>
              <w:jc w:val="left"/>
              <w:rPr/>
            </w:pPr>
            <w:r>
              <w:rPr/>
              <w:t> </w:t>
            </w:r>
          </w:p>
        </w:tc>
        <w:tc>
          <w:tcPr>
            <w:tcW w:w="60"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1325" w:type="dxa"/>
            <w:tcBorders>
              <w:top w:val="single" w:sz="12"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1325" w:type="dxa"/>
            <w:tcBorders>
              <w:top w:val="single" w:sz="12" w:space="0" w:color="000000"/>
            </w:tcBorders>
            <w:tcMar>
              <w:top w:w="28" w:type="dxa"/>
              <w:bottom w:w="0" w:type="dxa"/>
            </w:tcMar>
            <w:vAlign w:val="center"/>
          </w:tcPr>
          <w:p>
            <w:pPr>
              <w:pStyle w:val="TableContents"/>
              <w:bidi w:val="0"/>
              <w:spacing w:before="0" w:after="283"/>
              <w:jc w:val="right"/>
              <w:rPr/>
            </w:pPr>
            <w:r>
              <w:rPr/>
              <w:t> </w:t>
            </w:r>
          </w:p>
        </w:tc>
        <w:tc>
          <w:tcPr>
            <w:tcW w:w="110" w:type="dxa"/>
            <w:tcBorders>
              <w:top w:val="single" w:sz="12" w:space="0" w:color="000000"/>
            </w:tcBorders>
            <w:tcMar>
              <w:top w:w="28" w:type="dxa"/>
              <w:bottom w:w="0" w:type="dxa"/>
            </w:tcMar>
            <w:vAlign w:val="center"/>
          </w:tcPr>
          <w:p>
            <w:pPr>
              <w:pStyle w:val="TableContents"/>
              <w:bidi w:val="0"/>
              <w:spacing w:before="0" w:after="283"/>
              <w:ind w:left="0" w:right="0" w:hanging="284"/>
              <w:jc w:val="left"/>
              <w:rPr/>
            </w:pPr>
            <w:r>
              <w:rPr/>
              <w:t> </w:t>
            </w:r>
          </w:p>
        </w:tc>
      </w:tr>
      <w:tr>
        <w:trPr/>
        <w:tc>
          <w:tcPr>
            <w:tcW w:w="4715" w:type="dxa"/>
            <w:tcBorders>
              <w:bottom w:val="single" w:sz="12" w:space="0" w:color="000000"/>
            </w:tcBorders>
            <w:shd w:fill="E6EFFF" w:val="clear"/>
            <w:vAlign w:val="center"/>
          </w:tcPr>
          <w:p>
            <w:pPr>
              <w:pStyle w:val="TableContents"/>
              <w:bidi w:val="0"/>
              <w:spacing w:before="0" w:after="283"/>
              <w:jc w:val="left"/>
              <w:rPr/>
            </w:pPr>
            <w:r>
              <w:rPr/>
              <w:t>Net loss per share, basic and diluted (Note 7 (e))</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325" w:type="dxa"/>
            <w:tcBorders>
              <w:bottom w:val="single" w:sz="12" w:space="0" w:color="000000"/>
            </w:tcBorders>
            <w:shd w:fill="E6EFFF" w:val="clear"/>
            <w:vAlign w:val="center"/>
          </w:tcPr>
          <w:p>
            <w:pPr>
              <w:pStyle w:val="TableContents"/>
              <w:bidi w:val="0"/>
              <w:spacing w:before="0" w:after="283"/>
              <w:jc w:val="right"/>
              <w:rPr/>
            </w:pPr>
            <w:r>
              <w:rPr/>
              <w:t>(0.02</w:t>
            </w:r>
          </w:p>
        </w:tc>
        <w:tc>
          <w:tcPr>
            <w:tcW w:w="95" w:type="dxa"/>
            <w:tcBorders>
              <w:bottom w:val="single" w:sz="12" w:space="0" w:color="000000"/>
            </w:tcBorders>
            <w:shd w:fill="E6EFFF" w:val="clear"/>
            <w:vAlign w:val="center"/>
          </w:tcPr>
          <w:p>
            <w:pPr>
              <w:pStyle w:val="TableContents"/>
              <w:bidi w:val="0"/>
              <w:spacing w:before="0" w:after="283"/>
              <w:jc w:val="left"/>
              <w:rPr/>
            </w:pPr>
            <w:r>
              <w:rPr/>
              <w:t>)</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325" w:type="dxa"/>
            <w:tcBorders>
              <w:bottom w:val="single" w:sz="12" w:space="0" w:color="000000"/>
            </w:tcBorders>
            <w:shd w:fill="E6EFFF" w:val="clear"/>
            <w:vAlign w:val="center"/>
          </w:tcPr>
          <w:p>
            <w:pPr>
              <w:pStyle w:val="TableContents"/>
              <w:bidi w:val="0"/>
              <w:spacing w:before="0" w:after="283"/>
              <w:jc w:val="right"/>
              <w:rPr/>
            </w:pPr>
            <w:r>
              <w:rPr/>
              <w:t>(0.02</w:t>
            </w:r>
          </w:p>
        </w:tc>
        <w:tc>
          <w:tcPr>
            <w:tcW w:w="110" w:type="dxa"/>
            <w:tcBorders>
              <w:bottom w:val="single" w:sz="12" w:space="0" w:color="000000"/>
            </w:tcBorders>
            <w:shd w:fill="E6EFFF" w:val="clear"/>
            <w:vAlign w:val="center"/>
          </w:tcPr>
          <w:p>
            <w:pPr>
              <w:pStyle w:val="TableContents"/>
              <w:bidi w:val="0"/>
              <w:spacing w:before="0" w:after="283"/>
              <w:jc w:val="left"/>
              <w:rPr/>
            </w:pPr>
            <w:r>
              <w:rPr/>
              <w:t>)</w:t>
            </w:r>
          </w:p>
        </w:tc>
      </w:tr>
      <w:tr>
        <w:trPr/>
        <w:tc>
          <w:tcPr>
            <w:tcW w:w="4715" w:type="dxa"/>
            <w:tcBorders/>
            <w:tcMar>
              <w:bottom w:w="0" w:type="dxa"/>
            </w:tcMar>
            <w:vAlign w:val="center"/>
          </w:tcPr>
          <w:p>
            <w:pPr>
              <w:pStyle w:val="TableContents"/>
              <w:bidi w:val="0"/>
              <w:spacing w:before="0" w:after="0"/>
              <w:jc w:val="left"/>
              <w:rPr/>
            </w:pPr>
            <w:r>
              <w:rPr/>
              <w:t> </w:t>
            </w:r>
          </w:p>
        </w:tc>
        <w:tc>
          <w:tcPr>
            <w:tcW w:w="60"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1325" w:type="dxa"/>
            <w:tcBorders>
              <w:top w:val="single" w:sz="12"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1325" w:type="dxa"/>
            <w:tcBorders>
              <w:top w:val="single" w:sz="12" w:space="0" w:color="000000"/>
            </w:tcBorders>
            <w:tcMar>
              <w:top w:w="28" w:type="dxa"/>
              <w:bottom w:w="0" w:type="dxa"/>
            </w:tcMar>
            <w:vAlign w:val="center"/>
          </w:tcPr>
          <w:p>
            <w:pPr>
              <w:pStyle w:val="TableContents"/>
              <w:bidi w:val="0"/>
              <w:spacing w:before="0" w:after="283"/>
              <w:jc w:val="right"/>
              <w:rPr/>
            </w:pPr>
            <w:r>
              <w:rPr/>
              <w:t> </w:t>
            </w:r>
          </w:p>
        </w:tc>
        <w:tc>
          <w:tcPr>
            <w:tcW w:w="110" w:type="dxa"/>
            <w:tcBorders>
              <w:top w:val="single" w:sz="12" w:space="0" w:color="000000"/>
            </w:tcBorders>
            <w:tcMar>
              <w:top w:w="28" w:type="dxa"/>
              <w:bottom w:w="0" w:type="dxa"/>
            </w:tcMar>
            <w:vAlign w:val="center"/>
          </w:tcPr>
          <w:p>
            <w:pPr>
              <w:pStyle w:val="TableContents"/>
              <w:bidi w:val="0"/>
              <w:spacing w:before="0" w:after="283"/>
              <w:ind w:left="0" w:right="0" w:hanging="284"/>
              <w:jc w:val="left"/>
              <w:rPr/>
            </w:pPr>
            <w:r>
              <w:rPr/>
              <w:t> </w:t>
            </w:r>
          </w:p>
        </w:tc>
      </w:tr>
      <w:tr>
        <w:trPr/>
        <w:tc>
          <w:tcPr>
            <w:tcW w:w="4715" w:type="dxa"/>
            <w:tcBorders>
              <w:bottom w:val="single" w:sz="12" w:space="0" w:color="000000"/>
            </w:tcBorders>
            <w:shd w:fill="E6EFFF" w:val="clear"/>
            <w:vAlign w:val="center"/>
          </w:tcPr>
          <w:p>
            <w:pPr>
              <w:pStyle w:val="TableContents"/>
              <w:bidi w:val="0"/>
              <w:spacing w:before="0" w:after="283"/>
              <w:jc w:val="left"/>
              <w:rPr/>
            </w:pPr>
            <w:r>
              <w:rPr/>
              <w:t>Weighted average shares outstanding (Note 7 (e))</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325" w:type="dxa"/>
            <w:tcBorders>
              <w:bottom w:val="single" w:sz="12" w:space="0" w:color="000000"/>
            </w:tcBorders>
            <w:shd w:fill="E6EFFF" w:val="clear"/>
            <w:vAlign w:val="center"/>
          </w:tcPr>
          <w:p>
            <w:pPr>
              <w:pStyle w:val="TableContents"/>
              <w:bidi w:val="0"/>
              <w:spacing w:before="0" w:after="283"/>
              <w:jc w:val="right"/>
              <w:rPr/>
            </w:pPr>
            <w:r>
              <w:rPr/>
              <w:t>321,562,487</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325" w:type="dxa"/>
            <w:tcBorders>
              <w:bottom w:val="single" w:sz="12" w:space="0" w:color="000000"/>
            </w:tcBorders>
            <w:shd w:fill="E6EFFF" w:val="clear"/>
            <w:vAlign w:val="center"/>
          </w:tcPr>
          <w:p>
            <w:pPr>
              <w:pStyle w:val="TableContents"/>
              <w:bidi w:val="0"/>
              <w:spacing w:before="0" w:after="283"/>
              <w:jc w:val="right"/>
              <w:rPr/>
            </w:pPr>
            <w:r>
              <w:rPr/>
              <w:t>320,091,655</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34" w:name="footer_page_4"/>
      <w:bookmarkStart w:id="35" w:name="footer_page_4"/>
      <w:bookmarkEnd w:id="35"/>
    </w:p>
    <w:tbl>
      <w:tblPr>
        <w:tblW w:w="9935" w:type="dxa"/>
        <w:jc w:val="left"/>
        <w:tblInd w:w="0" w:type="dxa"/>
        <w:tblLayout w:type="fixed"/>
        <w:tblCellMar>
          <w:top w:w="0" w:type="dxa"/>
          <w:left w:w="0" w:type="dxa"/>
          <w:bottom w:w="0" w:type="dxa"/>
          <w:right w:w="0" w:type="dxa"/>
        </w:tblCellMar>
      </w:tblPr>
      <w:tblGrid>
        <w:gridCol w:w="9935"/>
      </w:tblGrid>
      <w:tr>
        <w:trPr/>
        <w:tc>
          <w:tcPr>
            <w:tcW w:w="9935" w:type="dxa"/>
            <w:tcBorders/>
            <w:vAlign w:val="center"/>
          </w:tcPr>
          <w:p>
            <w:pPr>
              <w:pStyle w:val="TableContents"/>
              <w:bidi w:val="0"/>
              <w:spacing w:before="0" w:after="283"/>
              <w:jc w:val="center"/>
              <w:rPr/>
            </w:pPr>
            <w:r>
              <w:rPr/>
              <w:t>The accompanying notes are an integral part of these interim condensed consolidated financial statements</w:t>
            </w:r>
          </w:p>
        </w:tc>
      </w:tr>
      <w:tr>
        <w:trPr/>
        <w:tc>
          <w:tcPr>
            <w:tcW w:w="9935" w:type="dxa"/>
            <w:tcBorders/>
            <w:vAlign w:val="center"/>
          </w:tcPr>
          <w:p>
            <w:pPr>
              <w:pStyle w:val="TableContents"/>
              <w:bidi w:val="0"/>
              <w:spacing w:before="0" w:after="283"/>
              <w:jc w:val="center"/>
              <w:rPr/>
            </w:pPr>
            <w:r>
              <w:rPr/>
              <w:t>2</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Normal"/>
        <w:bidi w:val="0"/>
        <w:spacing w:before="0" w:after="0"/>
        <w:jc w:val="left"/>
        <w:rPr>
          <w:sz w:val="4"/>
          <w:szCs w:val="4"/>
        </w:rPr>
      </w:pPr>
      <w:r>
        <w:rPr>
          <w:sz w:val="4"/>
          <w:szCs w:val="4"/>
        </w:rPr>
      </w:r>
      <w:bookmarkStart w:id="36" w:name="page_51"/>
      <w:bookmarkStart w:id="37" w:name="page_51"/>
      <w:bookmarkEnd w:id="37"/>
    </w:p>
    <w:tbl>
      <w:tblPr>
        <w:tblW w:w="7805" w:type="dxa"/>
        <w:jc w:val="left"/>
        <w:tblInd w:w="0" w:type="dxa"/>
        <w:tblLayout w:type="fixed"/>
        <w:tblCellMar>
          <w:top w:w="0" w:type="dxa"/>
          <w:left w:w="0" w:type="dxa"/>
          <w:bottom w:w="0" w:type="dxa"/>
          <w:right w:w="0" w:type="dxa"/>
        </w:tblCellMar>
      </w:tblPr>
      <w:tblGrid>
        <w:gridCol w:w="7805"/>
      </w:tblGrid>
      <w:tr>
        <w:trPr/>
        <w:tc>
          <w:tcPr>
            <w:tcW w:w="7805" w:type="dxa"/>
            <w:tcBorders/>
            <w:vAlign w:val="center"/>
          </w:tcPr>
          <w:p>
            <w:pPr>
              <w:pStyle w:val="TableContents"/>
              <w:bidi w:val="0"/>
              <w:spacing w:before="0" w:after="283"/>
              <w:jc w:val="left"/>
              <w:rPr/>
            </w:pPr>
            <w:r>
              <w:rPr>
                <w:b/>
                <w:sz w:val="24"/>
              </w:rPr>
              <w:t>SMALL PHARMA INC.</w:t>
            </w:r>
            <w:r>
              <w:rPr/>
              <w:br/>
              <w:t>Interim Condensed Consolidated Statements of Changes in Equity (Deficit) for the</w:t>
              <w:br/>
              <w:t>(Expressed in Canadian dollars)</w:t>
            </w:r>
          </w:p>
        </w:tc>
      </w:tr>
    </w:tbl>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947"/>
        <w:gridCol w:w="60"/>
        <w:gridCol w:w="1220"/>
        <w:gridCol w:w="60"/>
        <w:gridCol w:w="60"/>
        <w:gridCol w:w="1100"/>
        <w:gridCol w:w="60"/>
        <w:gridCol w:w="60"/>
        <w:gridCol w:w="1175"/>
        <w:gridCol w:w="60"/>
        <w:gridCol w:w="60"/>
        <w:gridCol w:w="1445"/>
        <w:gridCol w:w="95"/>
        <w:gridCol w:w="60"/>
        <w:gridCol w:w="1175"/>
        <w:gridCol w:w="95"/>
        <w:gridCol w:w="60"/>
        <w:gridCol w:w="1302"/>
        <w:gridCol w:w="111"/>
      </w:tblGrid>
      <w:tr>
        <w:trPr/>
        <w:tc>
          <w:tcPr>
            <w:tcW w:w="1947" w:type="dxa"/>
            <w:vMerge w:val="restart"/>
            <w:tcBorders>
              <w:bottom w:val="single" w:sz="6" w:space="0" w:color="000000"/>
            </w:tcBorders>
            <w:vAlign w:val="center"/>
          </w:tcPr>
          <w:p>
            <w:pPr>
              <w:pStyle w:val="TableContents"/>
              <w:bidi w:val="0"/>
              <w:spacing w:before="0" w:after="0"/>
              <w:jc w:val="left"/>
              <w:rPr/>
            </w:pPr>
            <w:r>
              <w:rPr/>
              <w:t>Three months ended May 31, 2023</w:t>
            </w:r>
          </w:p>
        </w:tc>
        <w:tc>
          <w:tcPr>
            <w:tcW w:w="60" w:type="dxa"/>
            <w:tcBorders>
              <w:bottom w:val="single" w:sz="6" w:space="0" w:color="000000"/>
            </w:tcBorders>
            <w:vAlign w:val="center"/>
          </w:tcPr>
          <w:p>
            <w:pPr>
              <w:pStyle w:val="TableContents"/>
              <w:bidi w:val="0"/>
              <w:spacing w:before="0" w:after="283"/>
              <w:jc w:val="center"/>
              <w:rPr/>
            </w:pPr>
            <w:r>
              <w:rPr/>
              <w:t> </w:t>
            </w:r>
          </w:p>
        </w:tc>
        <w:tc>
          <w:tcPr>
            <w:tcW w:w="2440" w:type="dxa"/>
            <w:gridSpan w:val="4"/>
            <w:tcBorders>
              <w:bottom w:val="single" w:sz="6" w:space="0" w:color="000000"/>
            </w:tcBorders>
            <w:vAlign w:val="center"/>
          </w:tcPr>
          <w:p>
            <w:pPr>
              <w:pStyle w:val="TableContents"/>
              <w:bidi w:val="0"/>
              <w:spacing w:before="0" w:after="283"/>
              <w:jc w:val="center"/>
              <w:rPr/>
            </w:pPr>
            <w:r>
              <w:rPr/>
              <w:br/>
              <w:br/>
              <w:t>Share capital</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vMerge w:val="restart"/>
            <w:tcBorders>
              <w:bottom w:val="single" w:sz="6" w:space="0" w:color="000000"/>
            </w:tcBorders>
            <w:vAlign w:val="center"/>
          </w:tcPr>
          <w:p>
            <w:pPr>
              <w:pStyle w:val="TableContents"/>
              <w:bidi w:val="0"/>
              <w:spacing w:before="0" w:after="283"/>
              <w:jc w:val="center"/>
              <w:rPr/>
            </w:pPr>
            <w:r>
              <w:rPr/>
              <w:t> </w:t>
            </w:r>
          </w:p>
        </w:tc>
        <w:tc>
          <w:tcPr>
            <w:tcW w:w="1175" w:type="dxa"/>
            <w:vMerge w:val="restart"/>
            <w:tcBorders>
              <w:bottom w:val="single" w:sz="6" w:space="0" w:color="000000"/>
            </w:tcBorders>
            <w:vAlign w:val="center"/>
          </w:tcPr>
          <w:p>
            <w:pPr>
              <w:pStyle w:val="TableContents"/>
              <w:bidi w:val="0"/>
              <w:spacing w:before="0" w:after="283"/>
              <w:jc w:val="center"/>
              <w:rPr/>
            </w:pPr>
            <w:r>
              <w:rPr/>
              <w:t>Share-based</w:t>
              <w:br/>
              <w:t>payment</w:t>
              <w:br/>
              <w:t>reserve</w:t>
              <w:br/>
              <w:t>$</w:t>
            </w:r>
          </w:p>
        </w:tc>
        <w:tc>
          <w:tcPr>
            <w:tcW w:w="60" w:type="dxa"/>
            <w:vMerge w:val="restart"/>
            <w:tcBorders>
              <w:bottom w:val="single" w:sz="6" w:space="0" w:color="000000"/>
            </w:tcBorders>
            <w:vAlign w:val="center"/>
          </w:tcPr>
          <w:p>
            <w:pPr>
              <w:pStyle w:val="TableContents"/>
              <w:bidi w:val="0"/>
              <w:spacing w:before="0" w:after="283"/>
              <w:jc w:val="center"/>
              <w:rPr/>
            </w:pPr>
            <w:r>
              <w:rPr/>
              <w:t> </w:t>
            </w:r>
          </w:p>
        </w:tc>
        <w:tc>
          <w:tcPr>
            <w:tcW w:w="60" w:type="dxa"/>
            <w:vMerge w:val="restart"/>
            <w:tcBorders>
              <w:bottom w:val="single" w:sz="6" w:space="0" w:color="000000"/>
            </w:tcBorders>
            <w:vAlign w:val="center"/>
          </w:tcPr>
          <w:p>
            <w:pPr>
              <w:pStyle w:val="TableContents"/>
              <w:bidi w:val="0"/>
              <w:spacing w:before="0" w:after="283"/>
              <w:jc w:val="center"/>
              <w:rPr/>
            </w:pPr>
            <w:r>
              <w:rPr/>
              <w:t> </w:t>
            </w:r>
          </w:p>
        </w:tc>
        <w:tc>
          <w:tcPr>
            <w:tcW w:w="1445" w:type="dxa"/>
            <w:vMerge w:val="restart"/>
            <w:tcBorders>
              <w:bottom w:val="single" w:sz="6" w:space="0" w:color="000000"/>
            </w:tcBorders>
            <w:vAlign w:val="center"/>
          </w:tcPr>
          <w:p>
            <w:pPr>
              <w:pStyle w:val="TableContents"/>
              <w:bidi w:val="0"/>
              <w:spacing w:before="0" w:after="283"/>
              <w:jc w:val="center"/>
              <w:rPr/>
            </w:pPr>
            <w:r>
              <w:rPr/>
              <w:t>Accumulated</w:t>
              <w:br/>
              <w:t>other</w:t>
              <w:br/>
              <w:t>comprehensive</w:t>
              <w:br/>
              <w:t>loss</w:t>
              <w:br/>
              <w:t>$</w:t>
            </w:r>
          </w:p>
        </w:tc>
        <w:tc>
          <w:tcPr>
            <w:tcW w:w="95" w:type="dxa"/>
            <w:vMerge w:val="restart"/>
            <w:tcBorders>
              <w:bottom w:val="single" w:sz="6" w:space="0" w:color="000000"/>
            </w:tcBorders>
            <w:vAlign w:val="center"/>
          </w:tcPr>
          <w:p>
            <w:pPr>
              <w:pStyle w:val="TableContents"/>
              <w:bidi w:val="0"/>
              <w:spacing w:before="0" w:after="283"/>
              <w:jc w:val="center"/>
              <w:rPr/>
            </w:pPr>
            <w:r>
              <w:rPr/>
              <w:t> </w:t>
            </w:r>
          </w:p>
        </w:tc>
        <w:tc>
          <w:tcPr>
            <w:tcW w:w="60" w:type="dxa"/>
            <w:vMerge w:val="restart"/>
            <w:tcBorders>
              <w:bottom w:val="single" w:sz="6" w:space="0" w:color="000000"/>
            </w:tcBorders>
            <w:vAlign w:val="center"/>
          </w:tcPr>
          <w:p>
            <w:pPr>
              <w:pStyle w:val="TableContents"/>
              <w:bidi w:val="0"/>
              <w:spacing w:before="0" w:after="283"/>
              <w:jc w:val="center"/>
              <w:rPr/>
            </w:pPr>
            <w:r>
              <w:rPr/>
              <w:t> </w:t>
            </w:r>
          </w:p>
        </w:tc>
        <w:tc>
          <w:tcPr>
            <w:tcW w:w="1175" w:type="dxa"/>
            <w:vMerge w:val="restart"/>
            <w:tcBorders>
              <w:bottom w:val="single" w:sz="6" w:space="0" w:color="000000"/>
            </w:tcBorders>
            <w:vAlign w:val="center"/>
          </w:tcPr>
          <w:p>
            <w:pPr>
              <w:pStyle w:val="TableContents"/>
              <w:bidi w:val="0"/>
              <w:spacing w:before="0" w:after="283"/>
              <w:jc w:val="center"/>
              <w:rPr/>
            </w:pPr>
            <w:r>
              <w:rPr/>
              <w:t>Deficit</w:t>
              <w:br/>
              <w:t>$</w:t>
            </w:r>
          </w:p>
        </w:tc>
        <w:tc>
          <w:tcPr>
            <w:tcW w:w="95" w:type="dxa"/>
            <w:vMerge w:val="restart"/>
            <w:tcBorders>
              <w:bottom w:val="single" w:sz="6" w:space="0" w:color="000000"/>
            </w:tcBorders>
            <w:vAlign w:val="center"/>
          </w:tcPr>
          <w:p>
            <w:pPr>
              <w:pStyle w:val="TableContents"/>
              <w:bidi w:val="0"/>
              <w:spacing w:before="0" w:after="283"/>
              <w:jc w:val="center"/>
              <w:rPr/>
            </w:pPr>
            <w:r>
              <w:rPr/>
              <w:t> </w:t>
            </w:r>
          </w:p>
        </w:tc>
        <w:tc>
          <w:tcPr>
            <w:tcW w:w="60" w:type="dxa"/>
            <w:vMerge w:val="restart"/>
            <w:tcBorders>
              <w:bottom w:val="single" w:sz="6" w:space="0" w:color="000000"/>
            </w:tcBorders>
            <w:vAlign w:val="center"/>
          </w:tcPr>
          <w:p>
            <w:pPr>
              <w:pStyle w:val="TableContents"/>
              <w:bidi w:val="0"/>
              <w:spacing w:before="0" w:after="283"/>
              <w:jc w:val="center"/>
              <w:rPr/>
            </w:pPr>
            <w:r>
              <w:rPr/>
              <w:t> </w:t>
            </w:r>
          </w:p>
        </w:tc>
        <w:tc>
          <w:tcPr>
            <w:tcW w:w="1302" w:type="dxa"/>
            <w:vMerge w:val="restart"/>
            <w:tcBorders>
              <w:bottom w:val="single" w:sz="6" w:space="0" w:color="000000"/>
            </w:tcBorders>
            <w:vAlign w:val="center"/>
          </w:tcPr>
          <w:p>
            <w:pPr>
              <w:pStyle w:val="TableContents"/>
              <w:bidi w:val="0"/>
              <w:spacing w:before="0" w:after="283"/>
              <w:jc w:val="center"/>
              <w:rPr/>
            </w:pPr>
            <w:r>
              <w:rPr/>
              <w:t>Total</w:t>
              <w:br/>
              <w:t>shareholders'</w:t>
              <w:br/>
              <w:t>equity (deficit)</w:t>
              <w:br/>
              <w:t>$</w:t>
            </w:r>
          </w:p>
        </w:tc>
        <w:tc>
          <w:tcPr>
            <w:tcW w:w="111" w:type="dxa"/>
            <w:vMerge w:val="restart"/>
            <w:tcBorders>
              <w:bottom w:val="single" w:sz="6" w:space="0" w:color="000000"/>
            </w:tcBorders>
            <w:vAlign w:val="center"/>
          </w:tcPr>
          <w:p>
            <w:pPr>
              <w:pStyle w:val="TableContents"/>
              <w:bidi w:val="0"/>
              <w:spacing w:before="0" w:after="283"/>
              <w:jc w:val="center"/>
              <w:rPr/>
            </w:pPr>
            <w:r>
              <w:rPr/>
              <w:t> </w:t>
            </w:r>
          </w:p>
        </w:tc>
      </w:tr>
      <w:tr>
        <w:trPr/>
        <w:tc>
          <w:tcPr>
            <w:tcW w:w="1947" w:type="dxa"/>
            <w:vMerge w:val="continue"/>
            <w:tcBorders>
              <w:bottom w:val="single" w:sz="6" w:space="0" w:color="000000"/>
            </w:tcBorders>
            <w:vAlign w:val="center"/>
          </w:tcPr>
          <w:p>
            <w:pPr>
              <w:pStyle w:val="Normal"/>
              <w:bidi w:val="0"/>
              <w:jc w:val="left"/>
              <w:rPr/>
            </w:pPr>
            <w:r>
              <w:rPr/>
            </w:r>
          </w:p>
        </w:tc>
        <w:tc>
          <w:tcPr>
            <w:tcW w:w="6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 </w:t>
            </w:r>
          </w:p>
        </w:tc>
        <w:tc>
          <w:tcPr>
            <w:tcW w:w="122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Number of</w:t>
              <w:br/>
              <w:t>shares</w:t>
            </w:r>
          </w:p>
        </w:tc>
        <w:tc>
          <w:tcPr>
            <w:tcW w:w="6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 </w:t>
            </w:r>
          </w:p>
        </w:tc>
        <w:tc>
          <w:tcPr>
            <w:tcW w:w="6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 </w:t>
            </w:r>
          </w:p>
        </w:tc>
        <w:tc>
          <w:tcPr>
            <w:tcW w:w="110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Amount</w:t>
              <w:br/>
              <w:t>$</w:t>
            </w:r>
          </w:p>
        </w:tc>
        <w:tc>
          <w:tcPr>
            <w:tcW w:w="6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 </w:t>
            </w:r>
          </w:p>
        </w:tc>
        <w:tc>
          <w:tcPr>
            <w:tcW w:w="60" w:type="dxa"/>
            <w:vMerge w:val="continue"/>
            <w:tcBorders>
              <w:bottom w:val="single" w:sz="6" w:space="0" w:color="000000"/>
            </w:tcBorders>
            <w:vAlign w:val="center"/>
          </w:tcPr>
          <w:p>
            <w:pPr>
              <w:pStyle w:val="Normal"/>
              <w:bidi w:val="0"/>
              <w:jc w:val="left"/>
              <w:rPr/>
            </w:pPr>
            <w:r>
              <w:rPr/>
            </w:r>
          </w:p>
        </w:tc>
        <w:tc>
          <w:tcPr>
            <w:tcW w:w="1175" w:type="dxa"/>
            <w:vMerge w:val="continue"/>
            <w:tcBorders>
              <w:bottom w:val="single" w:sz="6" w:space="0" w:color="000000"/>
            </w:tcBorders>
            <w:vAlign w:val="center"/>
          </w:tcPr>
          <w:p>
            <w:pPr>
              <w:pStyle w:val="Normal"/>
              <w:bidi w:val="0"/>
              <w:jc w:val="left"/>
              <w:rPr/>
            </w:pPr>
            <w:r>
              <w:rPr/>
            </w:r>
          </w:p>
        </w:tc>
        <w:tc>
          <w:tcPr>
            <w:tcW w:w="60" w:type="dxa"/>
            <w:vMerge w:val="continue"/>
            <w:tcBorders>
              <w:bottom w:val="single" w:sz="6" w:space="0" w:color="000000"/>
            </w:tcBorders>
            <w:vAlign w:val="center"/>
          </w:tcPr>
          <w:p>
            <w:pPr>
              <w:pStyle w:val="Normal"/>
              <w:bidi w:val="0"/>
              <w:jc w:val="left"/>
              <w:rPr/>
            </w:pPr>
            <w:r>
              <w:rPr/>
            </w:r>
          </w:p>
        </w:tc>
        <w:tc>
          <w:tcPr>
            <w:tcW w:w="60" w:type="dxa"/>
            <w:vMerge w:val="continue"/>
            <w:tcBorders>
              <w:bottom w:val="single" w:sz="6" w:space="0" w:color="000000"/>
            </w:tcBorders>
            <w:vAlign w:val="center"/>
          </w:tcPr>
          <w:p>
            <w:pPr>
              <w:pStyle w:val="Normal"/>
              <w:bidi w:val="0"/>
              <w:jc w:val="left"/>
              <w:rPr/>
            </w:pPr>
            <w:r>
              <w:rPr/>
            </w:r>
          </w:p>
        </w:tc>
        <w:tc>
          <w:tcPr>
            <w:tcW w:w="1445" w:type="dxa"/>
            <w:vMerge w:val="continue"/>
            <w:tcBorders>
              <w:bottom w:val="single" w:sz="6" w:space="0" w:color="000000"/>
            </w:tcBorders>
            <w:vAlign w:val="center"/>
          </w:tcPr>
          <w:p>
            <w:pPr>
              <w:pStyle w:val="Normal"/>
              <w:bidi w:val="0"/>
              <w:jc w:val="left"/>
              <w:rPr/>
            </w:pPr>
            <w:r>
              <w:rPr/>
            </w:r>
          </w:p>
        </w:tc>
        <w:tc>
          <w:tcPr>
            <w:tcW w:w="95" w:type="dxa"/>
            <w:vMerge w:val="continue"/>
            <w:tcBorders>
              <w:bottom w:val="single" w:sz="6" w:space="0" w:color="000000"/>
            </w:tcBorders>
            <w:vAlign w:val="center"/>
          </w:tcPr>
          <w:p>
            <w:pPr>
              <w:pStyle w:val="Normal"/>
              <w:bidi w:val="0"/>
              <w:jc w:val="left"/>
              <w:rPr/>
            </w:pPr>
            <w:r>
              <w:rPr/>
            </w:r>
          </w:p>
        </w:tc>
        <w:tc>
          <w:tcPr>
            <w:tcW w:w="60" w:type="dxa"/>
            <w:vMerge w:val="continue"/>
            <w:tcBorders>
              <w:bottom w:val="single" w:sz="6" w:space="0" w:color="000000"/>
            </w:tcBorders>
            <w:vAlign w:val="center"/>
          </w:tcPr>
          <w:p>
            <w:pPr>
              <w:pStyle w:val="Normal"/>
              <w:bidi w:val="0"/>
              <w:jc w:val="left"/>
              <w:rPr/>
            </w:pPr>
            <w:r>
              <w:rPr/>
            </w:r>
          </w:p>
        </w:tc>
        <w:tc>
          <w:tcPr>
            <w:tcW w:w="1175" w:type="dxa"/>
            <w:vMerge w:val="continue"/>
            <w:tcBorders>
              <w:bottom w:val="single" w:sz="6" w:space="0" w:color="000000"/>
            </w:tcBorders>
            <w:vAlign w:val="center"/>
          </w:tcPr>
          <w:p>
            <w:pPr>
              <w:pStyle w:val="Normal"/>
              <w:bidi w:val="0"/>
              <w:jc w:val="left"/>
              <w:rPr/>
            </w:pPr>
            <w:r>
              <w:rPr/>
            </w:r>
          </w:p>
        </w:tc>
        <w:tc>
          <w:tcPr>
            <w:tcW w:w="95" w:type="dxa"/>
            <w:vMerge w:val="continue"/>
            <w:tcBorders>
              <w:bottom w:val="single" w:sz="6" w:space="0" w:color="000000"/>
            </w:tcBorders>
            <w:vAlign w:val="center"/>
          </w:tcPr>
          <w:p>
            <w:pPr>
              <w:pStyle w:val="Normal"/>
              <w:bidi w:val="0"/>
              <w:jc w:val="left"/>
              <w:rPr/>
            </w:pPr>
            <w:r>
              <w:rPr/>
            </w:r>
          </w:p>
        </w:tc>
        <w:tc>
          <w:tcPr>
            <w:tcW w:w="60" w:type="dxa"/>
            <w:vMerge w:val="continue"/>
            <w:tcBorders>
              <w:bottom w:val="single" w:sz="6" w:space="0" w:color="000000"/>
            </w:tcBorders>
            <w:vAlign w:val="center"/>
          </w:tcPr>
          <w:p>
            <w:pPr>
              <w:pStyle w:val="Normal"/>
              <w:bidi w:val="0"/>
              <w:jc w:val="left"/>
              <w:rPr/>
            </w:pPr>
            <w:r>
              <w:rPr/>
            </w:r>
          </w:p>
        </w:tc>
        <w:tc>
          <w:tcPr>
            <w:tcW w:w="1302" w:type="dxa"/>
            <w:vMerge w:val="continue"/>
            <w:tcBorders>
              <w:bottom w:val="single" w:sz="6" w:space="0" w:color="000000"/>
            </w:tcBorders>
            <w:vAlign w:val="center"/>
          </w:tcPr>
          <w:p>
            <w:pPr>
              <w:pStyle w:val="Normal"/>
              <w:bidi w:val="0"/>
              <w:jc w:val="left"/>
              <w:rPr/>
            </w:pPr>
            <w:r>
              <w:rPr/>
            </w:r>
          </w:p>
        </w:tc>
        <w:tc>
          <w:tcPr>
            <w:tcW w:w="111" w:type="dxa"/>
            <w:vMerge w:val="continue"/>
            <w:tcBorders>
              <w:bottom w:val="single" w:sz="6" w:space="0" w:color="000000"/>
            </w:tcBorders>
            <w:vAlign w:val="center"/>
          </w:tcPr>
          <w:p>
            <w:pPr>
              <w:pStyle w:val="Normal"/>
              <w:bidi w:val="0"/>
              <w:jc w:val="left"/>
              <w:rPr/>
            </w:pPr>
            <w:r>
              <w:rPr/>
            </w:r>
          </w:p>
        </w:tc>
      </w:tr>
      <w:tr>
        <w:trPr/>
        <w:tc>
          <w:tcPr>
            <w:tcW w:w="1947" w:type="dxa"/>
            <w:tcBorders/>
            <w:tcMar>
              <w:bottom w:w="0" w:type="dxa"/>
            </w:tcMar>
            <w:vAlign w:val="center"/>
          </w:tcPr>
          <w:p>
            <w:pPr>
              <w:pStyle w:val="TableContents"/>
              <w:bidi w:val="0"/>
              <w:spacing w:before="0" w:after="0"/>
              <w:jc w:val="lef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22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0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7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44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7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302"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1" w:type="dxa"/>
            <w:tcBorders>
              <w:top w:val="single" w:sz="6" w:space="0" w:color="000000"/>
            </w:tcBorders>
            <w:tcMar>
              <w:top w:w="28" w:type="dxa"/>
              <w:bottom w:w="0" w:type="dxa"/>
            </w:tcMar>
            <w:vAlign w:val="center"/>
          </w:tcPr>
          <w:p>
            <w:pPr>
              <w:pStyle w:val="TableContents"/>
              <w:bidi w:val="0"/>
              <w:spacing w:before="0" w:after="283"/>
              <w:ind w:left="0" w:right="0" w:hanging="180"/>
              <w:jc w:val="center"/>
              <w:rPr/>
            </w:pPr>
            <w:r>
              <w:rPr/>
              <w:t> </w:t>
            </w:r>
          </w:p>
        </w:tc>
      </w:tr>
      <w:tr>
        <w:trPr/>
        <w:tc>
          <w:tcPr>
            <w:tcW w:w="1947" w:type="dxa"/>
            <w:tcBorders/>
            <w:shd w:fill="E6EFFF" w:val="clear"/>
            <w:tcMar>
              <w:bottom w:w="0" w:type="dxa"/>
            </w:tcMar>
            <w:vAlign w:val="center"/>
          </w:tcPr>
          <w:p>
            <w:pPr>
              <w:pStyle w:val="TableContents"/>
              <w:bidi w:val="0"/>
              <w:spacing w:before="0" w:after="283"/>
              <w:jc w:val="left"/>
              <w:rPr/>
            </w:pPr>
            <w:r>
              <w:rPr/>
              <w:t>Balance, March 1, 2023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20" w:type="dxa"/>
            <w:tcBorders/>
            <w:shd w:fill="E6EFFF" w:val="clear"/>
            <w:tcMar>
              <w:bottom w:w="0" w:type="dxa"/>
            </w:tcMar>
            <w:vAlign w:val="center"/>
          </w:tcPr>
          <w:p>
            <w:pPr>
              <w:pStyle w:val="TableContents"/>
              <w:bidi w:val="0"/>
              <w:spacing w:before="0" w:after="283"/>
              <w:jc w:val="right"/>
              <w:rPr/>
            </w:pPr>
            <w:r>
              <w:rPr/>
              <w:t>321,562,487</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00" w:type="dxa"/>
            <w:tcBorders/>
            <w:shd w:fill="E6EFFF" w:val="clear"/>
            <w:tcMar>
              <w:bottom w:w="0" w:type="dxa"/>
            </w:tcMar>
            <w:vAlign w:val="center"/>
          </w:tcPr>
          <w:p>
            <w:pPr>
              <w:pStyle w:val="TableContents"/>
              <w:bidi w:val="0"/>
              <w:spacing w:before="0" w:after="283"/>
              <w:jc w:val="right"/>
              <w:rPr/>
            </w:pPr>
            <w:r>
              <w:rPr/>
              <w:t>69,722,807</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4,117,212</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445" w:type="dxa"/>
            <w:tcBorders/>
            <w:shd w:fill="E6EFFF" w:val="clear"/>
            <w:tcMar>
              <w:bottom w:w="0" w:type="dxa"/>
            </w:tcMar>
            <w:vAlign w:val="center"/>
          </w:tcPr>
          <w:p>
            <w:pPr>
              <w:pStyle w:val="TableContents"/>
              <w:bidi w:val="0"/>
              <w:spacing w:before="0" w:after="283"/>
              <w:jc w:val="right"/>
              <w:rPr/>
            </w:pPr>
            <w:r>
              <w:rPr/>
              <w:t>(2,043,011</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(54,640,527</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02" w:type="dxa"/>
            <w:tcBorders/>
            <w:shd w:fill="E6EFFF" w:val="clear"/>
            <w:tcMar>
              <w:bottom w:w="0" w:type="dxa"/>
            </w:tcMar>
            <w:vAlign w:val="center"/>
          </w:tcPr>
          <w:p>
            <w:pPr>
              <w:pStyle w:val="TableContents"/>
              <w:bidi w:val="0"/>
              <w:spacing w:before="0" w:after="283"/>
              <w:jc w:val="right"/>
              <w:rPr/>
            </w:pPr>
            <w:r>
              <w:rPr/>
              <w:t>17,156,481</w:t>
            </w:r>
          </w:p>
        </w:tc>
        <w:tc>
          <w:tcPr>
            <w:tcW w:w="111" w:type="dxa"/>
            <w:tcBorders/>
            <w:shd w:fill="E6EFFF" w:val="clear"/>
            <w:tcMar>
              <w:bottom w:w="0" w:type="dxa"/>
            </w:tcMar>
            <w:vAlign w:val="center"/>
          </w:tcPr>
          <w:p>
            <w:pPr>
              <w:pStyle w:val="TableContents"/>
              <w:bidi w:val="0"/>
              <w:spacing w:before="0" w:after="283"/>
              <w:ind w:left="0" w:right="0" w:hanging="284"/>
              <w:jc w:val="left"/>
              <w:rPr/>
            </w:pPr>
            <w:r>
              <w:rPr/>
              <w:t> </w:t>
            </w:r>
          </w:p>
        </w:tc>
      </w:tr>
      <w:tr>
        <w:trPr/>
        <w:tc>
          <w:tcPr>
            <w:tcW w:w="1947" w:type="dxa"/>
            <w:tcBorders/>
            <w:tcMar>
              <w:bottom w:w="0" w:type="dxa"/>
            </w:tcMar>
            <w:vAlign w:val="center"/>
          </w:tcPr>
          <w:p>
            <w:pPr>
              <w:pStyle w:val="TableContents"/>
              <w:bidi w:val="0"/>
              <w:spacing w:before="0" w:after="283"/>
              <w:jc w:val="left"/>
              <w:rPr/>
            </w:pPr>
            <w:r>
              <w:rPr/>
              <w:t>Share-based payment expense</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115,441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2" w:type="dxa"/>
            <w:tcBorders/>
            <w:tcMar>
              <w:bottom w:w="0" w:type="dxa"/>
            </w:tcMar>
            <w:vAlign w:val="center"/>
          </w:tcPr>
          <w:p>
            <w:pPr>
              <w:pStyle w:val="TableContents"/>
              <w:bidi w:val="0"/>
              <w:spacing w:before="0" w:after="283"/>
              <w:jc w:val="right"/>
              <w:rPr/>
            </w:pPr>
            <w:r>
              <w:rPr/>
              <w:t>115,441</w:t>
            </w:r>
          </w:p>
        </w:tc>
        <w:tc>
          <w:tcPr>
            <w:tcW w:w="111" w:type="dxa"/>
            <w:tcBorders/>
            <w:tcMar>
              <w:bottom w:w="0" w:type="dxa"/>
            </w:tcMar>
            <w:vAlign w:val="center"/>
          </w:tcPr>
          <w:p>
            <w:pPr>
              <w:pStyle w:val="TableContents"/>
              <w:bidi w:val="0"/>
              <w:spacing w:before="0" w:after="283"/>
              <w:ind w:left="0" w:right="0" w:hanging="284"/>
              <w:jc w:val="left"/>
              <w:rPr/>
            </w:pPr>
            <w:r>
              <w:rPr/>
              <w:t> </w:t>
            </w:r>
          </w:p>
        </w:tc>
      </w:tr>
      <w:tr>
        <w:trPr/>
        <w:tc>
          <w:tcPr>
            <w:tcW w:w="1947" w:type="dxa"/>
            <w:tcBorders/>
            <w:shd w:fill="E6EFFF" w:val="clear"/>
            <w:tcMar>
              <w:bottom w:w="0" w:type="dxa"/>
            </w:tcMar>
            <w:vAlign w:val="center"/>
          </w:tcPr>
          <w:p>
            <w:pPr>
              <w:pStyle w:val="TableContents"/>
              <w:bidi w:val="0"/>
              <w:spacing w:before="0" w:after="283"/>
              <w:jc w:val="left"/>
              <w:rPr/>
            </w:pPr>
            <w:r>
              <w:rPr/>
              <w:t>Foreign currency translation gain</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20" w:type="dxa"/>
            <w:tcBorders/>
            <w:shd w:fill="E6EFFF" w:val="clear"/>
            <w:tcMar>
              <w:bottom w:w="0" w:type="dxa"/>
            </w:tcMar>
            <w:vAlign w:val="center"/>
          </w:tcPr>
          <w:p>
            <w:pPr>
              <w:pStyle w:val="TableContents"/>
              <w:bidi w:val="0"/>
              <w:spacing w:before="0" w:after="283"/>
              <w:jc w:val="righ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00" w:type="dxa"/>
            <w:tcBorders/>
            <w:shd w:fill="E6EFFF" w:val="clear"/>
            <w:tcMar>
              <w:bottom w:w="0" w:type="dxa"/>
            </w:tcMar>
            <w:vAlign w:val="center"/>
          </w:tcPr>
          <w:p>
            <w:pPr>
              <w:pStyle w:val="TableContents"/>
              <w:bidi w:val="0"/>
              <w:spacing w:before="0" w:after="283"/>
              <w:jc w:val="righ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445" w:type="dxa"/>
            <w:tcBorders/>
            <w:shd w:fill="E6EFFF" w:val="clear"/>
            <w:tcMar>
              <w:bottom w:w="0" w:type="dxa"/>
            </w:tcMar>
            <w:vAlign w:val="center"/>
          </w:tcPr>
          <w:p>
            <w:pPr>
              <w:pStyle w:val="TableContents"/>
              <w:bidi w:val="0"/>
              <w:spacing w:before="0" w:after="283"/>
              <w:jc w:val="right"/>
              <w:rPr/>
            </w:pPr>
            <w:r>
              <w:rPr/>
              <w:t>378,362</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02" w:type="dxa"/>
            <w:tcBorders/>
            <w:shd w:fill="E6EFFF" w:val="clear"/>
            <w:tcMar>
              <w:bottom w:w="0" w:type="dxa"/>
            </w:tcMar>
            <w:vAlign w:val="center"/>
          </w:tcPr>
          <w:p>
            <w:pPr>
              <w:pStyle w:val="TableContents"/>
              <w:bidi w:val="0"/>
              <w:spacing w:before="0" w:after="283"/>
              <w:jc w:val="right"/>
              <w:rPr/>
            </w:pPr>
            <w:r>
              <w:rPr/>
              <w:t>378,362</w:t>
            </w:r>
          </w:p>
        </w:tc>
        <w:tc>
          <w:tcPr>
            <w:tcW w:w="111" w:type="dxa"/>
            <w:tcBorders/>
            <w:shd w:fill="E6EFFF" w:val="clear"/>
            <w:tcMar>
              <w:bottom w:w="0" w:type="dxa"/>
            </w:tcMar>
            <w:vAlign w:val="center"/>
          </w:tcPr>
          <w:p>
            <w:pPr>
              <w:pStyle w:val="TableContents"/>
              <w:bidi w:val="0"/>
              <w:spacing w:before="0" w:after="283"/>
              <w:ind w:left="0" w:right="0" w:hanging="284"/>
              <w:jc w:val="left"/>
              <w:rPr/>
            </w:pPr>
            <w:r>
              <w:rPr/>
              <w:t> </w:t>
            </w:r>
          </w:p>
        </w:tc>
      </w:tr>
      <w:tr>
        <w:trPr/>
        <w:tc>
          <w:tcPr>
            <w:tcW w:w="1947" w:type="dxa"/>
            <w:tcBorders>
              <w:bottom w:val="single" w:sz="6" w:space="0" w:color="000000"/>
            </w:tcBorders>
            <w:vAlign w:val="center"/>
          </w:tcPr>
          <w:p>
            <w:pPr>
              <w:pStyle w:val="TableContents"/>
              <w:bidi w:val="0"/>
              <w:spacing w:before="0" w:after="283"/>
              <w:jc w:val="left"/>
              <w:rPr/>
            </w:pPr>
            <w:r>
              <w:rPr/>
              <w:t>Net loss for the period</w:t>
            </w:r>
          </w:p>
        </w:tc>
        <w:tc>
          <w:tcPr>
            <w:tcW w:w="60" w:type="dxa"/>
            <w:tcBorders>
              <w:bottom w:val="single" w:sz="6" w:space="0" w:color="000000"/>
            </w:tcBorders>
            <w:vAlign w:val="center"/>
          </w:tcPr>
          <w:p>
            <w:pPr>
              <w:pStyle w:val="TableContents"/>
              <w:bidi w:val="0"/>
              <w:spacing w:before="0" w:after="283"/>
              <w:jc w:val="left"/>
              <w:rPr/>
            </w:pPr>
            <w:r>
              <w:rPr/>
              <w:t> </w:t>
            </w:r>
          </w:p>
        </w:tc>
        <w:tc>
          <w:tcPr>
            <w:tcW w:w="1220" w:type="dxa"/>
            <w:tcBorders>
              <w:bottom w:val="single" w:sz="6" w:space="0" w:color="000000"/>
            </w:tcBorders>
            <w:vAlign w:val="center"/>
          </w:tcPr>
          <w:p>
            <w:pPr>
              <w:pStyle w:val="TableContents"/>
              <w:bidi w:val="0"/>
              <w:spacing w:before="0" w:after="283"/>
              <w:jc w:val="righ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100" w:type="dxa"/>
            <w:tcBorders>
              <w:bottom w:val="single" w:sz="6" w:space="0" w:color="000000"/>
            </w:tcBorders>
            <w:vAlign w:val="center"/>
          </w:tcPr>
          <w:p>
            <w:pPr>
              <w:pStyle w:val="TableContents"/>
              <w:bidi w:val="0"/>
              <w:spacing w:before="0" w:after="283"/>
              <w:jc w:val="righ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175" w:type="dxa"/>
            <w:tcBorders>
              <w:bottom w:val="single" w:sz="6" w:space="0" w:color="000000"/>
            </w:tcBorders>
            <w:vAlign w:val="center"/>
          </w:tcPr>
          <w:p>
            <w:pPr>
              <w:pStyle w:val="TableContents"/>
              <w:bidi w:val="0"/>
              <w:spacing w:before="0" w:after="283"/>
              <w:jc w:val="righ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445" w:type="dxa"/>
            <w:tcBorders>
              <w:bottom w:val="single" w:sz="6" w:space="0" w:color="000000"/>
            </w:tcBorders>
            <w:vAlign w:val="center"/>
          </w:tcPr>
          <w:p>
            <w:pPr>
              <w:pStyle w:val="TableContents"/>
              <w:bidi w:val="0"/>
              <w:spacing w:before="0" w:after="283"/>
              <w:jc w:val="right"/>
              <w:rPr/>
            </w:pPr>
            <w:r>
              <w:rPr/>
              <w:t>-</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175" w:type="dxa"/>
            <w:tcBorders>
              <w:bottom w:val="single" w:sz="6" w:space="0" w:color="000000"/>
            </w:tcBorders>
            <w:vAlign w:val="center"/>
          </w:tcPr>
          <w:p>
            <w:pPr>
              <w:pStyle w:val="TableContents"/>
              <w:bidi w:val="0"/>
              <w:spacing w:before="0" w:after="283"/>
              <w:jc w:val="right"/>
              <w:rPr/>
            </w:pPr>
            <w:r>
              <w:rPr/>
              <w:t>(5,643,667</w:t>
            </w:r>
          </w:p>
        </w:tc>
        <w:tc>
          <w:tcPr>
            <w:tcW w:w="95" w:type="dxa"/>
            <w:tcBorders>
              <w:bottom w:val="single" w:sz="6" w:space="0" w:color="000000"/>
            </w:tcBorders>
            <w:vAlign w:val="center"/>
          </w:tcPr>
          <w:p>
            <w:pPr>
              <w:pStyle w:val="TableContents"/>
              <w:bidi w:val="0"/>
              <w:spacing w:before="0" w:after="283"/>
              <w:jc w:val="lef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1302" w:type="dxa"/>
            <w:tcBorders>
              <w:bottom w:val="single" w:sz="6" w:space="0" w:color="000000"/>
            </w:tcBorders>
            <w:vAlign w:val="center"/>
          </w:tcPr>
          <w:p>
            <w:pPr>
              <w:pStyle w:val="TableContents"/>
              <w:bidi w:val="0"/>
              <w:spacing w:before="0" w:after="283"/>
              <w:jc w:val="right"/>
              <w:rPr/>
            </w:pPr>
            <w:r>
              <w:rPr/>
              <w:t>(5,643,667</w:t>
            </w:r>
          </w:p>
        </w:tc>
        <w:tc>
          <w:tcPr>
            <w:tcW w:w="111" w:type="dxa"/>
            <w:tcBorders>
              <w:bottom w:val="single" w:sz="6" w:space="0" w:color="000000"/>
            </w:tcBorders>
            <w:vAlign w:val="center"/>
          </w:tcPr>
          <w:p>
            <w:pPr>
              <w:pStyle w:val="TableContents"/>
              <w:bidi w:val="0"/>
              <w:spacing w:before="0" w:after="283"/>
              <w:jc w:val="left"/>
              <w:rPr/>
            </w:pPr>
            <w:r>
              <w:rPr/>
              <w:t>)</w:t>
            </w:r>
          </w:p>
        </w:tc>
      </w:tr>
      <w:tr>
        <w:trPr/>
        <w:tc>
          <w:tcPr>
            <w:tcW w:w="1947" w:type="dxa"/>
            <w:tcBorders>
              <w:bottom w:val="single" w:sz="12" w:space="0" w:color="000000"/>
            </w:tcBorders>
            <w:shd w:fill="E6EFFF" w:val="clear"/>
            <w:vAlign w:val="center"/>
          </w:tcPr>
          <w:p>
            <w:pPr>
              <w:pStyle w:val="TableContents"/>
              <w:bidi w:val="0"/>
              <w:spacing w:before="0" w:after="0"/>
              <w:jc w:val="left"/>
              <w:rPr/>
            </w:pPr>
            <w:r>
              <w:rPr/>
              <w:t>Balance, May 31, 2023</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20" w:type="dxa"/>
            <w:tcBorders>
              <w:bottom w:val="single" w:sz="12" w:space="0" w:color="000000"/>
            </w:tcBorders>
            <w:shd w:fill="E6EFFF" w:val="clear"/>
            <w:vAlign w:val="center"/>
          </w:tcPr>
          <w:p>
            <w:pPr>
              <w:pStyle w:val="TableContents"/>
              <w:bidi w:val="0"/>
              <w:spacing w:before="0" w:after="283"/>
              <w:jc w:val="right"/>
              <w:rPr/>
            </w:pPr>
            <w:r>
              <w:rPr/>
              <w:t>321,562,487</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00" w:type="dxa"/>
            <w:tcBorders>
              <w:bottom w:val="single" w:sz="12" w:space="0" w:color="000000"/>
            </w:tcBorders>
            <w:shd w:fill="E6EFFF" w:val="clear"/>
            <w:vAlign w:val="center"/>
          </w:tcPr>
          <w:p>
            <w:pPr>
              <w:pStyle w:val="TableContents"/>
              <w:bidi w:val="0"/>
              <w:spacing w:before="0" w:after="283"/>
              <w:jc w:val="right"/>
              <w:rPr/>
            </w:pPr>
            <w:r>
              <w:rPr/>
              <w:t>69,722,807</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75" w:type="dxa"/>
            <w:tcBorders>
              <w:bottom w:val="single" w:sz="12" w:space="0" w:color="000000"/>
            </w:tcBorders>
            <w:shd w:fill="E6EFFF" w:val="clear"/>
            <w:vAlign w:val="center"/>
          </w:tcPr>
          <w:p>
            <w:pPr>
              <w:pStyle w:val="TableContents"/>
              <w:bidi w:val="0"/>
              <w:spacing w:before="0" w:after="283"/>
              <w:jc w:val="right"/>
              <w:rPr/>
            </w:pPr>
            <w:r>
              <w:rPr/>
              <w:t>4,232,653</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445" w:type="dxa"/>
            <w:tcBorders>
              <w:bottom w:val="single" w:sz="12" w:space="0" w:color="000000"/>
            </w:tcBorders>
            <w:shd w:fill="E6EFFF" w:val="clear"/>
            <w:vAlign w:val="center"/>
          </w:tcPr>
          <w:p>
            <w:pPr>
              <w:pStyle w:val="TableContents"/>
              <w:bidi w:val="0"/>
              <w:spacing w:before="0" w:after="283"/>
              <w:jc w:val="right"/>
              <w:rPr/>
            </w:pPr>
            <w:r>
              <w:rPr/>
              <w:t>(1,664,649</w:t>
            </w:r>
          </w:p>
        </w:tc>
        <w:tc>
          <w:tcPr>
            <w:tcW w:w="95" w:type="dxa"/>
            <w:tcBorders>
              <w:bottom w:val="single" w:sz="12" w:space="0" w:color="000000"/>
            </w:tcBorders>
            <w:shd w:fill="E6EFFF" w:val="clear"/>
            <w:vAlign w:val="center"/>
          </w:tcPr>
          <w:p>
            <w:pPr>
              <w:pStyle w:val="TableContents"/>
              <w:bidi w:val="0"/>
              <w:spacing w:before="0" w:after="283"/>
              <w:jc w:val="left"/>
              <w:rPr/>
            </w:pPr>
            <w:r>
              <w:rPr/>
              <w:t>)</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75" w:type="dxa"/>
            <w:tcBorders>
              <w:bottom w:val="single" w:sz="12" w:space="0" w:color="000000"/>
            </w:tcBorders>
            <w:shd w:fill="E6EFFF" w:val="clear"/>
            <w:vAlign w:val="center"/>
          </w:tcPr>
          <w:p>
            <w:pPr>
              <w:pStyle w:val="TableContents"/>
              <w:bidi w:val="0"/>
              <w:spacing w:before="0" w:after="283"/>
              <w:jc w:val="right"/>
              <w:rPr/>
            </w:pPr>
            <w:r>
              <w:rPr/>
              <w:t>(60,284,194</w:t>
            </w:r>
          </w:p>
        </w:tc>
        <w:tc>
          <w:tcPr>
            <w:tcW w:w="95" w:type="dxa"/>
            <w:tcBorders>
              <w:bottom w:val="single" w:sz="12" w:space="0" w:color="000000"/>
            </w:tcBorders>
            <w:shd w:fill="E6EFFF" w:val="clear"/>
            <w:vAlign w:val="center"/>
          </w:tcPr>
          <w:p>
            <w:pPr>
              <w:pStyle w:val="TableContents"/>
              <w:bidi w:val="0"/>
              <w:spacing w:before="0" w:after="283"/>
              <w:jc w:val="left"/>
              <w:rPr/>
            </w:pPr>
            <w:r>
              <w:rPr/>
              <w:t>)</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302" w:type="dxa"/>
            <w:tcBorders>
              <w:bottom w:val="single" w:sz="12" w:space="0" w:color="000000"/>
            </w:tcBorders>
            <w:shd w:fill="E6EFFF" w:val="clear"/>
            <w:vAlign w:val="center"/>
          </w:tcPr>
          <w:p>
            <w:pPr>
              <w:pStyle w:val="TableContents"/>
              <w:bidi w:val="0"/>
              <w:spacing w:before="0" w:after="283"/>
              <w:jc w:val="right"/>
              <w:rPr/>
            </w:pPr>
            <w:r>
              <w:rPr/>
              <w:t>12,006,617</w:t>
            </w:r>
          </w:p>
        </w:tc>
        <w:tc>
          <w:tcPr>
            <w:tcW w:w="111"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878"/>
        <w:gridCol w:w="60"/>
        <w:gridCol w:w="1220"/>
        <w:gridCol w:w="95"/>
        <w:gridCol w:w="60"/>
        <w:gridCol w:w="1100"/>
        <w:gridCol w:w="95"/>
        <w:gridCol w:w="60"/>
        <w:gridCol w:w="1175"/>
        <w:gridCol w:w="95"/>
        <w:gridCol w:w="60"/>
        <w:gridCol w:w="1445"/>
        <w:gridCol w:w="95"/>
        <w:gridCol w:w="60"/>
        <w:gridCol w:w="1175"/>
        <w:gridCol w:w="95"/>
        <w:gridCol w:w="60"/>
        <w:gridCol w:w="1266"/>
        <w:gridCol w:w="111"/>
      </w:tblGrid>
      <w:tr>
        <w:trPr/>
        <w:tc>
          <w:tcPr>
            <w:tcW w:w="1878" w:type="dxa"/>
            <w:vMerge w:val="restart"/>
            <w:tcBorders>
              <w:bottom w:val="single" w:sz="6" w:space="0" w:color="000000"/>
            </w:tcBorders>
            <w:vAlign w:val="center"/>
          </w:tcPr>
          <w:p>
            <w:pPr>
              <w:pStyle w:val="TableContents"/>
              <w:bidi w:val="0"/>
              <w:spacing w:before="0" w:after="0"/>
              <w:jc w:val="left"/>
              <w:rPr/>
            </w:pPr>
            <w:r>
              <w:rPr/>
              <w:t>Year ended February 28, 2023</w:t>
            </w:r>
          </w:p>
        </w:tc>
        <w:tc>
          <w:tcPr>
            <w:tcW w:w="60" w:type="dxa"/>
            <w:tcBorders>
              <w:bottom w:val="single" w:sz="6" w:space="0" w:color="000000"/>
            </w:tcBorders>
            <w:vAlign w:val="center"/>
          </w:tcPr>
          <w:p>
            <w:pPr>
              <w:pStyle w:val="TableContents"/>
              <w:bidi w:val="0"/>
              <w:spacing w:before="0" w:after="283"/>
              <w:jc w:val="center"/>
              <w:rPr/>
            </w:pPr>
            <w:r>
              <w:rPr/>
              <w:t> </w:t>
            </w:r>
          </w:p>
        </w:tc>
        <w:tc>
          <w:tcPr>
            <w:tcW w:w="2475" w:type="dxa"/>
            <w:gridSpan w:val="4"/>
            <w:tcBorders>
              <w:bottom w:val="single" w:sz="6" w:space="0" w:color="000000"/>
            </w:tcBorders>
            <w:vAlign w:val="center"/>
          </w:tcPr>
          <w:p>
            <w:pPr>
              <w:pStyle w:val="TableContents"/>
              <w:bidi w:val="0"/>
              <w:spacing w:before="0" w:after="283"/>
              <w:jc w:val="center"/>
              <w:rPr/>
            </w:pPr>
            <w:r>
              <w:rPr/>
              <w:br/>
              <w:br/>
              <w:t>Share capital</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vMerge w:val="restart"/>
            <w:tcBorders>
              <w:bottom w:val="single" w:sz="6" w:space="0" w:color="000000"/>
            </w:tcBorders>
            <w:vAlign w:val="center"/>
          </w:tcPr>
          <w:p>
            <w:pPr>
              <w:pStyle w:val="TableContents"/>
              <w:bidi w:val="0"/>
              <w:spacing w:before="0" w:after="283"/>
              <w:jc w:val="center"/>
              <w:rPr/>
            </w:pPr>
            <w:r>
              <w:rPr/>
              <w:t> </w:t>
            </w:r>
          </w:p>
        </w:tc>
        <w:tc>
          <w:tcPr>
            <w:tcW w:w="1175" w:type="dxa"/>
            <w:vMerge w:val="restart"/>
            <w:tcBorders>
              <w:bottom w:val="single" w:sz="6" w:space="0" w:color="000000"/>
            </w:tcBorders>
            <w:vAlign w:val="center"/>
          </w:tcPr>
          <w:p>
            <w:pPr>
              <w:pStyle w:val="TableContents"/>
              <w:bidi w:val="0"/>
              <w:spacing w:before="0" w:after="283"/>
              <w:jc w:val="center"/>
              <w:rPr/>
            </w:pPr>
            <w:r>
              <w:rPr/>
              <w:t>Share-based</w:t>
              <w:br/>
              <w:t>payment</w:t>
              <w:br/>
              <w:t>reserve</w:t>
              <w:br/>
              <w:t>$</w:t>
            </w:r>
          </w:p>
        </w:tc>
        <w:tc>
          <w:tcPr>
            <w:tcW w:w="95" w:type="dxa"/>
            <w:vMerge w:val="restart"/>
            <w:tcBorders>
              <w:bottom w:val="single" w:sz="6" w:space="0" w:color="000000"/>
            </w:tcBorders>
            <w:vAlign w:val="center"/>
          </w:tcPr>
          <w:p>
            <w:pPr>
              <w:pStyle w:val="TableContents"/>
              <w:bidi w:val="0"/>
              <w:spacing w:before="0" w:after="283"/>
              <w:jc w:val="center"/>
              <w:rPr/>
            </w:pPr>
            <w:r>
              <w:rPr/>
              <w:t> </w:t>
            </w:r>
          </w:p>
        </w:tc>
        <w:tc>
          <w:tcPr>
            <w:tcW w:w="60" w:type="dxa"/>
            <w:vMerge w:val="restart"/>
            <w:tcBorders>
              <w:bottom w:val="single" w:sz="6" w:space="0" w:color="000000"/>
            </w:tcBorders>
            <w:vAlign w:val="center"/>
          </w:tcPr>
          <w:p>
            <w:pPr>
              <w:pStyle w:val="TableContents"/>
              <w:bidi w:val="0"/>
              <w:spacing w:before="0" w:after="283"/>
              <w:jc w:val="center"/>
              <w:rPr/>
            </w:pPr>
            <w:r>
              <w:rPr/>
              <w:t> </w:t>
            </w:r>
          </w:p>
        </w:tc>
        <w:tc>
          <w:tcPr>
            <w:tcW w:w="1445" w:type="dxa"/>
            <w:vMerge w:val="restart"/>
            <w:tcBorders>
              <w:bottom w:val="single" w:sz="6" w:space="0" w:color="000000"/>
            </w:tcBorders>
            <w:vAlign w:val="center"/>
          </w:tcPr>
          <w:p>
            <w:pPr>
              <w:pStyle w:val="TableContents"/>
              <w:bidi w:val="0"/>
              <w:spacing w:before="0" w:after="283"/>
              <w:jc w:val="center"/>
              <w:rPr/>
            </w:pPr>
            <w:r>
              <w:rPr/>
              <w:t>Accumulated</w:t>
              <w:br/>
              <w:t>other</w:t>
              <w:br/>
              <w:t>comprehensive</w:t>
              <w:br/>
              <w:t>loss</w:t>
              <w:br/>
              <w:t>$</w:t>
            </w:r>
          </w:p>
        </w:tc>
        <w:tc>
          <w:tcPr>
            <w:tcW w:w="95" w:type="dxa"/>
            <w:vMerge w:val="restart"/>
            <w:tcBorders>
              <w:bottom w:val="single" w:sz="6" w:space="0" w:color="000000"/>
            </w:tcBorders>
            <w:vAlign w:val="center"/>
          </w:tcPr>
          <w:p>
            <w:pPr>
              <w:pStyle w:val="TableContents"/>
              <w:bidi w:val="0"/>
              <w:spacing w:before="0" w:after="283"/>
              <w:jc w:val="center"/>
              <w:rPr/>
            </w:pPr>
            <w:r>
              <w:rPr/>
              <w:t> </w:t>
            </w:r>
          </w:p>
        </w:tc>
        <w:tc>
          <w:tcPr>
            <w:tcW w:w="60" w:type="dxa"/>
            <w:vMerge w:val="restart"/>
            <w:tcBorders>
              <w:bottom w:val="single" w:sz="6" w:space="0" w:color="000000"/>
            </w:tcBorders>
            <w:vAlign w:val="center"/>
          </w:tcPr>
          <w:p>
            <w:pPr>
              <w:pStyle w:val="TableContents"/>
              <w:bidi w:val="0"/>
              <w:spacing w:before="0" w:after="283"/>
              <w:jc w:val="center"/>
              <w:rPr/>
            </w:pPr>
            <w:r>
              <w:rPr/>
              <w:t> </w:t>
            </w:r>
          </w:p>
        </w:tc>
        <w:tc>
          <w:tcPr>
            <w:tcW w:w="1175" w:type="dxa"/>
            <w:vMerge w:val="restart"/>
            <w:tcBorders>
              <w:bottom w:val="single" w:sz="6" w:space="0" w:color="000000"/>
            </w:tcBorders>
            <w:vAlign w:val="center"/>
          </w:tcPr>
          <w:p>
            <w:pPr>
              <w:pStyle w:val="TableContents"/>
              <w:bidi w:val="0"/>
              <w:spacing w:before="0" w:after="283"/>
              <w:jc w:val="center"/>
              <w:rPr/>
            </w:pPr>
            <w:r>
              <w:rPr/>
              <w:t>Deficit</w:t>
              <w:br/>
              <w:t>$</w:t>
            </w:r>
          </w:p>
        </w:tc>
        <w:tc>
          <w:tcPr>
            <w:tcW w:w="95" w:type="dxa"/>
            <w:vMerge w:val="restart"/>
            <w:tcBorders>
              <w:bottom w:val="single" w:sz="6" w:space="0" w:color="000000"/>
            </w:tcBorders>
            <w:vAlign w:val="center"/>
          </w:tcPr>
          <w:p>
            <w:pPr>
              <w:pStyle w:val="TableContents"/>
              <w:bidi w:val="0"/>
              <w:spacing w:before="0" w:after="283"/>
              <w:jc w:val="center"/>
              <w:rPr/>
            </w:pPr>
            <w:r>
              <w:rPr/>
              <w:t> </w:t>
            </w:r>
          </w:p>
        </w:tc>
        <w:tc>
          <w:tcPr>
            <w:tcW w:w="60" w:type="dxa"/>
            <w:vMerge w:val="restart"/>
            <w:tcBorders>
              <w:bottom w:val="single" w:sz="6" w:space="0" w:color="000000"/>
            </w:tcBorders>
            <w:vAlign w:val="center"/>
          </w:tcPr>
          <w:p>
            <w:pPr>
              <w:pStyle w:val="TableContents"/>
              <w:bidi w:val="0"/>
              <w:spacing w:before="0" w:after="283"/>
              <w:jc w:val="center"/>
              <w:rPr/>
            </w:pPr>
            <w:r>
              <w:rPr/>
              <w:t> </w:t>
            </w:r>
          </w:p>
        </w:tc>
        <w:tc>
          <w:tcPr>
            <w:tcW w:w="1266" w:type="dxa"/>
            <w:vMerge w:val="restart"/>
            <w:tcBorders>
              <w:bottom w:val="single" w:sz="6" w:space="0" w:color="000000"/>
            </w:tcBorders>
            <w:vAlign w:val="center"/>
          </w:tcPr>
          <w:p>
            <w:pPr>
              <w:pStyle w:val="TableContents"/>
              <w:bidi w:val="0"/>
              <w:spacing w:before="0" w:after="283"/>
              <w:jc w:val="center"/>
              <w:rPr/>
            </w:pPr>
            <w:r>
              <w:rPr/>
              <w:t>Total</w:t>
              <w:br/>
              <w:t>shareholders'</w:t>
              <w:br/>
              <w:t>equity (deficit)</w:t>
              <w:br/>
              <w:t>$</w:t>
            </w:r>
          </w:p>
        </w:tc>
        <w:tc>
          <w:tcPr>
            <w:tcW w:w="111" w:type="dxa"/>
            <w:vMerge w:val="restart"/>
            <w:tcBorders>
              <w:bottom w:val="single" w:sz="6" w:space="0" w:color="000000"/>
            </w:tcBorders>
            <w:vAlign w:val="center"/>
          </w:tcPr>
          <w:p>
            <w:pPr>
              <w:pStyle w:val="TableContents"/>
              <w:bidi w:val="0"/>
              <w:spacing w:before="0" w:after="283"/>
              <w:jc w:val="center"/>
              <w:rPr/>
            </w:pPr>
            <w:r>
              <w:rPr/>
              <w:t> </w:t>
            </w:r>
          </w:p>
        </w:tc>
      </w:tr>
      <w:tr>
        <w:trPr/>
        <w:tc>
          <w:tcPr>
            <w:tcW w:w="1878" w:type="dxa"/>
            <w:vMerge w:val="continue"/>
            <w:tcBorders>
              <w:bottom w:val="single" w:sz="6" w:space="0" w:color="000000"/>
            </w:tcBorders>
            <w:vAlign w:val="center"/>
          </w:tcPr>
          <w:p>
            <w:pPr>
              <w:pStyle w:val="Normal"/>
              <w:bidi w:val="0"/>
              <w:jc w:val="left"/>
              <w:rPr/>
            </w:pPr>
            <w:r>
              <w:rPr/>
            </w:r>
          </w:p>
        </w:tc>
        <w:tc>
          <w:tcPr>
            <w:tcW w:w="6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 </w:t>
            </w:r>
          </w:p>
        </w:tc>
        <w:tc>
          <w:tcPr>
            <w:tcW w:w="122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Number of</w:t>
              <w:br/>
              <w:t>shares</w:t>
            </w:r>
          </w:p>
        </w:tc>
        <w:tc>
          <w:tcPr>
            <w:tcW w:w="95"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 </w:t>
            </w:r>
          </w:p>
        </w:tc>
        <w:tc>
          <w:tcPr>
            <w:tcW w:w="6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 </w:t>
            </w:r>
          </w:p>
        </w:tc>
        <w:tc>
          <w:tcPr>
            <w:tcW w:w="110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Amount</w:t>
              <w:br/>
              <w:t>$</w:t>
            </w:r>
          </w:p>
        </w:tc>
        <w:tc>
          <w:tcPr>
            <w:tcW w:w="95"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 </w:t>
            </w:r>
          </w:p>
        </w:tc>
        <w:tc>
          <w:tcPr>
            <w:tcW w:w="60" w:type="dxa"/>
            <w:vMerge w:val="continue"/>
            <w:tcBorders>
              <w:bottom w:val="single" w:sz="6" w:space="0" w:color="000000"/>
            </w:tcBorders>
            <w:vAlign w:val="center"/>
          </w:tcPr>
          <w:p>
            <w:pPr>
              <w:pStyle w:val="Normal"/>
              <w:bidi w:val="0"/>
              <w:jc w:val="left"/>
              <w:rPr/>
            </w:pPr>
            <w:r>
              <w:rPr/>
            </w:r>
          </w:p>
        </w:tc>
        <w:tc>
          <w:tcPr>
            <w:tcW w:w="1175" w:type="dxa"/>
            <w:vMerge w:val="continue"/>
            <w:tcBorders>
              <w:bottom w:val="single" w:sz="6" w:space="0" w:color="000000"/>
            </w:tcBorders>
            <w:vAlign w:val="center"/>
          </w:tcPr>
          <w:p>
            <w:pPr>
              <w:pStyle w:val="Normal"/>
              <w:bidi w:val="0"/>
              <w:jc w:val="left"/>
              <w:rPr/>
            </w:pPr>
            <w:r>
              <w:rPr/>
            </w:r>
          </w:p>
        </w:tc>
        <w:tc>
          <w:tcPr>
            <w:tcW w:w="95" w:type="dxa"/>
            <w:vMerge w:val="continue"/>
            <w:tcBorders>
              <w:bottom w:val="single" w:sz="6" w:space="0" w:color="000000"/>
            </w:tcBorders>
            <w:vAlign w:val="center"/>
          </w:tcPr>
          <w:p>
            <w:pPr>
              <w:pStyle w:val="Normal"/>
              <w:bidi w:val="0"/>
              <w:jc w:val="left"/>
              <w:rPr/>
            </w:pPr>
            <w:r>
              <w:rPr/>
            </w:r>
          </w:p>
        </w:tc>
        <w:tc>
          <w:tcPr>
            <w:tcW w:w="60" w:type="dxa"/>
            <w:vMerge w:val="continue"/>
            <w:tcBorders>
              <w:bottom w:val="single" w:sz="6" w:space="0" w:color="000000"/>
            </w:tcBorders>
            <w:vAlign w:val="center"/>
          </w:tcPr>
          <w:p>
            <w:pPr>
              <w:pStyle w:val="Normal"/>
              <w:bidi w:val="0"/>
              <w:jc w:val="left"/>
              <w:rPr/>
            </w:pPr>
            <w:r>
              <w:rPr/>
            </w:r>
          </w:p>
        </w:tc>
        <w:tc>
          <w:tcPr>
            <w:tcW w:w="1445" w:type="dxa"/>
            <w:vMerge w:val="continue"/>
            <w:tcBorders>
              <w:bottom w:val="single" w:sz="6" w:space="0" w:color="000000"/>
            </w:tcBorders>
            <w:vAlign w:val="center"/>
          </w:tcPr>
          <w:p>
            <w:pPr>
              <w:pStyle w:val="Normal"/>
              <w:bidi w:val="0"/>
              <w:jc w:val="left"/>
              <w:rPr/>
            </w:pPr>
            <w:r>
              <w:rPr/>
            </w:r>
          </w:p>
        </w:tc>
        <w:tc>
          <w:tcPr>
            <w:tcW w:w="95" w:type="dxa"/>
            <w:vMerge w:val="continue"/>
            <w:tcBorders>
              <w:bottom w:val="single" w:sz="6" w:space="0" w:color="000000"/>
            </w:tcBorders>
            <w:vAlign w:val="center"/>
          </w:tcPr>
          <w:p>
            <w:pPr>
              <w:pStyle w:val="Normal"/>
              <w:bidi w:val="0"/>
              <w:jc w:val="left"/>
              <w:rPr/>
            </w:pPr>
            <w:r>
              <w:rPr/>
            </w:r>
          </w:p>
        </w:tc>
        <w:tc>
          <w:tcPr>
            <w:tcW w:w="60" w:type="dxa"/>
            <w:vMerge w:val="continue"/>
            <w:tcBorders>
              <w:bottom w:val="single" w:sz="6" w:space="0" w:color="000000"/>
            </w:tcBorders>
            <w:vAlign w:val="center"/>
          </w:tcPr>
          <w:p>
            <w:pPr>
              <w:pStyle w:val="Normal"/>
              <w:bidi w:val="0"/>
              <w:jc w:val="left"/>
              <w:rPr/>
            </w:pPr>
            <w:r>
              <w:rPr/>
            </w:r>
          </w:p>
        </w:tc>
        <w:tc>
          <w:tcPr>
            <w:tcW w:w="1175" w:type="dxa"/>
            <w:vMerge w:val="continue"/>
            <w:tcBorders>
              <w:bottom w:val="single" w:sz="6" w:space="0" w:color="000000"/>
            </w:tcBorders>
            <w:vAlign w:val="center"/>
          </w:tcPr>
          <w:p>
            <w:pPr>
              <w:pStyle w:val="Normal"/>
              <w:bidi w:val="0"/>
              <w:jc w:val="left"/>
              <w:rPr/>
            </w:pPr>
            <w:r>
              <w:rPr/>
            </w:r>
          </w:p>
        </w:tc>
        <w:tc>
          <w:tcPr>
            <w:tcW w:w="95" w:type="dxa"/>
            <w:vMerge w:val="continue"/>
            <w:tcBorders>
              <w:bottom w:val="single" w:sz="6" w:space="0" w:color="000000"/>
            </w:tcBorders>
            <w:vAlign w:val="center"/>
          </w:tcPr>
          <w:p>
            <w:pPr>
              <w:pStyle w:val="Normal"/>
              <w:bidi w:val="0"/>
              <w:jc w:val="left"/>
              <w:rPr/>
            </w:pPr>
            <w:r>
              <w:rPr/>
            </w:r>
          </w:p>
        </w:tc>
        <w:tc>
          <w:tcPr>
            <w:tcW w:w="60" w:type="dxa"/>
            <w:vMerge w:val="continue"/>
            <w:tcBorders>
              <w:bottom w:val="single" w:sz="6" w:space="0" w:color="000000"/>
            </w:tcBorders>
            <w:vAlign w:val="center"/>
          </w:tcPr>
          <w:p>
            <w:pPr>
              <w:pStyle w:val="Normal"/>
              <w:bidi w:val="0"/>
              <w:jc w:val="left"/>
              <w:rPr/>
            </w:pPr>
            <w:r>
              <w:rPr/>
            </w:r>
          </w:p>
        </w:tc>
        <w:tc>
          <w:tcPr>
            <w:tcW w:w="1266" w:type="dxa"/>
            <w:vMerge w:val="continue"/>
            <w:tcBorders>
              <w:bottom w:val="single" w:sz="6" w:space="0" w:color="000000"/>
            </w:tcBorders>
            <w:vAlign w:val="center"/>
          </w:tcPr>
          <w:p>
            <w:pPr>
              <w:pStyle w:val="Normal"/>
              <w:bidi w:val="0"/>
              <w:jc w:val="left"/>
              <w:rPr/>
            </w:pPr>
            <w:r>
              <w:rPr/>
            </w:r>
          </w:p>
        </w:tc>
        <w:tc>
          <w:tcPr>
            <w:tcW w:w="111" w:type="dxa"/>
            <w:vMerge w:val="continue"/>
            <w:tcBorders>
              <w:bottom w:val="single" w:sz="6" w:space="0" w:color="000000"/>
            </w:tcBorders>
            <w:vAlign w:val="center"/>
          </w:tcPr>
          <w:p>
            <w:pPr>
              <w:pStyle w:val="Normal"/>
              <w:bidi w:val="0"/>
              <w:jc w:val="left"/>
              <w:rPr/>
            </w:pPr>
            <w:r>
              <w:rPr/>
            </w:r>
          </w:p>
        </w:tc>
      </w:tr>
      <w:tr>
        <w:trPr/>
        <w:tc>
          <w:tcPr>
            <w:tcW w:w="1878" w:type="dxa"/>
            <w:tcBorders/>
            <w:tcMar>
              <w:bottom w:w="0" w:type="dxa"/>
            </w:tcMar>
            <w:vAlign w:val="center"/>
          </w:tcPr>
          <w:p>
            <w:pPr>
              <w:pStyle w:val="TableContents"/>
              <w:bidi w:val="0"/>
              <w:spacing w:before="0" w:after="0"/>
              <w:jc w:val="lef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22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0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7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44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7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266"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1" w:type="dxa"/>
            <w:tcBorders>
              <w:top w:val="single" w:sz="6" w:space="0" w:color="000000"/>
            </w:tcBorders>
            <w:tcMar>
              <w:top w:w="28" w:type="dxa"/>
              <w:bottom w:w="0" w:type="dxa"/>
            </w:tcMar>
            <w:vAlign w:val="center"/>
          </w:tcPr>
          <w:p>
            <w:pPr>
              <w:pStyle w:val="TableContents"/>
              <w:bidi w:val="0"/>
              <w:spacing w:before="0" w:after="283"/>
              <w:ind w:left="0" w:right="0" w:hanging="180"/>
              <w:jc w:val="center"/>
              <w:rPr/>
            </w:pPr>
            <w:r>
              <w:rPr/>
              <w:t> </w:t>
            </w:r>
          </w:p>
        </w:tc>
      </w:tr>
      <w:tr>
        <w:trPr/>
        <w:tc>
          <w:tcPr>
            <w:tcW w:w="1878" w:type="dxa"/>
            <w:tcBorders/>
            <w:shd w:fill="E6EFFF" w:val="clear"/>
            <w:tcMar>
              <w:bottom w:w="0" w:type="dxa"/>
            </w:tcMar>
            <w:vAlign w:val="center"/>
          </w:tcPr>
          <w:p>
            <w:pPr>
              <w:pStyle w:val="TableContents"/>
              <w:bidi w:val="0"/>
              <w:spacing w:before="0" w:after="283"/>
              <w:jc w:val="left"/>
              <w:rPr/>
            </w:pPr>
            <w:r>
              <w:rPr/>
              <w:t>Balance, March 1, 2022</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20" w:type="dxa"/>
            <w:tcBorders/>
            <w:shd w:fill="E6EFFF" w:val="clear"/>
            <w:tcMar>
              <w:bottom w:w="0" w:type="dxa"/>
            </w:tcMar>
            <w:vAlign w:val="center"/>
          </w:tcPr>
          <w:p>
            <w:pPr>
              <w:pStyle w:val="TableContents"/>
              <w:bidi w:val="0"/>
              <w:spacing w:before="0" w:after="283"/>
              <w:jc w:val="right"/>
              <w:rPr/>
            </w:pPr>
            <w:r>
              <w:rPr/>
              <w:t>319,625,487</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00" w:type="dxa"/>
            <w:tcBorders/>
            <w:shd w:fill="E6EFFF" w:val="clear"/>
            <w:tcMar>
              <w:bottom w:w="0" w:type="dxa"/>
            </w:tcMar>
            <w:vAlign w:val="center"/>
          </w:tcPr>
          <w:p>
            <w:pPr>
              <w:pStyle w:val="TableContents"/>
              <w:bidi w:val="0"/>
              <w:spacing w:before="0" w:after="283"/>
              <w:jc w:val="right"/>
              <w:rPr/>
            </w:pPr>
            <w:r>
              <w:rPr/>
              <w:t>69,970,184</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3,009,042</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445" w:type="dxa"/>
            <w:tcBorders/>
            <w:shd w:fill="E6EFFF" w:val="clear"/>
            <w:tcMar>
              <w:bottom w:w="0" w:type="dxa"/>
            </w:tcMar>
            <w:vAlign w:val="center"/>
          </w:tcPr>
          <w:p>
            <w:pPr>
              <w:pStyle w:val="TableContents"/>
              <w:bidi w:val="0"/>
              <w:spacing w:before="0" w:after="283"/>
              <w:jc w:val="right"/>
              <w:rPr/>
            </w:pPr>
            <w:r>
              <w:rPr/>
              <w:t>(193,657</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(31,708,958</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66" w:type="dxa"/>
            <w:tcBorders/>
            <w:shd w:fill="E6EFFF" w:val="clear"/>
            <w:tcMar>
              <w:bottom w:w="0" w:type="dxa"/>
            </w:tcMar>
            <w:vAlign w:val="center"/>
          </w:tcPr>
          <w:p>
            <w:pPr>
              <w:pStyle w:val="TableContents"/>
              <w:bidi w:val="0"/>
              <w:spacing w:before="0" w:after="283"/>
              <w:jc w:val="right"/>
              <w:rPr/>
            </w:pPr>
            <w:r>
              <w:rPr/>
              <w:t>41,076,611</w:t>
            </w:r>
          </w:p>
        </w:tc>
        <w:tc>
          <w:tcPr>
            <w:tcW w:w="111" w:type="dxa"/>
            <w:tcBorders/>
            <w:shd w:fill="E6EFFF" w:val="clear"/>
            <w:tcMar>
              <w:bottom w:w="0" w:type="dxa"/>
            </w:tcMar>
            <w:vAlign w:val="center"/>
          </w:tcPr>
          <w:p>
            <w:pPr>
              <w:pStyle w:val="TableContents"/>
              <w:bidi w:val="0"/>
              <w:spacing w:before="0" w:after="283"/>
              <w:ind w:left="0" w:right="0" w:hanging="284"/>
              <w:jc w:val="left"/>
              <w:rPr/>
            </w:pPr>
            <w:r>
              <w:rPr/>
              <w:t> </w:t>
            </w:r>
          </w:p>
        </w:tc>
      </w:tr>
      <w:tr>
        <w:trPr/>
        <w:tc>
          <w:tcPr>
            <w:tcW w:w="1878" w:type="dxa"/>
            <w:tcBorders/>
            <w:tcMar>
              <w:bottom w:w="0" w:type="dxa"/>
            </w:tcMar>
            <w:vAlign w:val="center"/>
          </w:tcPr>
          <w:p>
            <w:pPr>
              <w:pStyle w:val="TableContents"/>
              <w:bidi w:val="0"/>
              <w:spacing w:before="0" w:after="283"/>
              <w:jc w:val="left"/>
              <w:rPr/>
            </w:pPr>
            <w:r>
              <w:rPr/>
              <w:t>Shares issued pursuant to exercise of stock options</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3,725,000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140,307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(80,441</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6" w:type="dxa"/>
            <w:tcBorders/>
            <w:tcMar>
              <w:bottom w:w="0" w:type="dxa"/>
            </w:tcMar>
            <w:vAlign w:val="center"/>
          </w:tcPr>
          <w:p>
            <w:pPr>
              <w:pStyle w:val="TableContents"/>
              <w:bidi w:val="0"/>
              <w:spacing w:before="0" w:after="283"/>
              <w:jc w:val="right"/>
              <w:rPr/>
            </w:pPr>
            <w:r>
              <w:rPr/>
              <w:t>59,866</w:t>
            </w:r>
          </w:p>
        </w:tc>
        <w:tc>
          <w:tcPr>
            <w:tcW w:w="111" w:type="dxa"/>
            <w:tcBorders/>
            <w:tcMar>
              <w:bottom w:w="0" w:type="dxa"/>
            </w:tcMar>
            <w:vAlign w:val="center"/>
          </w:tcPr>
          <w:p>
            <w:pPr>
              <w:pStyle w:val="TableContents"/>
              <w:bidi w:val="0"/>
              <w:spacing w:before="0" w:after="283"/>
              <w:ind w:left="0" w:right="0" w:hanging="284"/>
              <w:jc w:val="left"/>
              <w:rPr/>
            </w:pPr>
            <w:r>
              <w:rPr/>
              <w:t> </w:t>
            </w:r>
          </w:p>
        </w:tc>
      </w:tr>
      <w:tr>
        <w:trPr/>
        <w:tc>
          <w:tcPr>
            <w:tcW w:w="1878" w:type="dxa"/>
            <w:tcBorders/>
            <w:shd w:fill="E6EFFF" w:val="clear"/>
            <w:tcMar>
              <w:bottom w:w="0" w:type="dxa"/>
            </w:tcMar>
            <w:vAlign w:val="center"/>
          </w:tcPr>
          <w:p>
            <w:pPr>
              <w:pStyle w:val="TableContents"/>
              <w:bidi w:val="0"/>
              <w:spacing w:before="0" w:after="283"/>
              <w:jc w:val="left"/>
              <w:rPr/>
            </w:pPr>
            <w:r>
              <w:rPr/>
              <w:t>Purchase of shares through normal course issuer bid for cancellation (Note 7 (b))</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20" w:type="dxa"/>
            <w:tcBorders/>
            <w:shd w:fill="E6EFFF" w:val="clear"/>
            <w:tcMar>
              <w:bottom w:w="0" w:type="dxa"/>
            </w:tcMar>
            <w:vAlign w:val="center"/>
          </w:tcPr>
          <w:p>
            <w:pPr>
              <w:pStyle w:val="TableContents"/>
              <w:bidi w:val="0"/>
              <w:spacing w:before="0" w:after="283"/>
              <w:jc w:val="right"/>
              <w:rPr/>
            </w:pPr>
            <w:r>
              <w:rPr/>
              <w:t>(1,788,000</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00" w:type="dxa"/>
            <w:tcBorders/>
            <w:shd w:fill="E6EFFF" w:val="clear"/>
            <w:tcMar>
              <w:bottom w:w="0" w:type="dxa"/>
            </w:tcMar>
            <w:vAlign w:val="center"/>
          </w:tcPr>
          <w:p>
            <w:pPr>
              <w:pStyle w:val="TableContents"/>
              <w:bidi w:val="0"/>
              <w:spacing w:before="0" w:after="283"/>
              <w:jc w:val="right"/>
              <w:rPr/>
            </w:pPr>
            <w:r>
              <w:rPr/>
              <w:t>(387,684</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445" w:type="dxa"/>
            <w:tcBorders/>
            <w:shd w:fill="E6EFFF" w:val="clear"/>
            <w:tcMar>
              <w:bottom w:w="0" w:type="dxa"/>
            </w:tcMar>
            <w:vAlign w:val="center"/>
          </w:tcPr>
          <w:p>
            <w:pPr>
              <w:pStyle w:val="TableContents"/>
              <w:bidi w:val="0"/>
              <w:spacing w:before="0" w:after="283"/>
              <w:jc w:val="right"/>
              <w:rPr/>
            </w:pPr>
            <w:r>
              <w:rPr/>
              <w:t>-</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(95,356</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66" w:type="dxa"/>
            <w:tcBorders/>
            <w:shd w:fill="E6EFFF" w:val="clear"/>
            <w:tcMar>
              <w:bottom w:w="0" w:type="dxa"/>
            </w:tcMar>
            <w:vAlign w:val="center"/>
          </w:tcPr>
          <w:p>
            <w:pPr>
              <w:pStyle w:val="TableContents"/>
              <w:bidi w:val="0"/>
              <w:spacing w:before="0" w:after="283"/>
              <w:jc w:val="right"/>
              <w:rPr/>
            </w:pPr>
            <w:r>
              <w:rPr/>
              <w:t>(483,040</w:t>
            </w:r>
          </w:p>
        </w:tc>
        <w:tc>
          <w:tcPr>
            <w:tcW w:w="111" w:type="dxa"/>
            <w:tcBorders/>
            <w:shd w:fill="E6EFFF" w:val="clear"/>
            <w:tcMar>
              <w:bottom w:w="0" w:type="dxa"/>
            </w:tcMar>
            <w:vAlign w:val="center"/>
          </w:tcPr>
          <w:p>
            <w:pPr>
              <w:pStyle w:val="TableContents"/>
              <w:bidi w:val="0"/>
              <w:spacing w:before="0" w:after="283"/>
              <w:ind w:left="0" w:right="0" w:hanging="284"/>
              <w:jc w:val="left"/>
              <w:rPr/>
            </w:pPr>
            <w:r>
              <w:rPr/>
              <w:t>)</w:t>
            </w:r>
          </w:p>
        </w:tc>
      </w:tr>
      <w:tr>
        <w:trPr/>
        <w:tc>
          <w:tcPr>
            <w:tcW w:w="1878" w:type="dxa"/>
            <w:tcBorders/>
            <w:tcMar>
              <w:bottom w:w="0" w:type="dxa"/>
            </w:tcMar>
            <w:vAlign w:val="center"/>
          </w:tcPr>
          <w:p>
            <w:pPr>
              <w:pStyle w:val="TableContents"/>
              <w:bidi w:val="0"/>
              <w:spacing w:before="0" w:after="283"/>
              <w:jc w:val="left"/>
              <w:rPr/>
            </w:pPr>
            <w:r>
              <w:rPr/>
              <w:t>Share-based payment expense</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1,188,611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6" w:type="dxa"/>
            <w:tcBorders/>
            <w:tcMar>
              <w:bottom w:w="0" w:type="dxa"/>
            </w:tcMar>
            <w:vAlign w:val="center"/>
          </w:tcPr>
          <w:p>
            <w:pPr>
              <w:pStyle w:val="TableContents"/>
              <w:bidi w:val="0"/>
              <w:spacing w:before="0" w:after="283"/>
              <w:jc w:val="right"/>
              <w:rPr/>
            </w:pPr>
            <w:r>
              <w:rPr/>
              <w:t>1,188,611</w:t>
            </w:r>
          </w:p>
        </w:tc>
        <w:tc>
          <w:tcPr>
            <w:tcW w:w="111" w:type="dxa"/>
            <w:tcBorders/>
            <w:tcMar>
              <w:bottom w:w="0" w:type="dxa"/>
            </w:tcMar>
            <w:vAlign w:val="center"/>
          </w:tcPr>
          <w:p>
            <w:pPr>
              <w:pStyle w:val="TableContents"/>
              <w:bidi w:val="0"/>
              <w:spacing w:before="0" w:after="283"/>
              <w:ind w:left="0" w:right="0" w:hanging="284"/>
              <w:jc w:val="left"/>
              <w:rPr/>
            </w:pPr>
            <w:r>
              <w:rPr/>
              <w:t> </w:t>
            </w:r>
          </w:p>
        </w:tc>
      </w:tr>
      <w:tr>
        <w:trPr/>
        <w:tc>
          <w:tcPr>
            <w:tcW w:w="1878" w:type="dxa"/>
            <w:tcBorders/>
            <w:shd w:fill="E6EFFF" w:val="clear"/>
            <w:tcMar>
              <w:bottom w:w="0" w:type="dxa"/>
            </w:tcMar>
            <w:vAlign w:val="center"/>
          </w:tcPr>
          <w:p>
            <w:pPr>
              <w:pStyle w:val="TableContents"/>
              <w:bidi w:val="0"/>
              <w:spacing w:before="0" w:after="283"/>
              <w:jc w:val="left"/>
              <w:rPr/>
            </w:pPr>
            <w:r>
              <w:rPr/>
              <w:t>Foreign currency translation loss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20" w:type="dxa"/>
            <w:tcBorders/>
            <w:shd w:fill="E6EFFF" w:val="clear"/>
            <w:tcMar>
              <w:bottom w:w="0" w:type="dxa"/>
            </w:tcMar>
            <w:vAlign w:val="center"/>
          </w:tcPr>
          <w:p>
            <w:pPr>
              <w:pStyle w:val="TableContents"/>
              <w:bidi w:val="0"/>
              <w:spacing w:before="0" w:after="283"/>
              <w:jc w:val="right"/>
              <w:rPr/>
            </w:pPr>
            <w:r>
              <w:rPr/>
              <w:t>-</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00" w:type="dxa"/>
            <w:tcBorders/>
            <w:shd w:fill="E6EFFF" w:val="clear"/>
            <w:tcMar>
              <w:bottom w:w="0" w:type="dxa"/>
            </w:tcMar>
            <w:vAlign w:val="center"/>
          </w:tcPr>
          <w:p>
            <w:pPr>
              <w:pStyle w:val="TableContents"/>
              <w:bidi w:val="0"/>
              <w:spacing w:before="0" w:after="283"/>
              <w:jc w:val="right"/>
              <w:rPr/>
            </w:pPr>
            <w:r>
              <w:rPr/>
              <w:t>-</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445" w:type="dxa"/>
            <w:tcBorders/>
            <w:shd w:fill="E6EFFF" w:val="clear"/>
            <w:tcMar>
              <w:bottom w:w="0" w:type="dxa"/>
            </w:tcMar>
            <w:vAlign w:val="center"/>
          </w:tcPr>
          <w:p>
            <w:pPr>
              <w:pStyle w:val="TableContents"/>
              <w:bidi w:val="0"/>
              <w:spacing w:before="0" w:after="283"/>
              <w:jc w:val="right"/>
              <w:rPr/>
            </w:pPr>
            <w:r>
              <w:rPr/>
              <w:t>(1,849,354</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66" w:type="dxa"/>
            <w:tcBorders/>
            <w:shd w:fill="E6EFFF" w:val="clear"/>
            <w:tcMar>
              <w:bottom w:w="0" w:type="dxa"/>
            </w:tcMar>
            <w:vAlign w:val="center"/>
          </w:tcPr>
          <w:p>
            <w:pPr>
              <w:pStyle w:val="TableContents"/>
              <w:bidi w:val="0"/>
              <w:spacing w:before="0" w:after="283"/>
              <w:jc w:val="right"/>
              <w:rPr/>
            </w:pPr>
            <w:r>
              <w:rPr/>
              <w:t>(1,849,354</w:t>
            </w:r>
          </w:p>
        </w:tc>
        <w:tc>
          <w:tcPr>
            <w:tcW w:w="111" w:type="dxa"/>
            <w:tcBorders/>
            <w:shd w:fill="E6EFFF" w:val="clear"/>
            <w:tcMar>
              <w:bottom w:w="0" w:type="dxa"/>
            </w:tcMar>
            <w:vAlign w:val="center"/>
          </w:tcPr>
          <w:p>
            <w:pPr>
              <w:pStyle w:val="TableContents"/>
              <w:bidi w:val="0"/>
              <w:spacing w:before="0" w:after="283"/>
              <w:ind w:left="0" w:right="0" w:hanging="284"/>
              <w:jc w:val="left"/>
              <w:rPr/>
            </w:pPr>
            <w:r>
              <w:rPr/>
              <w:t>)</w:t>
            </w:r>
          </w:p>
        </w:tc>
      </w:tr>
      <w:tr>
        <w:trPr/>
        <w:tc>
          <w:tcPr>
            <w:tcW w:w="1878" w:type="dxa"/>
            <w:tcBorders>
              <w:bottom w:val="single" w:sz="6" w:space="0" w:color="000000"/>
            </w:tcBorders>
            <w:vAlign w:val="center"/>
          </w:tcPr>
          <w:p>
            <w:pPr>
              <w:pStyle w:val="TableContents"/>
              <w:bidi w:val="0"/>
              <w:spacing w:before="0" w:after="283"/>
              <w:jc w:val="left"/>
              <w:rPr/>
            </w:pPr>
            <w:r>
              <w:rPr/>
              <w:t>Net loss for the year</w:t>
            </w:r>
          </w:p>
        </w:tc>
        <w:tc>
          <w:tcPr>
            <w:tcW w:w="60" w:type="dxa"/>
            <w:tcBorders>
              <w:bottom w:val="single" w:sz="6" w:space="0" w:color="000000"/>
            </w:tcBorders>
            <w:vAlign w:val="center"/>
          </w:tcPr>
          <w:p>
            <w:pPr>
              <w:pStyle w:val="TableContents"/>
              <w:bidi w:val="0"/>
              <w:spacing w:before="0" w:after="283"/>
              <w:jc w:val="left"/>
              <w:rPr/>
            </w:pPr>
            <w:r>
              <w:rPr/>
              <w:t> </w:t>
            </w:r>
          </w:p>
        </w:tc>
        <w:tc>
          <w:tcPr>
            <w:tcW w:w="1220" w:type="dxa"/>
            <w:tcBorders>
              <w:bottom w:val="single" w:sz="6" w:space="0" w:color="000000"/>
            </w:tcBorders>
            <w:vAlign w:val="center"/>
          </w:tcPr>
          <w:p>
            <w:pPr>
              <w:pStyle w:val="TableContents"/>
              <w:bidi w:val="0"/>
              <w:spacing w:before="0" w:after="283"/>
              <w:jc w:val="right"/>
              <w:rPr/>
            </w:pPr>
            <w:r>
              <w:rPr/>
              <w:t>-</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100" w:type="dxa"/>
            <w:tcBorders>
              <w:bottom w:val="single" w:sz="6" w:space="0" w:color="000000"/>
            </w:tcBorders>
            <w:vAlign w:val="center"/>
          </w:tcPr>
          <w:p>
            <w:pPr>
              <w:pStyle w:val="TableContents"/>
              <w:bidi w:val="0"/>
              <w:spacing w:before="0" w:after="283"/>
              <w:jc w:val="right"/>
              <w:rPr/>
            </w:pPr>
            <w:r>
              <w:rPr/>
              <w:t>-</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175" w:type="dxa"/>
            <w:tcBorders>
              <w:bottom w:val="single" w:sz="6" w:space="0" w:color="000000"/>
            </w:tcBorders>
            <w:vAlign w:val="center"/>
          </w:tcPr>
          <w:p>
            <w:pPr>
              <w:pStyle w:val="TableContents"/>
              <w:bidi w:val="0"/>
              <w:spacing w:before="0" w:after="283"/>
              <w:jc w:val="right"/>
              <w:rPr/>
            </w:pPr>
            <w:r>
              <w:rPr/>
              <w:t>-</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445" w:type="dxa"/>
            <w:tcBorders>
              <w:bottom w:val="single" w:sz="6" w:space="0" w:color="000000"/>
            </w:tcBorders>
            <w:vAlign w:val="center"/>
          </w:tcPr>
          <w:p>
            <w:pPr>
              <w:pStyle w:val="TableContents"/>
              <w:bidi w:val="0"/>
              <w:spacing w:before="0" w:after="283"/>
              <w:jc w:val="right"/>
              <w:rPr/>
            </w:pPr>
            <w:r>
              <w:rPr/>
              <w:t>-</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175" w:type="dxa"/>
            <w:tcBorders>
              <w:bottom w:val="single" w:sz="6" w:space="0" w:color="000000"/>
            </w:tcBorders>
            <w:vAlign w:val="center"/>
          </w:tcPr>
          <w:p>
            <w:pPr>
              <w:pStyle w:val="TableContents"/>
              <w:bidi w:val="0"/>
              <w:spacing w:before="0" w:after="283"/>
              <w:jc w:val="right"/>
              <w:rPr/>
            </w:pPr>
            <w:r>
              <w:rPr/>
              <w:t>(22,836,213</w:t>
            </w:r>
          </w:p>
        </w:tc>
        <w:tc>
          <w:tcPr>
            <w:tcW w:w="95" w:type="dxa"/>
            <w:tcBorders>
              <w:bottom w:val="single" w:sz="6" w:space="0" w:color="000000"/>
            </w:tcBorders>
            <w:vAlign w:val="center"/>
          </w:tcPr>
          <w:p>
            <w:pPr>
              <w:pStyle w:val="TableContents"/>
              <w:bidi w:val="0"/>
              <w:spacing w:before="0" w:after="283"/>
              <w:jc w:val="lef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1266" w:type="dxa"/>
            <w:tcBorders>
              <w:bottom w:val="single" w:sz="6" w:space="0" w:color="000000"/>
            </w:tcBorders>
            <w:vAlign w:val="center"/>
          </w:tcPr>
          <w:p>
            <w:pPr>
              <w:pStyle w:val="TableContents"/>
              <w:bidi w:val="0"/>
              <w:spacing w:before="0" w:after="283"/>
              <w:jc w:val="right"/>
              <w:rPr/>
            </w:pPr>
            <w:r>
              <w:rPr/>
              <w:t>(22,836,213</w:t>
            </w:r>
          </w:p>
        </w:tc>
        <w:tc>
          <w:tcPr>
            <w:tcW w:w="111" w:type="dxa"/>
            <w:tcBorders>
              <w:bottom w:val="single" w:sz="6" w:space="0" w:color="000000"/>
            </w:tcBorders>
            <w:vAlign w:val="center"/>
          </w:tcPr>
          <w:p>
            <w:pPr>
              <w:pStyle w:val="TableContents"/>
              <w:bidi w:val="0"/>
              <w:spacing w:before="0" w:after="283"/>
              <w:jc w:val="left"/>
              <w:rPr/>
            </w:pPr>
            <w:r>
              <w:rPr/>
              <w:t>)</w:t>
            </w:r>
          </w:p>
        </w:tc>
      </w:tr>
      <w:tr>
        <w:trPr/>
        <w:tc>
          <w:tcPr>
            <w:tcW w:w="1878" w:type="dxa"/>
            <w:tcBorders>
              <w:bottom w:val="single" w:sz="12" w:space="0" w:color="000000"/>
            </w:tcBorders>
            <w:shd w:fill="E6EFFF" w:val="clear"/>
            <w:vAlign w:val="center"/>
          </w:tcPr>
          <w:p>
            <w:pPr>
              <w:pStyle w:val="TableContents"/>
              <w:bidi w:val="0"/>
              <w:spacing w:before="0" w:after="0"/>
              <w:jc w:val="left"/>
              <w:rPr/>
            </w:pPr>
            <w:r>
              <w:rPr/>
              <w:t>Balance, February 28, 2023</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20" w:type="dxa"/>
            <w:tcBorders>
              <w:bottom w:val="single" w:sz="12" w:space="0" w:color="000000"/>
            </w:tcBorders>
            <w:shd w:fill="E6EFFF" w:val="clear"/>
            <w:vAlign w:val="center"/>
          </w:tcPr>
          <w:p>
            <w:pPr>
              <w:pStyle w:val="TableContents"/>
              <w:bidi w:val="0"/>
              <w:spacing w:before="0" w:after="283"/>
              <w:jc w:val="right"/>
              <w:rPr/>
            </w:pPr>
            <w:r>
              <w:rPr/>
              <w:t>321,562,487</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00" w:type="dxa"/>
            <w:tcBorders>
              <w:bottom w:val="single" w:sz="12" w:space="0" w:color="000000"/>
            </w:tcBorders>
            <w:shd w:fill="E6EFFF" w:val="clear"/>
            <w:vAlign w:val="center"/>
          </w:tcPr>
          <w:p>
            <w:pPr>
              <w:pStyle w:val="TableContents"/>
              <w:bidi w:val="0"/>
              <w:spacing w:before="0" w:after="283"/>
              <w:jc w:val="right"/>
              <w:rPr/>
            </w:pPr>
            <w:r>
              <w:rPr/>
              <w:t>69,722,807</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75" w:type="dxa"/>
            <w:tcBorders>
              <w:bottom w:val="single" w:sz="12" w:space="0" w:color="000000"/>
            </w:tcBorders>
            <w:shd w:fill="E6EFFF" w:val="clear"/>
            <w:vAlign w:val="center"/>
          </w:tcPr>
          <w:p>
            <w:pPr>
              <w:pStyle w:val="TableContents"/>
              <w:bidi w:val="0"/>
              <w:spacing w:before="0" w:after="283"/>
              <w:jc w:val="right"/>
              <w:rPr/>
            </w:pPr>
            <w:r>
              <w:rPr/>
              <w:t>4,117,212</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445" w:type="dxa"/>
            <w:tcBorders>
              <w:bottom w:val="single" w:sz="12" w:space="0" w:color="000000"/>
            </w:tcBorders>
            <w:shd w:fill="E6EFFF" w:val="clear"/>
            <w:vAlign w:val="center"/>
          </w:tcPr>
          <w:p>
            <w:pPr>
              <w:pStyle w:val="TableContents"/>
              <w:bidi w:val="0"/>
              <w:spacing w:before="0" w:after="283"/>
              <w:jc w:val="right"/>
              <w:rPr/>
            </w:pPr>
            <w:r>
              <w:rPr/>
              <w:t>(2,043,011</w:t>
            </w:r>
          </w:p>
        </w:tc>
        <w:tc>
          <w:tcPr>
            <w:tcW w:w="95" w:type="dxa"/>
            <w:tcBorders>
              <w:bottom w:val="single" w:sz="12" w:space="0" w:color="000000"/>
            </w:tcBorders>
            <w:shd w:fill="E6EFFF" w:val="clear"/>
            <w:vAlign w:val="center"/>
          </w:tcPr>
          <w:p>
            <w:pPr>
              <w:pStyle w:val="TableContents"/>
              <w:bidi w:val="0"/>
              <w:spacing w:before="0" w:after="283"/>
              <w:jc w:val="left"/>
              <w:rPr/>
            </w:pPr>
            <w:r>
              <w:rPr/>
              <w:t>)</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75" w:type="dxa"/>
            <w:tcBorders>
              <w:bottom w:val="single" w:sz="12" w:space="0" w:color="000000"/>
            </w:tcBorders>
            <w:shd w:fill="E6EFFF" w:val="clear"/>
            <w:vAlign w:val="center"/>
          </w:tcPr>
          <w:p>
            <w:pPr>
              <w:pStyle w:val="TableContents"/>
              <w:bidi w:val="0"/>
              <w:spacing w:before="0" w:after="283"/>
              <w:jc w:val="right"/>
              <w:rPr/>
            </w:pPr>
            <w:r>
              <w:rPr/>
              <w:t>(54,640,527</w:t>
            </w:r>
          </w:p>
        </w:tc>
        <w:tc>
          <w:tcPr>
            <w:tcW w:w="95" w:type="dxa"/>
            <w:tcBorders>
              <w:bottom w:val="single" w:sz="12" w:space="0" w:color="000000"/>
            </w:tcBorders>
            <w:shd w:fill="E6EFFF" w:val="clear"/>
            <w:vAlign w:val="center"/>
          </w:tcPr>
          <w:p>
            <w:pPr>
              <w:pStyle w:val="TableContents"/>
              <w:bidi w:val="0"/>
              <w:spacing w:before="0" w:after="283"/>
              <w:jc w:val="left"/>
              <w:rPr/>
            </w:pPr>
            <w:r>
              <w:rPr/>
              <w:t>)</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66" w:type="dxa"/>
            <w:tcBorders>
              <w:bottom w:val="single" w:sz="12" w:space="0" w:color="000000"/>
            </w:tcBorders>
            <w:shd w:fill="E6EFFF" w:val="clear"/>
            <w:vAlign w:val="center"/>
          </w:tcPr>
          <w:p>
            <w:pPr>
              <w:pStyle w:val="TableContents"/>
              <w:bidi w:val="0"/>
              <w:spacing w:before="0" w:after="283"/>
              <w:jc w:val="right"/>
              <w:rPr/>
            </w:pPr>
            <w:r>
              <w:rPr/>
              <w:t>17,156,481</w:t>
            </w:r>
          </w:p>
        </w:tc>
        <w:tc>
          <w:tcPr>
            <w:tcW w:w="111"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38" w:name="footer_page_5"/>
      <w:bookmarkStart w:id="39" w:name="footer_page_5"/>
      <w:bookmarkEnd w:id="39"/>
    </w:p>
    <w:tbl>
      <w:tblPr>
        <w:tblW w:w="9935" w:type="dxa"/>
        <w:jc w:val="left"/>
        <w:tblInd w:w="0" w:type="dxa"/>
        <w:tblLayout w:type="fixed"/>
        <w:tblCellMar>
          <w:top w:w="0" w:type="dxa"/>
          <w:left w:w="0" w:type="dxa"/>
          <w:bottom w:w="0" w:type="dxa"/>
          <w:right w:w="0" w:type="dxa"/>
        </w:tblCellMar>
      </w:tblPr>
      <w:tblGrid>
        <w:gridCol w:w="9935"/>
      </w:tblGrid>
      <w:tr>
        <w:trPr/>
        <w:tc>
          <w:tcPr>
            <w:tcW w:w="9935" w:type="dxa"/>
            <w:tcBorders/>
            <w:vAlign w:val="center"/>
          </w:tcPr>
          <w:p>
            <w:pPr>
              <w:pStyle w:val="TableContents"/>
              <w:bidi w:val="0"/>
              <w:spacing w:before="0" w:after="283"/>
              <w:jc w:val="center"/>
              <w:rPr/>
            </w:pPr>
            <w:r>
              <w:rPr/>
              <w:t>The accompanying notes are an integral part of these interim condensed consolidated financial statements</w:t>
            </w:r>
          </w:p>
        </w:tc>
      </w:tr>
      <w:tr>
        <w:trPr/>
        <w:tc>
          <w:tcPr>
            <w:tcW w:w="9935" w:type="dxa"/>
            <w:tcBorders/>
            <w:vAlign w:val="center"/>
          </w:tcPr>
          <w:p>
            <w:pPr>
              <w:pStyle w:val="TableContents"/>
              <w:bidi w:val="0"/>
              <w:spacing w:before="0" w:after="283"/>
              <w:jc w:val="center"/>
              <w:rPr/>
            </w:pPr>
            <w:r>
              <w:rPr/>
              <w:t>3</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Normal"/>
        <w:bidi w:val="0"/>
        <w:spacing w:before="0" w:after="0"/>
        <w:jc w:val="left"/>
        <w:rPr>
          <w:sz w:val="4"/>
          <w:szCs w:val="4"/>
        </w:rPr>
      </w:pPr>
      <w:r>
        <w:rPr>
          <w:sz w:val="4"/>
          <w:szCs w:val="4"/>
        </w:rPr>
      </w:r>
      <w:bookmarkStart w:id="40" w:name="page_61"/>
      <w:bookmarkStart w:id="41" w:name="page_61"/>
      <w:bookmarkEnd w:id="41"/>
    </w:p>
    <w:tbl>
      <w:tblPr>
        <w:tblW w:w="6320" w:type="dxa"/>
        <w:jc w:val="left"/>
        <w:tblInd w:w="0" w:type="dxa"/>
        <w:tblLayout w:type="fixed"/>
        <w:tblCellMar>
          <w:top w:w="0" w:type="dxa"/>
          <w:left w:w="0" w:type="dxa"/>
          <w:bottom w:w="0" w:type="dxa"/>
          <w:right w:w="0" w:type="dxa"/>
        </w:tblCellMar>
      </w:tblPr>
      <w:tblGrid>
        <w:gridCol w:w="6320"/>
      </w:tblGrid>
      <w:tr>
        <w:trPr/>
        <w:tc>
          <w:tcPr>
            <w:tcW w:w="6320" w:type="dxa"/>
            <w:tcBorders/>
            <w:vAlign w:val="center"/>
          </w:tcPr>
          <w:p>
            <w:pPr>
              <w:pStyle w:val="TableContents"/>
              <w:bidi w:val="0"/>
              <w:spacing w:before="0" w:after="283"/>
              <w:jc w:val="left"/>
              <w:rPr/>
            </w:pPr>
            <w:r>
              <w:rPr>
                <w:b/>
                <w:sz w:val="24"/>
              </w:rPr>
              <w:t>SMALL PHARMA INC.</w:t>
            </w:r>
            <w:r>
              <w:rPr/>
              <w:br/>
              <w:t>Interim Condensed Consolidated Statements of Cash Flows for the</w:t>
              <w:br/>
              <w:t>(Expressed in Canadian dollars)</w:t>
            </w:r>
          </w:p>
        </w:tc>
      </w:tr>
    </w:tbl>
    <w:p>
      <w:pPr>
        <w:pStyle w:val="TextBody"/>
        <w:bidi w:val="0"/>
        <w:spacing w:before="0" w:after="0"/>
        <w:jc w:val="left"/>
        <w:rPr/>
      </w:pPr>
      <w:r>
        <w:rPr/>
      </w:r>
    </w:p>
    <w:tbl>
      <w:tblPr>
        <w:tblW w:w="8065" w:type="dxa"/>
        <w:jc w:val="left"/>
        <w:tblInd w:w="0" w:type="dxa"/>
        <w:tblLayout w:type="fixed"/>
        <w:tblCellMar>
          <w:top w:w="0" w:type="dxa"/>
          <w:left w:w="0" w:type="dxa"/>
          <w:bottom w:w="28" w:type="dxa"/>
          <w:right w:w="0" w:type="dxa"/>
        </w:tblCellMar>
      </w:tblPr>
      <w:tblGrid>
        <w:gridCol w:w="4970"/>
        <w:gridCol w:w="60"/>
        <w:gridCol w:w="1385"/>
        <w:gridCol w:w="95"/>
        <w:gridCol w:w="60"/>
        <w:gridCol w:w="1385"/>
        <w:gridCol w:w="110"/>
      </w:tblGrid>
      <w:tr>
        <w:trPr/>
        <w:tc>
          <w:tcPr>
            <w:tcW w:w="4970" w:type="dxa"/>
            <w:tcBorders>
              <w:bottom w:val="single" w:sz="6" w:space="0" w:color="000000"/>
            </w:tcBorders>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xml:space="preserve">Three months </w:t>
              <w:br/>
              <w:t xml:space="preserve">ended </w:t>
              <w:br/>
              <w:t>May 31,</w:t>
              <w:br/>
              <w:t>2023</w:t>
              <w:br/>
              <w:t>$</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xml:space="preserve">Three months </w:t>
              <w:br/>
              <w:t xml:space="preserve">ended </w:t>
              <w:br/>
              <w:t>May 31,</w:t>
              <w:br/>
              <w:t>2022</w:t>
              <w:br/>
              <w:t>$</w:t>
            </w:r>
          </w:p>
        </w:tc>
        <w:tc>
          <w:tcPr>
            <w:tcW w:w="110" w:type="dxa"/>
            <w:tcBorders/>
            <w:tcMar>
              <w:bottom w:w="0" w:type="dxa"/>
            </w:tcMar>
            <w:vAlign w:val="center"/>
          </w:tcPr>
          <w:p>
            <w:pPr>
              <w:pStyle w:val="TableContents"/>
              <w:bidi w:val="0"/>
              <w:spacing w:before="0" w:after="283"/>
              <w:jc w:val="center"/>
              <w:rPr/>
            </w:pPr>
            <w:r>
              <w:rPr/>
              <w:t> </w:t>
            </w:r>
          </w:p>
        </w:tc>
      </w:tr>
      <w:tr>
        <w:trPr/>
        <w:tc>
          <w:tcPr>
            <w:tcW w:w="4970" w:type="dxa"/>
            <w:tcBorders/>
            <w:tcMar>
              <w:bottom w:w="0" w:type="dxa"/>
            </w:tcMar>
            <w:vAlign w:val="center"/>
          </w:tcPr>
          <w:p>
            <w:pPr>
              <w:pStyle w:val="TableContents"/>
              <w:bidi w:val="0"/>
              <w:spacing w:before="0" w:after="0"/>
              <w:jc w:val="lef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38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38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0" w:type="dxa"/>
            <w:tcBorders>
              <w:top w:val="single" w:sz="6" w:space="0" w:color="000000"/>
            </w:tcBorders>
            <w:tcMar>
              <w:top w:w="28" w:type="dxa"/>
              <w:bottom w:w="0" w:type="dxa"/>
            </w:tcMar>
            <w:vAlign w:val="center"/>
          </w:tcPr>
          <w:p>
            <w:pPr>
              <w:pStyle w:val="TableContents"/>
              <w:bidi w:val="0"/>
              <w:spacing w:before="0" w:after="283"/>
              <w:jc w:val="center"/>
              <w:rPr/>
            </w:pPr>
            <w:r>
              <w:rPr/>
              <w:t> </w:t>
            </w:r>
          </w:p>
        </w:tc>
      </w:tr>
      <w:tr>
        <w:trPr/>
        <w:tc>
          <w:tcPr>
            <w:tcW w:w="4970" w:type="dxa"/>
            <w:tcBorders/>
            <w:shd w:fill="E6EFFF" w:val="clear"/>
            <w:tcMar>
              <w:bottom w:w="0" w:type="dxa"/>
            </w:tcMar>
            <w:vAlign w:val="center"/>
          </w:tcPr>
          <w:p>
            <w:pPr>
              <w:pStyle w:val="TableContents"/>
              <w:bidi w:val="0"/>
              <w:spacing w:before="0" w:after="0"/>
              <w:jc w:val="left"/>
              <w:rPr/>
            </w:pPr>
            <w:r>
              <w:rPr/>
              <w:t>Operating activities</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right"/>
              <w:rPr/>
            </w:pPr>
            <w:r>
              <w:rPr/>
              <w:t> </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right"/>
              <w:rPr/>
            </w:pPr>
            <w:r>
              <w:rPr/>
              <w:t> </w:t>
            </w:r>
          </w:p>
        </w:tc>
      </w:tr>
      <w:tr>
        <w:trPr/>
        <w:tc>
          <w:tcPr>
            <w:tcW w:w="497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970" w:type="dxa"/>
            <w:tcBorders/>
            <w:shd w:fill="E6EFFF" w:val="clear"/>
            <w:tcMar>
              <w:bottom w:w="0" w:type="dxa"/>
            </w:tcMar>
            <w:vAlign w:val="center"/>
          </w:tcPr>
          <w:p>
            <w:pPr>
              <w:pStyle w:val="TableContents"/>
              <w:bidi w:val="0"/>
              <w:spacing w:before="0" w:after="0"/>
              <w:jc w:val="left"/>
              <w:rPr/>
            </w:pPr>
            <w:r>
              <w:rPr/>
              <w:t>Net loss for the period</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(5,643,667</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(5,781,704</w:t>
            </w:r>
          </w:p>
        </w:tc>
        <w:tc>
          <w:tcPr>
            <w:tcW w:w="110" w:type="dxa"/>
            <w:tcBorders/>
            <w:shd w:fill="E6EFFF" w:val="clear"/>
            <w:tcMar>
              <w:bottom w:w="0" w:type="dxa"/>
            </w:tcMar>
            <w:vAlign w:val="center"/>
          </w:tcPr>
          <w:p>
            <w:pPr>
              <w:pStyle w:val="TableContents"/>
              <w:bidi w:val="0"/>
              <w:spacing w:before="0" w:after="283"/>
              <w:jc w:val="left"/>
              <w:rPr/>
            </w:pPr>
            <w:r>
              <w:rPr/>
              <w:t>)</w:t>
            </w:r>
          </w:p>
        </w:tc>
      </w:tr>
      <w:tr>
        <w:trPr/>
        <w:tc>
          <w:tcPr>
            <w:tcW w:w="497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970" w:type="dxa"/>
            <w:tcBorders/>
            <w:shd w:fill="E6EFFF" w:val="clear"/>
            <w:tcMar>
              <w:bottom w:w="0" w:type="dxa"/>
            </w:tcMar>
            <w:vAlign w:val="center"/>
          </w:tcPr>
          <w:p>
            <w:pPr>
              <w:pStyle w:val="TableContents"/>
              <w:bidi w:val="0"/>
              <w:spacing w:before="0" w:after="0"/>
              <w:jc w:val="left"/>
              <w:rPr/>
            </w:pPr>
            <w:r>
              <w:rPr/>
              <w:t>Items not involving cash:</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970" w:type="dxa"/>
            <w:tcBorders/>
            <w:tcMar>
              <w:bottom w:w="0" w:type="dxa"/>
            </w:tcMar>
            <w:vAlign w:val="center"/>
          </w:tcPr>
          <w:p>
            <w:pPr>
              <w:pStyle w:val="TableContents"/>
              <w:bidi w:val="0"/>
              <w:spacing w:before="0" w:after="0"/>
              <w:jc w:val="left"/>
              <w:rPr/>
            </w:pPr>
            <w:r>
              <w:rPr/>
              <w:t>Depreciation</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85,526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5,686</w:t>
            </w:r>
          </w:p>
        </w:tc>
        <w:tc>
          <w:tcPr>
            <w:tcW w:w="110" w:type="dxa"/>
            <w:tcBorders/>
            <w:tcMar>
              <w:bottom w:w="0" w:type="dxa"/>
            </w:tcMar>
            <w:vAlign w:val="center"/>
          </w:tcPr>
          <w:p>
            <w:pPr>
              <w:pStyle w:val="TableContents"/>
              <w:bidi w:val="0"/>
              <w:spacing w:before="0" w:after="283"/>
              <w:jc w:val="left"/>
              <w:rPr/>
            </w:pPr>
            <w:r>
              <w:rPr/>
              <w:t> </w:t>
            </w:r>
          </w:p>
        </w:tc>
      </w:tr>
      <w:tr>
        <w:trPr/>
        <w:tc>
          <w:tcPr>
            <w:tcW w:w="4970" w:type="dxa"/>
            <w:tcBorders/>
            <w:shd w:fill="E6EFFF" w:val="clear"/>
            <w:tcMar>
              <w:bottom w:w="0" w:type="dxa"/>
            </w:tcMar>
            <w:vAlign w:val="center"/>
          </w:tcPr>
          <w:p>
            <w:pPr>
              <w:pStyle w:val="TableContents"/>
              <w:bidi w:val="0"/>
              <w:spacing w:before="0" w:after="0"/>
              <w:jc w:val="left"/>
              <w:rPr/>
            </w:pPr>
            <w:r>
              <w:rPr/>
              <w:t>Foreign exchange loss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4,308</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7,940</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970" w:type="dxa"/>
            <w:tcBorders/>
            <w:tcMar>
              <w:bottom w:w="0" w:type="dxa"/>
            </w:tcMar>
            <w:vAlign w:val="center"/>
          </w:tcPr>
          <w:p>
            <w:pPr>
              <w:pStyle w:val="TableContents"/>
              <w:bidi w:val="0"/>
              <w:spacing w:before="0" w:after="0"/>
              <w:jc w:val="left"/>
              <w:rPr/>
            </w:pPr>
            <w:r>
              <w:rPr/>
              <w:t>Share-based payment expense (Note 9)</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115,441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109,598</w:t>
            </w:r>
          </w:p>
        </w:tc>
        <w:tc>
          <w:tcPr>
            <w:tcW w:w="110" w:type="dxa"/>
            <w:tcBorders/>
            <w:tcMar>
              <w:bottom w:w="0" w:type="dxa"/>
            </w:tcMar>
            <w:vAlign w:val="center"/>
          </w:tcPr>
          <w:p>
            <w:pPr>
              <w:pStyle w:val="TableContents"/>
              <w:bidi w:val="0"/>
              <w:spacing w:before="0" w:after="283"/>
              <w:ind w:left="0" w:right="0" w:hanging="0"/>
              <w:jc w:val="left"/>
              <w:rPr/>
            </w:pPr>
            <w:r>
              <w:rPr/>
              <w:t> </w:t>
            </w:r>
          </w:p>
        </w:tc>
      </w:tr>
      <w:tr>
        <w:trPr/>
        <w:tc>
          <w:tcPr>
            <w:tcW w:w="4970" w:type="dxa"/>
            <w:tcBorders/>
            <w:shd w:fill="E6EFFF" w:val="clear"/>
            <w:tcMar>
              <w:bottom w:w="0" w:type="dxa"/>
            </w:tcMar>
            <w:vAlign w:val="center"/>
          </w:tcPr>
          <w:p>
            <w:pPr>
              <w:pStyle w:val="TableContents"/>
              <w:bidi w:val="0"/>
              <w:spacing w:before="0" w:after="283"/>
              <w:jc w:val="left"/>
              <w:rPr/>
            </w:pPr>
            <w:r>
              <w:rPr/>
              <w:t>Accretion of interest on lease liabilities (Note 4)</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7,617</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97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970" w:type="dxa"/>
            <w:tcBorders/>
            <w:shd w:fill="E6EFFF" w:val="clear"/>
            <w:tcMar>
              <w:bottom w:w="0" w:type="dxa"/>
            </w:tcMar>
            <w:vAlign w:val="center"/>
          </w:tcPr>
          <w:p>
            <w:pPr>
              <w:pStyle w:val="TableContents"/>
              <w:bidi w:val="0"/>
              <w:spacing w:before="0" w:after="0"/>
              <w:jc w:val="left"/>
              <w:rPr/>
            </w:pPr>
            <w:r>
              <w:rPr/>
              <w:t>Changes in non-cash operating working capital: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970" w:type="dxa"/>
            <w:tcBorders/>
            <w:tcMar>
              <w:bottom w:w="0" w:type="dxa"/>
            </w:tcMar>
            <w:vAlign w:val="center"/>
          </w:tcPr>
          <w:p>
            <w:pPr>
              <w:pStyle w:val="TableContents"/>
              <w:bidi w:val="0"/>
              <w:spacing w:before="0" w:after="283"/>
              <w:jc w:val="left"/>
              <w:rPr/>
            </w:pPr>
            <w:r>
              <w:rPr/>
              <w:t>Trade and other receivables</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191,959</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483,940</w:t>
            </w:r>
          </w:p>
        </w:tc>
        <w:tc>
          <w:tcPr>
            <w:tcW w:w="110" w:type="dxa"/>
            <w:tcBorders/>
            <w:tcMar>
              <w:bottom w:w="0" w:type="dxa"/>
            </w:tcMar>
            <w:vAlign w:val="center"/>
          </w:tcPr>
          <w:p>
            <w:pPr>
              <w:pStyle w:val="TableContents"/>
              <w:bidi w:val="0"/>
              <w:spacing w:before="0" w:after="283"/>
              <w:jc w:val="left"/>
              <w:rPr/>
            </w:pPr>
            <w:r>
              <w:rPr/>
              <w:t> </w:t>
            </w:r>
          </w:p>
        </w:tc>
      </w:tr>
      <w:tr>
        <w:trPr/>
        <w:tc>
          <w:tcPr>
            <w:tcW w:w="4970" w:type="dxa"/>
            <w:tcBorders/>
            <w:shd w:fill="E6EFFF" w:val="clear"/>
            <w:tcMar>
              <w:bottom w:w="0" w:type="dxa"/>
            </w:tcMar>
            <w:vAlign w:val="center"/>
          </w:tcPr>
          <w:p>
            <w:pPr>
              <w:pStyle w:val="TableContents"/>
              <w:bidi w:val="0"/>
              <w:spacing w:before="0" w:after="283"/>
              <w:jc w:val="left"/>
              <w:rPr/>
            </w:pPr>
            <w:r>
              <w:rPr/>
              <w:t>Prepaid expenses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133,461</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(257,817</w:t>
            </w:r>
          </w:p>
        </w:tc>
        <w:tc>
          <w:tcPr>
            <w:tcW w:w="110" w:type="dxa"/>
            <w:tcBorders/>
            <w:shd w:fill="E6EFFF" w:val="clear"/>
            <w:tcMar>
              <w:bottom w:w="0" w:type="dxa"/>
            </w:tcMar>
            <w:vAlign w:val="center"/>
          </w:tcPr>
          <w:p>
            <w:pPr>
              <w:pStyle w:val="TableContents"/>
              <w:bidi w:val="0"/>
              <w:spacing w:before="0" w:after="283"/>
              <w:jc w:val="left"/>
              <w:rPr/>
            </w:pPr>
            <w:r>
              <w:rPr/>
              <w:t>)</w:t>
            </w:r>
          </w:p>
        </w:tc>
      </w:tr>
      <w:tr>
        <w:trPr/>
        <w:tc>
          <w:tcPr>
            <w:tcW w:w="4970" w:type="dxa"/>
            <w:tcBorders>
              <w:bottom w:val="single" w:sz="6" w:space="0" w:color="000000"/>
            </w:tcBorders>
            <w:vAlign w:val="center"/>
          </w:tcPr>
          <w:p>
            <w:pPr>
              <w:pStyle w:val="TableContents"/>
              <w:bidi w:val="0"/>
              <w:spacing w:before="0" w:after="283"/>
              <w:jc w:val="left"/>
              <w:rPr/>
            </w:pPr>
            <w:r>
              <w:rPr/>
              <w:t>Accounts payable and accrued liabilities</w:t>
            </w:r>
          </w:p>
        </w:tc>
        <w:tc>
          <w:tcPr>
            <w:tcW w:w="60" w:type="dxa"/>
            <w:tcBorders>
              <w:bottom w:val="single" w:sz="6" w:space="0" w:color="000000"/>
            </w:tcBorders>
            <w:vAlign w:val="center"/>
          </w:tcPr>
          <w:p>
            <w:pPr>
              <w:pStyle w:val="TableContents"/>
              <w:bidi w:val="0"/>
              <w:spacing w:before="0" w:after="283"/>
              <w:jc w:val="left"/>
              <w:rPr/>
            </w:pPr>
            <w:r>
              <w:rPr/>
              <w:t> </w:t>
            </w:r>
          </w:p>
        </w:tc>
        <w:tc>
          <w:tcPr>
            <w:tcW w:w="1385" w:type="dxa"/>
            <w:tcBorders>
              <w:bottom w:val="single" w:sz="6" w:space="0" w:color="000000"/>
            </w:tcBorders>
            <w:vAlign w:val="center"/>
          </w:tcPr>
          <w:p>
            <w:pPr>
              <w:pStyle w:val="TableContents"/>
              <w:bidi w:val="0"/>
              <w:spacing w:before="0" w:after="283"/>
              <w:jc w:val="right"/>
              <w:rPr/>
            </w:pPr>
            <w:r>
              <w:rPr/>
              <w:t>(653,645</w:t>
            </w:r>
          </w:p>
        </w:tc>
        <w:tc>
          <w:tcPr>
            <w:tcW w:w="95" w:type="dxa"/>
            <w:tcBorders>
              <w:bottom w:val="single" w:sz="6" w:space="0" w:color="000000"/>
            </w:tcBorders>
            <w:vAlign w:val="center"/>
          </w:tcPr>
          <w:p>
            <w:pPr>
              <w:pStyle w:val="TableContents"/>
              <w:bidi w:val="0"/>
              <w:spacing w:before="0" w:after="283"/>
              <w:jc w:val="lef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1385" w:type="dxa"/>
            <w:tcBorders>
              <w:bottom w:val="single" w:sz="6" w:space="0" w:color="000000"/>
            </w:tcBorders>
            <w:vAlign w:val="center"/>
          </w:tcPr>
          <w:p>
            <w:pPr>
              <w:pStyle w:val="TableContents"/>
              <w:bidi w:val="0"/>
              <w:spacing w:before="0" w:after="283"/>
              <w:jc w:val="right"/>
              <w:rPr/>
            </w:pPr>
            <w:r>
              <w:rPr/>
              <w:t>(871,321</w:t>
            </w:r>
          </w:p>
        </w:tc>
        <w:tc>
          <w:tcPr>
            <w:tcW w:w="110" w:type="dxa"/>
            <w:tcBorders>
              <w:bottom w:val="single" w:sz="6" w:space="0" w:color="000000"/>
            </w:tcBorders>
            <w:vAlign w:val="center"/>
          </w:tcPr>
          <w:p>
            <w:pPr>
              <w:pStyle w:val="TableContents"/>
              <w:bidi w:val="0"/>
              <w:spacing w:before="0" w:after="283"/>
              <w:jc w:val="left"/>
              <w:rPr/>
            </w:pPr>
            <w:r>
              <w:rPr/>
              <w:t>)</w:t>
            </w:r>
          </w:p>
        </w:tc>
      </w:tr>
      <w:tr>
        <w:trPr/>
        <w:tc>
          <w:tcPr>
            <w:tcW w:w="4970" w:type="dxa"/>
            <w:tcBorders>
              <w:bottom w:val="single" w:sz="6" w:space="0" w:color="000000"/>
            </w:tcBorders>
            <w:shd w:fill="E6EFFF" w:val="clear"/>
            <w:vAlign w:val="center"/>
          </w:tcPr>
          <w:p>
            <w:pPr>
              <w:pStyle w:val="TableContents"/>
              <w:bidi w:val="0"/>
              <w:spacing w:before="0" w:after="0"/>
              <w:jc w:val="left"/>
              <w:rPr/>
            </w:pPr>
            <w:r>
              <w:rPr/>
              <w:t>Net cash used in operating activities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(5,759,000</w:t>
            </w:r>
          </w:p>
        </w:tc>
        <w:tc>
          <w:tcPr>
            <w:tcW w:w="95" w:type="dxa"/>
            <w:tcBorders>
              <w:bottom w:val="single" w:sz="6" w:space="0" w:color="000000"/>
            </w:tcBorders>
            <w:shd w:fill="E6EFFF" w:val="clear"/>
            <w:vAlign w:val="center"/>
          </w:tcPr>
          <w:p>
            <w:pPr>
              <w:pStyle w:val="TableContents"/>
              <w:bidi w:val="0"/>
              <w:spacing w:before="0" w:after="283"/>
              <w:jc w:val="left"/>
              <w:rPr/>
            </w:pPr>
            <w:r>
              <w:rPr/>
              <w: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(6,303,678</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497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970" w:type="dxa"/>
            <w:tcBorders/>
            <w:shd w:fill="E6EFFF" w:val="clear"/>
            <w:tcMar>
              <w:bottom w:w="0" w:type="dxa"/>
            </w:tcMar>
            <w:vAlign w:val="center"/>
          </w:tcPr>
          <w:p>
            <w:pPr>
              <w:pStyle w:val="TableContents"/>
              <w:bidi w:val="0"/>
              <w:spacing w:before="0" w:after="0"/>
              <w:jc w:val="left"/>
              <w:rPr/>
            </w:pPr>
            <w:r>
              <w:rPr/>
              <w:t>Investing activities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970" w:type="dxa"/>
            <w:tcBorders>
              <w:bottom w:val="single" w:sz="6" w:space="0" w:color="000000"/>
            </w:tcBorders>
            <w:vAlign w:val="center"/>
          </w:tcPr>
          <w:p>
            <w:pPr>
              <w:pStyle w:val="TableContents"/>
              <w:bidi w:val="0"/>
              <w:spacing w:before="0" w:after="283"/>
              <w:jc w:val="left"/>
              <w:rPr/>
            </w:pPr>
            <w:r>
              <w:rPr/>
              <w:t>Acquisition of property and equipment</w:t>
            </w:r>
          </w:p>
        </w:tc>
        <w:tc>
          <w:tcPr>
            <w:tcW w:w="60" w:type="dxa"/>
            <w:tcBorders>
              <w:bottom w:val="single" w:sz="6" w:space="0" w:color="000000"/>
            </w:tcBorders>
            <w:vAlign w:val="center"/>
          </w:tcPr>
          <w:p>
            <w:pPr>
              <w:pStyle w:val="TableContents"/>
              <w:bidi w:val="0"/>
              <w:spacing w:before="0" w:after="283"/>
              <w:jc w:val="left"/>
              <w:rPr/>
            </w:pPr>
            <w:r>
              <w:rPr/>
              <w:t> </w:t>
            </w:r>
          </w:p>
        </w:tc>
        <w:tc>
          <w:tcPr>
            <w:tcW w:w="1385" w:type="dxa"/>
            <w:tcBorders>
              <w:bottom w:val="single" w:sz="6" w:space="0" w:color="000000"/>
            </w:tcBorders>
            <w:vAlign w:val="center"/>
          </w:tcPr>
          <w:p>
            <w:pPr>
              <w:pStyle w:val="TableContents"/>
              <w:bidi w:val="0"/>
              <w:spacing w:before="0" w:after="283"/>
              <w:jc w:val="right"/>
              <w:rPr/>
            </w:pPr>
            <w:r>
              <w:rPr/>
              <w:t>-</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385" w:type="dxa"/>
            <w:tcBorders>
              <w:bottom w:val="single" w:sz="6" w:space="0" w:color="000000"/>
            </w:tcBorders>
            <w:vAlign w:val="center"/>
          </w:tcPr>
          <w:p>
            <w:pPr>
              <w:pStyle w:val="TableContents"/>
              <w:bidi w:val="0"/>
              <w:spacing w:before="0" w:after="283"/>
              <w:jc w:val="right"/>
              <w:rPr/>
            </w:pPr>
            <w:r>
              <w:rPr/>
              <w:t>(10,710</w:t>
            </w:r>
          </w:p>
        </w:tc>
        <w:tc>
          <w:tcPr>
            <w:tcW w:w="110" w:type="dxa"/>
            <w:tcBorders>
              <w:bottom w:val="single" w:sz="6" w:space="0" w:color="000000"/>
            </w:tcBorders>
            <w:vAlign w:val="center"/>
          </w:tcPr>
          <w:p>
            <w:pPr>
              <w:pStyle w:val="TableContents"/>
              <w:bidi w:val="0"/>
              <w:spacing w:before="0" w:after="283"/>
              <w:jc w:val="left"/>
              <w:rPr/>
            </w:pPr>
            <w:r>
              <w:rPr/>
              <w:t>)</w:t>
            </w:r>
          </w:p>
        </w:tc>
      </w:tr>
      <w:tr>
        <w:trPr/>
        <w:tc>
          <w:tcPr>
            <w:tcW w:w="4970" w:type="dxa"/>
            <w:tcBorders>
              <w:bottom w:val="single" w:sz="6" w:space="0" w:color="000000"/>
            </w:tcBorders>
            <w:shd w:fill="E6EFFF" w:val="clear"/>
            <w:vAlign w:val="center"/>
          </w:tcPr>
          <w:p>
            <w:pPr>
              <w:pStyle w:val="TableContents"/>
              <w:bidi w:val="0"/>
              <w:spacing w:before="0" w:after="0"/>
              <w:jc w:val="left"/>
              <w:rPr/>
            </w:pPr>
            <w:r>
              <w:rPr/>
              <w:t>Net cash used in investing activities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(10,710</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497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970" w:type="dxa"/>
            <w:tcBorders/>
            <w:shd w:fill="E6EFFF" w:val="clear"/>
            <w:tcMar>
              <w:bottom w:w="0" w:type="dxa"/>
            </w:tcMar>
            <w:vAlign w:val="center"/>
          </w:tcPr>
          <w:p>
            <w:pPr>
              <w:pStyle w:val="TableContents"/>
              <w:bidi w:val="0"/>
              <w:spacing w:before="0" w:after="0"/>
              <w:jc w:val="left"/>
              <w:rPr/>
            </w:pPr>
            <w:r>
              <w:rPr/>
              <w:t>Financing activities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970" w:type="dxa"/>
            <w:tcBorders/>
            <w:tcMar>
              <w:bottom w:w="0" w:type="dxa"/>
            </w:tcMar>
            <w:vAlign w:val="center"/>
          </w:tcPr>
          <w:p>
            <w:pPr>
              <w:pStyle w:val="TableContents"/>
              <w:bidi w:val="0"/>
              <w:spacing w:before="0" w:after="283"/>
              <w:jc w:val="left"/>
              <w:rPr/>
            </w:pPr>
            <w:r>
              <w:rPr/>
              <w:t>Proceeds from exercise of stock options (Note 7 (d))</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15,156</w:t>
            </w:r>
          </w:p>
        </w:tc>
        <w:tc>
          <w:tcPr>
            <w:tcW w:w="110" w:type="dxa"/>
            <w:tcBorders/>
            <w:tcMar>
              <w:bottom w:w="0" w:type="dxa"/>
            </w:tcMar>
            <w:vAlign w:val="center"/>
          </w:tcPr>
          <w:p>
            <w:pPr>
              <w:pStyle w:val="TableContents"/>
              <w:bidi w:val="0"/>
              <w:spacing w:before="0" w:after="283"/>
              <w:jc w:val="left"/>
              <w:rPr/>
            </w:pPr>
            <w:r>
              <w:rPr/>
              <w:t> </w:t>
            </w:r>
          </w:p>
        </w:tc>
      </w:tr>
      <w:tr>
        <w:trPr/>
        <w:tc>
          <w:tcPr>
            <w:tcW w:w="4970" w:type="dxa"/>
            <w:tcBorders>
              <w:bottom w:val="single" w:sz="6" w:space="0" w:color="000000"/>
            </w:tcBorders>
            <w:shd w:fill="E6EFFF" w:val="clear"/>
            <w:vAlign w:val="center"/>
          </w:tcPr>
          <w:p>
            <w:pPr>
              <w:pStyle w:val="TableContents"/>
              <w:bidi w:val="0"/>
              <w:spacing w:before="0" w:after="283"/>
              <w:jc w:val="left"/>
              <w:rPr/>
            </w:pPr>
            <w:r>
              <w:rPr/>
              <w:t>Lease liabilities rent paid (Note 4)</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(83,417</w:t>
            </w:r>
          </w:p>
        </w:tc>
        <w:tc>
          <w:tcPr>
            <w:tcW w:w="95" w:type="dxa"/>
            <w:tcBorders>
              <w:bottom w:val="single" w:sz="6" w:space="0" w:color="000000"/>
            </w:tcBorders>
            <w:shd w:fill="E6EFFF" w:val="clear"/>
            <w:vAlign w:val="center"/>
          </w:tcPr>
          <w:p>
            <w:pPr>
              <w:pStyle w:val="TableContents"/>
              <w:bidi w:val="0"/>
              <w:spacing w:before="0" w:after="283"/>
              <w:jc w:val="left"/>
              <w:rPr/>
            </w:pPr>
            <w:r>
              <w:rPr/>
              <w: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4970" w:type="dxa"/>
            <w:tcBorders>
              <w:bottom w:val="single" w:sz="6" w:space="0" w:color="000000"/>
            </w:tcBorders>
            <w:vAlign w:val="center"/>
          </w:tcPr>
          <w:p>
            <w:pPr>
              <w:pStyle w:val="TableContents"/>
              <w:bidi w:val="0"/>
              <w:spacing w:before="0" w:after="0"/>
              <w:jc w:val="left"/>
              <w:rPr/>
            </w:pPr>
            <w:r>
              <w:rPr/>
              <w:t>Net cash (used in) provided by financing activities</w:t>
            </w:r>
          </w:p>
        </w:tc>
        <w:tc>
          <w:tcPr>
            <w:tcW w:w="60" w:type="dxa"/>
            <w:tcBorders>
              <w:bottom w:val="single" w:sz="6" w:space="0" w:color="000000"/>
            </w:tcBorders>
            <w:vAlign w:val="center"/>
          </w:tcPr>
          <w:p>
            <w:pPr>
              <w:pStyle w:val="TableContents"/>
              <w:bidi w:val="0"/>
              <w:spacing w:before="0" w:after="283"/>
              <w:jc w:val="left"/>
              <w:rPr/>
            </w:pPr>
            <w:r>
              <w:rPr/>
              <w:t> </w:t>
            </w:r>
          </w:p>
        </w:tc>
        <w:tc>
          <w:tcPr>
            <w:tcW w:w="1385" w:type="dxa"/>
            <w:tcBorders>
              <w:bottom w:val="single" w:sz="6" w:space="0" w:color="000000"/>
            </w:tcBorders>
            <w:vAlign w:val="center"/>
          </w:tcPr>
          <w:p>
            <w:pPr>
              <w:pStyle w:val="TableContents"/>
              <w:bidi w:val="0"/>
              <w:spacing w:before="0" w:after="283"/>
              <w:jc w:val="right"/>
              <w:rPr/>
            </w:pPr>
            <w:r>
              <w:rPr/>
              <w:t>(83,417</w:t>
            </w:r>
          </w:p>
        </w:tc>
        <w:tc>
          <w:tcPr>
            <w:tcW w:w="95" w:type="dxa"/>
            <w:tcBorders>
              <w:bottom w:val="single" w:sz="6" w:space="0" w:color="000000"/>
            </w:tcBorders>
            <w:vAlign w:val="center"/>
          </w:tcPr>
          <w:p>
            <w:pPr>
              <w:pStyle w:val="TableContents"/>
              <w:bidi w:val="0"/>
              <w:spacing w:before="0" w:after="283"/>
              <w:jc w:val="lef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1385" w:type="dxa"/>
            <w:tcBorders>
              <w:bottom w:val="single" w:sz="6" w:space="0" w:color="000000"/>
            </w:tcBorders>
            <w:vAlign w:val="center"/>
          </w:tcPr>
          <w:p>
            <w:pPr>
              <w:pStyle w:val="TableContents"/>
              <w:bidi w:val="0"/>
              <w:spacing w:before="0" w:after="283"/>
              <w:jc w:val="right"/>
              <w:rPr/>
            </w:pPr>
            <w:r>
              <w:rPr/>
              <w:t>15,156</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4970" w:type="dxa"/>
            <w:tcBorders>
              <w:bottom w:val="single" w:sz="6" w:space="0" w:color="000000"/>
            </w:tcBorders>
            <w:shd w:fill="E6EFFF" w:val="clear"/>
            <w:vAlign w:val="center"/>
          </w:tcPr>
          <w:p>
            <w:pPr>
              <w:pStyle w:val="TableContents"/>
              <w:bidi w:val="0"/>
              <w:spacing w:before="0" w:after="0"/>
              <w:jc w:val="left"/>
              <w:rPr/>
            </w:pPr>
            <w:r>
              <w:rPr/>
              <w:t>Effect of exchange rate changes on cash</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457,451</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(2,357,492</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4970" w:type="dxa"/>
            <w:tcBorders/>
            <w:tcMar>
              <w:bottom w:w="0" w:type="dxa"/>
            </w:tcMar>
            <w:vAlign w:val="center"/>
          </w:tcPr>
          <w:p>
            <w:pPr>
              <w:pStyle w:val="TableContents"/>
              <w:bidi w:val="0"/>
              <w:spacing w:before="0" w:after="0"/>
              <w:jc w:val="left"/>
              <w:rPr/>
            </w:pPr>
            <w:r>
              <w:rPr/>
              <w:t>Change in cash</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(5,384,966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(8,656,724</w:t>
            </w:r>
          </w:p>
        </w:tc>
        <w:tc>
          <w:tcPr>
            <w:tcW w:w="110" w:type="dxa"/>
            <w:tcBorders/>
            <w:tcMar>
              <w:bottom w:w="0" w:type="dxa"/>
            </w:tcMar>
            <w:vAlign w:val="center"/>
          </w:tcPr>
          <w:p>
            <w:pPr>
              <w:pStyle w:val="TableContents"/>
              <w:bidi w:val="0"/>
              <w:spacing w:before="0" w:after="283"/>
              <w:jc w:val="left"/>
              <w:rPr/>
            </w:pPr>
            <w:r>
              <w:rPr/>
              <w:t>)</w:t>
            </w:r>
          </w:p>
        </w:tc>
      </w:tr>
      <w:tr>
        <w:trPr/>
        <w:tc>
          <w:tcPr>
            <w:tcW w:w="4970" w:type="dxa"/>
            <w:tcBorders>
              <w:bottom w:val="single" w:sz="6" w:space="0" w:color="000000"/>
            </w:tcBorders>
            <w:shd w:fill="E6EFFF" w:val="clear"/>
            <w:vAlign w:val="center"/>
          </w:tcPr>
          <w:p>
            <w:pPr>
              <w:pStyle w:val="TableContents"/>
              <w:bidi w:val="0"/>
              <w:spacing w:before="0" w:after="0"/>
              <w:jc w:val="left"/>
              <w:rPr/>
            </w:pPr>
            <w:r>
              <w:rPr/>
              <w:t>Cash, beginning of period</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18,536,958</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40,656,069</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4970" w:type="dxa"/>
            <w:tcBorders>
              <w:bottom w:val="single" w:sz="12" w:space="0" w:color="000000"/>
            </w:tcBorders>
            <w:vAlign w:val="center"/>
          </w:tcPr>
          <w:p>
            <w:pPr>
              <w:pStyle w:val="TableContents"/>
              <w:bidi w:val="0"/>
              <w:spacing w:before="0" w:after="0"/>
              <w:jc w:val="left"/>
              <w:rPr/>
            </w:pPr>
            <w:r>
              <w:rPr/>
              <w:t>Cash, end of period</w:t>
            </w:r>
          </w:p>
        </w:tc>
        <w:tc>
          <w:tcPr>
            <w:tcW w:w="60" w:type="dxa"/>
            <w:tcBorders>
              <w:bottom w:val="single" w:sz="12" w:space="0" w:color="000000"/>
            </w:tcBorders>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283"/>
              <w:jc w:val="right"/>
              <w:rPr/>
            </w:pPr>
            <w:r>
              <w:rPr/>
              <w:t>13,151,992</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283"/>
              <w:jc w:val="right"/>
              <w:rPr/>
            </w:pPr>
            <w:r>
              <w:rPr/>
              <w:t>31,999,345</w:t>
            </w:r>
          </w:p>
        </w:tc>
        <w:tc>
          <w:tcPr>
            <w:tcW w:w="110" w:type="dxa"/>
            <w:tcBorders>
              <w:bottom w:val="single" w:sz="12" w:space="0" w:color="000000"/>
            </w:tcBorders>
            <w:vAlign w:val="center"/>
          </w:tcPr>
          <w:p>
            <w:pPr>
              <w:pStyle w:val="TableContents"/>
              <w:bidi w:val="0"/>
              <w:spacing w:before="0" w:after="283"/>
              <w:jc w:val="left"/>
              <w:rPr/>
            </w:pPr>
            <w:r>
              <w:rPr/>
              <w:t> </w:t>
            </w:r>
          </w:p>
        </w:tc>
      </w:tr>
    </w:tbl>
    <w:p>
      <w:pPr>
        <w:pStyle w:val="TextBody"/>
        <w:bidi w:val="0"/>
        <w:jc w:val="both"/>
        <w:rPr/>
      </w:pPr>
      <w:r>
        <w:rPr/>
        <w:t>There were no non-cash transactions during the three months ended May 31, 2023 or May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42" w:name="footer_page_6"/>
      <w:bookmarkStart w:id="43" w:name="footer_page_6"/>
      <w:bookmarkEnd w:id="43"/>
    </w:p>
    <w:tbl>
      <w:tblPr>
        <w:tblW w:w="9935" w:type="dxa"/>
        <w:jc w:val="left"/>
        <w:tblInd w:w="0" w:type="dxa"/>
        <w:tblLayout w:type="fixed"/>
        <w:tblCellMar>
          <w:top w:w="0" w:type="dxa"/>
          <w:left w:w="0" w:type="dxa"/>
          <w:bottom w:w="0" w:type="dxa"/>
          <w:right w:w="0" w:type="dxa"/>
        </w:tblCellMar>
      </w:tblPr>
      <w:tblGrid>
        <w:gridCol w:w="9935"/>
      </w:tblGrid>
      <w:tr>
        <w:trPr/>
        <w:tc>
          <w:tcPr>
            <w:tcW w:w="9935" w:type="dxa"/>
            <w:tcBorders/>
            <w:vAlign w:val="center"/>
          </w:tcPr>
          <w:p>
            <w:pPr>
              <w:pStyle w:val="TableContents"/>
              <w:bidi w:val="0"/>
              <w:spacing w:before="0" w:after="283"/>
              <w:jc w:val="center"/>
              <w:rPr/>
            </w:pPr>
            <w:r>
              <w:rPr/>
              <w:t>The accompanying notes are an integral part of these interim condensed consolidated financial statements</w:t>
            </w:r>
          </w:p>
        </w:tc>
      </w:tr>
      <w:tr>
        <w:trPr/>
        <w:tc>
          <w:tcPr>
            <w:tcW w:w="9935" w:type="dxa"/>
            <w:tcBorders/>
            <w:vAlign w:val="center"/>
          </w:tcPr>
          <w:p>
            <w:pPr>
              <w:pStyle w:val="TableContents"/>
              <w:bidi w:val="0"/>
              <w:spacing w:before="0" w:after="283"/>
              <w:jc w:val="center"/>
              <w:rPr/>
            </w:pPr>
            <w:r>
              <w:rPr/>
              <w:t>4</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w:t>
      </w:r>
      <w:r>
        <w:rPr/>
        <w:t> </w:t>
      </w:r>
      <w:r>
        <w:rPr>
          <w:b/>
        </w:rPr>
        <w:t>Nature of Operations and Continuance of Business</w:t>
      </w:r>
    </w:p>
    <w:p>
      <w:pPr>
        <w:pStyle w:val="TextBody"/>
        <w:bidi w:val="0"/>
        <w:ind w:left="360" w:right="0" w:hanging="0"/>
        <w:jc w:val="both"/>
        <w:rPr/>
      </w:pPr>
      <w:r>
        <w:rPr/>
        <w:t xml:space="preserve">Small Pharma Inc. (formerly, Unilock Capital Corp.) (the "Company" or "Small Pharma Inc.") was incorporated under the </w:t>
      </w:r>
      <w:r>
        <w:rPr>
          <w:i/>
        </w:rPr>
        <w:t>Business Corporations Act</w:t>
      </w:r>
      <w:r>
        <w:rPr/>
        <w:t xml:space="preserve"> (British Columbia) (the "BCBCA") on January 23, 2018. The Company is a biotechnology company focused on developing short-duration psychedelic-assisted therapies for the treatment of mental health conditions. The Company's head office is located at 50 Featherstone Street, London, UK.</w:t>
      </w:r>
    </w:p>
    <w:p>
      <w:pPr>
        <w:pStyle w:val="TextBody"/>
        <w:bidi w:val="0"/>
        <w:ind w:left="360" w:right="0" w:hanging="0"/>
        <w:jc w:val="both"/>
        <w:rPr/>
      </w:pPr>
      <w:r>
        <w:rPr/>
        <w:t xml:space="preserve">Effective April 29, 2021, and pursuant to the terms of an agreement entered into between the Company, certain shareholders of the Company and Small Pharma Ltd on November 30, 2020, as amended on February 23, 2021, the Company completed its acquisition of all of the issued outstanding ordinary shares of Small Pharma Ltd which constituted the Company's qualifying transaction under TSX Venture Exchange ("TSXV") Policy 2.4 - </w:t>
      </w:r>
      <w:r>
        <w:rPr>
          <w:i/>
        </w:rPr>
        <w:t>Capital Pool Companies</w:t>
      </w:r>
      <w:r>
        <w:rPr/>
        <w:t>. This transaction constituted a reverse acquisition of the Company by Small Pharma Ltd, with Small Pharma Ltd being identified as the accounting acquirer. As a result, these interim condensed consolidated financial statements are a continuation of Small Pharma Ltd. The Company's results of operations are included from April 29, 2021, onwards, except for capital which has been retroactively adjusted to reflect the capital of the Company.</w:t>
      </w:r>
    </w:p>
    <w:p>
      <w:pPr>
        <w:pStyle w:val="TextBody"/>
        <w:bidi w:val="0"/>
        <w:ind w:left="360" w:right="0" w:hanging="0"/>
        <w:jc w:val="both"/>
        <w:rPr/>
      </w:pPr>
      <w:r>
        <w:rPr>
          <w:b/>
        </w:rPr>
        <w:t>2.</w:t>
      </w:r>
      <w:r>
        <w:rPr/>
        <w:t> </w:t>
      </w:r>
      <w:r>
        <w:rPr>
          <w:b/>
        </w:rPr>
        <w:t>Significant Accounting Policies</w:t>
      </w:r>
    </w:p>
    <w:p>
      <w:pPr>
        <w:pStyle w:val="TextBody"/>
        <w:bidi w:val="0"/>
        <w:ind w:left="720" w:right="0" w:hanging="0"/>
        <w:jc w:val="both"/>
        <w:rPr/>
      </w:pPr>
      <w:r>
        <w:rPr>
          <w:b/>
        </w:rPr>
        <w:t>(a)</w:t>
      </w:r>
      <w:r>
        <w:rPr/>
        <w:t> </w:t>
      </w:r>
      <w:r>
        <w:rPr>
          <w:b/>
        </w:rPr>
        <w:t>Statement of Compliance</w:t>
      </w:r>
    </w:p>
    <w:p>
      <w:pPr>
        <w:pStyle w:val="TextBody"/>
        <w:bidi w:val="0"/>
        <w:ind w:left="720" w:right="0" w:hanging="0"/>
        <w:jc w:val="both"/>
        <w:rPr/>
      </w:pPr>
      <w:r>
        <w:rPr/>
        <w:t>These interim condensed consolidated financial statements have been prepared in accordance with International Financial Reporting Standards ("IFRS") applicable to interim financial information, as outlined in International Accounting Standard ("IAS") 34, "Interim Financial Reporting" and using the accounting policies consistent with those in the audited consolidated financial statements as at and for the year ended February 28, 2023.</w:t>
      </w:r>
    </w:p>
    <w:p>
      <w:pPr>
        <w:pStyle w:val="TextBody"/>
        <w:bidi w:val="0"/>
        <w:ind w:left="720" w:right="0" w:hanging="0"/>
        <w:jc w:val="both"/>
        <w:rPr/>
      </w:pPr>
      <w:r>
        <w:rPr/>
        <w:t>These interim condensed consolidated financial statements do not include all disclosures normally provided in annual financial statements and should be read in conjunction with the annual consolidated financial statements as at and for the year ended February 28, 2023. Interim results are not necessarily indicative of the results expected for the fiscal year.</w:t>
      </w:r>
    </w:p>
    <w:p>
      <w:pPr>
        <w:pStyle w:val="TextBody"/>
        <w:bidi w:val="0"/>
        <w:ind w:left="720" w:right="0" w:hanging="0"/>
        <w:jc w:val="both"/>
        <w:rPr/>
      </w:pPr>
      <w:r>
        <w:rPr/>
        <w:t>These interim condensed consolidated financial statements were authorized for issuance by the board of directors on July 27, 2023.</w:t>
      </w:r>
    </w:p>
    <w:p>
      <w:pPr>
        <w:pStyle w:val="TextBody"/>
        <w:bidi w:val="0"/>
        <w:ind w:left="720" w:right="0" w:hanging="0"/>
        <w:jc w:val="both"/>
        <w:rPr/>
      </w:pPr>
      <w:r>
        <w:rPr/>
        <w:t>These interim condensed consolidated financial statements include the accounts of the Company and its wholly-owned subsidiaries, including Small Pharma Ltd, a company incorporated in the UK on February 4, 2015, Small Pharma (US) Inc., a company incorporated in the State of Delaware, USA on July 5, 2022 that does not currently have significant assets and is not currently conducting active business operations and an amalgamated entity ("Amalco") formed between 1292589 B.C. Ltd. ("Subco") and Small Pharma Financing Inc. in connection with the qualifying transaction  until Amalco's dissolution on October 7, 2021.</w:t>
      </w:r>
    </w:p>
    <w:p>
      <w:pPr>
        <w:pStyle w:val="TextBody"/>
        <w:bidi w:val="0"/>
        <w:ind w:left="720" w:right="0" w:hanging="0"/>
        <w:jc w:val="both"/>
        <w:rPr/>
      </w:pPr>
      <w:r>
        <w:rPr/>
        <w:t>Subsidiaries are those entities over which the Company has control. Control exists when the company has the power, directly or indirectly, to govern the financial and operating policies of an entity and be exposed to the variable returns from its activities. The financial statements of subsidiaries are included in the interim condensed consolidated financial statements from the date control commences until the date that control ceases.</w:t>
      </w:r>
    </w:p>
    <w:p>
      <w:pPr>
        <w:pStyle w:val="TextBody"/>
        <w:bidi w:val="0"/>
        <w:ind w:left="720" w:right="0" w:hanging="0"/>
        <w:jc w:val="both"/>
        <w:rPr/>
      </w:pPr>
      <w:r>
        <w:rPr/>
        <w:t>All intercompany transactions have been eliminated on consolidation.</w:t>
      </w:r>
    </w:p>
    <w:p>
      <w:pPr>
        <w:pStyle w:val="TextBody"/>
        <w:bidi w:val="0"/>
        <w:ind w:left="720" w:right="0" w:hanging="0"/>
        <w:jc w:val="both"/>
        <w:rPr/>
      </w:pPr>
      <w:r>
        <w:rPr>
          <w:b/>
        </w:rPr>
        <w:t>(b)</w:t>
      </w:r>
      <w:r>
        <w:rPr/>
        <w:t> </w:t>
      </w:r>
      <w:r>
        <w:rPr>
          <w:b/>
        </w:rPr>
        <w:t>Basis of Presentation</w:t>
      </w:r>
    </w:p>
    <w:p>
      <w:pPr>
        <w:pStyle w:val="TextBody"/>
        <w:bidi w:val="0"/>
        <w:ind w:left="720" w:right="0" w:hanging="0"/>
        <w:jc w:val="both"/>
        <w:rPr/>
      </w:pPr>
      <w:r>
        <w:rPr/>
        <w:t>These interim condensed consolidated financial statements have been prepared on a historical cost basis except for certain financial instruments and equity instruments which are measured at fair value. All monetary references expressed in these notes are in Canadian dollars unless 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4" w:name="footer_page_7"/>
      <w:bookmarkEnd w:id="44"/>
      <w:r>
        <w:rPr/>
        <w:t>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3.</w:t>
      </w:r>
      <w:r>
        <w:rPr/>
        <w:t> </w:t>
      </w:r>
      <w:r>
        <w:rPr>
          <w:b/>
        </w:rPr>
        <w:t>Non-current assets</w:t>
      </w:r>
    </w:p>
    <w:tbl>
      <w:tblPr>
        <w:tblW w:w="5875" w:type="dxa"/>
        <w:jc w:val="left"/>
        <w:tblInd w:w="360" w:type="dxa"/>
        <w:tblLayout w:type="fixed"/>
        <w:tblCellMar>
          <w:top w:w="0" w:type="dxa"/>
          <w:left w:w="0" w:type="dxa"/>
          <w:bottom w:w="28" w:type="dxa"/>
          <w:right w:w="0" w:type="dxa"/>
        </w:tblCellMar>
      </w:tblPr>
      <w:tblGrid>
        <w:gridCol w:w="3110"/>
        <w:gridCol w:w="60"/>
        <w:gridCol w:w="1235"/>
        <w:gridCol w:w="95"/>
        <w:gridCol w:w="60"/>
        <w:gridCol w:w="1205"/>
        <w:gridCol w:w="110"/>
      </w:tblGrid>
      <w:tr>
        <w:trPr/>
        <w:tc>
          <w:tcPr>
            <w:tcW w:w="311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235" w:type="dxa"/>
            <w:tcBorders>
              <w:bottom w:val="single" w:sz="6" w:space="0" w:color="000000"/>
            </w:tcBorders>
            <w:vAlign w:val="center"/>
          </w:tcPr>
          <w:p>
            <w:pPr>
              <w:pStyle w:val="TableContents"/>
              <w:bidi w:val="0"/>
              <w:spacing w:before="0" w:after="283"/>
              <w:jc w:val="center"/>
              <w:rPr/>
            </w:pPr>
            <w:r>
              <w:rPr/>
              <w:t>Property and</w:t>
              <w:br/>
              <w:t>equipment</w:t>
              <w:br/>
              <w:t>$</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205" w:type="dxa"/>
            <w:tcBorders>
              <w:bottom w:val="single" w:sz="6" w:space="0" w:color="000000"/>
            </w:tcBorders>
            <w:vAlign w:val="center"/>
          </w:tcPr>
          <w:p>
            <w:pPr>
              <w:pStyle w:val="TableContents"/>
              <w:bidi w:val="0"/>
              <w:spacing w:before="0" w:after="283"/>
              <w:jc w:val="center"/>
              <w:rPr/>
            </w:pPr>
            <w:r>
              <w:rPr/>
              <w:t>Right-of-use</w:t>
              <w:br/>
              <w:t>asset</w:t>
              <w:br/>
              <w:t>$</w:t>
            </w:r>
          </w:p>
        </w:tc>
        <w:tc>
          <w:tcPr>
            <w:tcW w:w="110" w:type="dxa"/>
            <w:tcBorders>
              <w:bottom w:val="single" w:sz="6" w:space="0" w:color="000000"/>
            </w:tcBorders>
            <w:vAlign w:val="center"/>
          </w:tcPr>
          <w:p>
            <w:pPr>
              <w:pStyle w:val="TableContents"/>
              <w:bidi w:val="0"/>
              <w:spacing w:before="0" w:after="283"/>
              <w:jc w:val="center"/>
              <w:rPr/>
            </w:pPr>
            <w:r>
              <w:rPr/>
              <w:t> </w:t>
            </w:r>
          </w:p>
        </w:tc>
      </w:tr>
      <w:tr>
        <w:trPr/>
        <w:tc>
          <w:tcPr>
            <w:tcW w:w="311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23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20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10"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3110" w:type="dxa"/>
            <w:tcBorders/>
            <w:shd w:fill="E6EFFF" w:val="clear"/>
            <w:tcMar>
              <w:bottom w:w="0" w:type="dxa"/>
            </w:tcMar>
            <w:vAlign w:val="center"/>
          </w:tcPr>
          <w:p>
            <w:pPr>
              <w:pStyle w:val="TableContents"/>
              <w:bidi w:val="0"/>
              <w:spacing w:before="0" w:after="283"/>
              <w:jc w:val="left"/>
              <w:rPr/>
            </w:pPr>
            <w:r>
              <w:rPr/>
              <w:t>Cost:</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23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right"/>
              <w:rPr/>
            </w:pPr>
            <w:r>
              <w:rPr/>
              <w:t> </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20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right"/>
              <w:rPr/>
            </w:pPr>
            <w:r>
              <w:rPr/>
              <w:t> </w:t>
            </w:r>
          </w:p>
        </w:tc>
      </w:tr>
      <w:tr>
        <w:trPr/>
        <w:tc>
          <w:tcPr>
            <w:tcW w:w="3110" w:type="dxa"/>
            <w:tcBorders/>
            <w:tcMar>
              <w:bottom w:w="0" w:type="dxa"/>
            </w:tcMar>
            <w:vAlign w:val="center"/>
          </w:tcPr>
          <w:p>
            <w:pPr>
              <w:pStyle w:val="TableContents"/>
              <w:bidi w:val="0"/>
              <w:spacing w:before="0" w:after="283"/>
              <w:jc w:val="left"/>
              <w:rPr/>
            </w:pPr>
            <w:r>
              <w:rPr/>
              <w:t>Balance, February 28, 2023</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107,117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right"/>
              <w:rPr/>
            </w:pPr>
            <w:r>
              <w:rPr/>
              <w:t>630,988</w:t>
            </w:r>
          </w:p>
        </w:tc>
        <w:tc>
          <w:tcPr>
            <w:tcW w:w="110" w:type="dxa"/>
            <w:tcBorders/>
            <w:tcMar>
              <w:bottom w:w="0" w:type="dxa"/>
            </w:tcMar>
            <w:vAlign w:val="center"/>
          </w:tcPr>
          <w:p>
            <w:pPr>
              <w:pStyle w:val="TableContents"/>
              <w:bidi w:val="0"/>
              <w:spacing w:before="0" w:after="283"/>
              <w:jc w:val="left"/>
              <w:rPr/>
            </w:pPr>
            <w:r>
              <w:rPr/>
              <w:t> </w:t>
            </w:r>
          </w:p>
        </w:tc>
      </w:tr>
      <w:tr>
        <w:trPr/>
        <w:tc>
          <w:tcPr>
            <w:tcW w:w="3110" w:type="dxa"/>
            <w:tcBorders>
              <w:bottom w:val="single" w:sz="6" w:space="0" w:color="000000"/>
            </w:tcBorders>
            <w:shd w:fill="E6EFFF" w:val="clear"/>
            <w:vAlign w:val="center"/>
          </w:tcPr>
          <w:p>
            <w:pPr>
              <w:pStyle w:val="TableContents"/>
              <w:bidi w:val="0"/>
              <w:spacing w:before="0" w:after="283"/>
              <w:jc w:val="left"/>
              <w:rPr/>
            </w:pPr>
            <w:r>
              <w:rPr/>
              <w:t>Foreign currency translation</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35" w:type="dxa"/>
            <w:tcBorders>
              <w:bottom w:val="single" w:sz="6" w:space="0" w:color="000000"/>
            </w:tcBorders>
            <w:shd w:fill="E6EFFF" w:val="clear"/>
            <w:vAlign w:val="center"/>
          </w:tcPr>
          <w:p>
            <w:pPr>
              <w:pStyle w:val="TableContents"/>
              <w:bidi w:val="0"/>
              <w:spacing w:before="0" w:after="283"/>
              <w:jc w:val="right"/>
              <w:rPr/>
            </w:pPr>
            <w:r>
              <w:rPr/>
              <w:t>2,635</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05" w:type="dxa"/>
            <w:tcBorders>
              <w:bottom w:val="single" w:sz="6" w:space="0" w:color="000000"/>
            </w:tcBorders>
            <w:shd w:fill="E6EFFF" w:val="clear"/>
            <w:vAlign w:val="center"/>
          </w:tcPr>
          <w:p>
            <w:pPr>
              <w:pStyle w:val="TableContents"/>
              <w:bidi w:val="0"/>
              <w:spacing w:before="0" w:after="283"/>
              <w:jc w:val="right"/>
              <w:rPr/>
            </w:pPr>
            <w:r>
              <w:rPr/>
              <w:t>15,528</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3110" w:type="dxa"/>
            <w:tcBorders>
              <w:bottom w:val="single" w:sz="6" w:space="0" w:color="000000"/>
            </w:tcBorders>
            <w:vAlign w:val="center"/>
          </w:tcPr>
          <w:p>
            <w:pPr>
              <w:pStyle w:val="TableContents"/>
              <w:bidi w:val="0"/>
              <w:spacing w:before="0" w:after="283"/>
              <w:jc w:val="left"/>
              <w:rPr/>
            </w:pPr>
            <w:r>
              <w:rPr/>
              <w:t>Balance, May 31, 2023</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109,752</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205" w:type="dxa"/>
            <w:tcBorders>
              <w:bottom w:val="single" w:sz="6" w:space="0" w:color="000000"/>
            </w:tcBorders>
            <w:vAlign w:val="center"/>
          </w:tcPr>
          <w:p>
            <w:pPr>
              <w:pStyle w:val="TableContents"/>
              <w:bidi w:val="0"/>
              <w:spacing w:before="0" w:after="283"/>
              <w:jc w:val="right"/>
              <w:rPr/>
            </w:pPr>
            <w:r>
              <w:rPr/>
              <w:t>646,516</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3110" w:type="dxa"/>
            <w:tcBorders/>
            <w:shd w:fill="E6EFFF" w:val="clear"/>
            <w:tcMar>
              <w:bottom w:w="0" w:type="dxa"/>
            </w:tcMar>
            <w:vAlign w:val="center"/>
          </w:tcPr>
          <w:p>
            <w:pPr>
              <w:pStyle w:val="TableContents"/>
              <w:bidi w:val="0"/>
              <w:spacing w:before="0" w:after="283"/>
              <w:jc w:val="left"/>
              <w:rPr/>
            </w:pPr>
            <w:r>
              <w:rPr/>
              <w:t>Accumulated depreciation:</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0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3110" w:type="dxa"/>
            <w:tcBorders/>
            <w:tcMar>
              <w:bottom w:w="0" w:type="dxa"/>
            </w:tcMar>
            <w:vAlign w:val="center"/>
          </w:tcPr>
          <w:p>
            <w:pPr>
              <w:pStyle w:val="TableContents"/>
              <w:bidi w:val="0"/>
              <w:spacing w:before="0" w:after="283"/>
              <w:jc w:val="left"/>
              <w:rPr/>
            </w:pPr>
            <w:r>
              <w:rPr/>
              <w:t>Balance, February 28, 2023</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(52,776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right"/>
              <w:rPr/>
            </w:pPr>
            <w:r>
              <w:rPr/>
              <w:t>(25,755</w:t>
            </w:r>
          </w:p>
        </w:tc>
        <w:tc>
          <w:tcPr>
            <w:tcW w:w="110" w:type="dxa"/>
            <w:tcBorders/>
            <w:tcMar>
              <w:bottom w:w="0" w:type="dxa"/>
            </w:tcMar>
            <w:vAlign w:val="center"/>
          </w:tcPr>
          <w:p>
            <w:pPr>
              <w:pStyle w:val="TableContents"/>
              <w:bidi w:val="0"/>
              <w:spacing w:before="0" w:after="283"/>
              <w:jc w:val="left"/>
              <w:rPr/>
            </w:pPr>
            <w:r>
              <w:rPr/>
              <w:t>)</w:t>
            </w:r>
          </w:p>
        </w:tc>
      </w:tr>
      <w:tr>
        <w:trPr/>
        <w:tc>
          <w:tcPr>
            <w:tcW w:w="3110" w:type="dxa"/>
            <w:tcBorders/>
            <w:shd w:fill="E6EFFF" w:val="clear"/>
            <w:tcMar>
              <w:bottom w:w="0" w:type="dxa"/>
            </w:tcMar>
            <w:vAlign w:val="center"/>
          </w:tcPr>
          <w:p>
            <w:pPr>
              <w:pStyle w:val="TableContents"/>
              <w:bidi w:val="0"/>
              <w:spacing w:before="0" w:after="283"/>
              <w:jc w:val="left"/>
              <w:rPr/>
            </w:pPr>
            <w:r>
              <w:rPr/>
              <w:t>Foreign currency translation</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(1,343</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05" w:type="dxa"/>
            <w:tcBorders/>
            <w:shd w:fill="E6EFFF" w:val="clear"/>
            <w:tcMar>
              <w:bottom w:w="0" w:type="dxa"/>
            </w:tcMar>
            <w:vAlign w:val="center"/>
          </w:tcPr>
          <w:p>
            <w:pPr>
              <w:pStyle w:val="TableContents"/>
              <w:bidi w:val="0"/>
              <w:spacing w:before="0" w:after="283"/>
              <w:jc w:val="right"/>
              <w:rPr/>
            </w:pPr>
            <w:r>
              <w:rPr/>
              <w:t>(1,150</w:t>
            </w:r>
          </w:p>
        </w:tc>
        <w:tc>
          <w:tcPr>
            <w:tcW w:w="110" w:type="dxa"/>
            <w:tcBorders/>
            <w:shd w:fill="E6EFFF" w:val="clear"/>
            <w:tcMar>
              <w:bottom w:w="0" w:type="dxa"/>
            </w:tcMar>
            <w:vAlign w:val="center"/>
          </w:tcPr>
          <w:p>
            <w:pPr>
              <w:pStyle w:val="TableContents"/>
              <w:bidi w:val="0"/>
              <w:spacing w:before="0" w:after="283"/>
              <w:jc w:val="left"/>
              <w:rPr/>
            </w:pPr>
            <w:r>
              <w:rPr/>
              <w:t>)</w:t>
            </w:r>
          </w:p>
        </w:tc>
      </w:tr>
      <w:tr>
        <w:trPr/>
        <w:tc>
          <w:tcPr>
            <w:tcW w:w="3110" w:type="dxa"/>
            <w:tcBorders>
              <w:bottom w:val="single" w:sz="6" w:space="0" w:color="000000"/>
            </w:tcBorders>
            <w:vAlign w:val="center"/>
          </w:tcPr>
          <w:p>
            <w:pPr>
              <w:pStyle w:val="TableContents"/>
              <w:bidi w:val="0"/>
              <w:spacing w:before="0" w:after="283"/>
              <w:jc w:val="left"/>
              <w:rPr/>
            </w:pPr>
            <w:r>
              <w:rPr/>
              <w:t>Depreciation</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(6,877</w:t>
            </w:r>
          </w:p>
        </w:tc>
        <w:tc>
          <w:tcPr>
            <w:tcW w:w="95" w:type="dxa"/>
            <w:tcBorders>
              <w:bottom w:val="single" w:sz="6" w:space="0" w:color="000000"/>
            </w:tcBorders>
            <w:vAlign w:val="center"/>
          </w:tcPr>
          <w:p>
            <w:pPr>
              <w:pStyle w:val="TableContents"/>
              <w:bidi w:val="0"/>
              <w:spacing w:before="0" w:after="283"/>
              <w:jc w:val="lef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1205" w:type="dxa"/>
            <w:tcBorders>
              <w:bottom w:val="single" w:sz="6" w:space="0" w:color="000000"/>
            </w:tcBorders>
            <w:vAlign w:val="center"/>
          </w:tcPr>
          <w:p>
            <w:pPr>
              <w:pStyle w:val="TableContents"/>
              <w:bidi w:val="0"/>
              <w:spacing w:before="0" w:after="283"/>
              <w:jc w:val="right"/>
              <w:rPr/>
            </w:pPr>
            <w:r>
              <w:rPr/>
              <w:t>(78,649</w:t>
            </w:r>
          </w:p>
        </w:tc>
        <w:tc>
          <w:tcPr>
            <w:tcW w:w="110" w:type="dxa"/>
            <w:tcBorders>
              <w:bottom w:val="single" w:sz="6" w:space="0" w:color="000000"/>
            </w:tcBorders>
            <w:vAlign w:val="center"/>
          </w:tcPr>
          <w:p>
            <w:pPr>
              <w:pStyle w:val="TableContents"/>
              <w:bidi w:val="0"/>
              <w:spacing w:before="0" w:after="283"/>
              <w:jc w:val="left"/>
              <w:rPr/>
            </w:pPr>
            <w:r>
              <w:rPr/>
              <w:t>)</w:t>
            </w:r>
          </w:p>
        </w:tc>
      </w:tr>
      <w:tr>
        <w:trPr/>
        <w:tc>
          <w:tcPr>
            <w:tcW w:w="3110" w:type="dxa"/>
            <w:tcBorders>
              <w:bottom w:val="single" w:sz="6" w:space="0" w:color="000000"/>
            </w:tcBorders>
            <w:shd w:fill="E6EFFF" w:val="clear"/>
            <w:vAlign w:val="center"/>
          </w:tcPr>
          <w:p>
            <w:pPr>
              <w:pStyle w:val="TableContents"/>
              <w:bidi w:val="0"/>
              <w:spacing w:before="0" w:after="283"/>
              <w:jc w:val="left"/>
              <w:rPr/>
            </w:pPr>
            <w:r>
              <w:rPr/>
              <w:t>Balance May 31, 2023</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35" w:type="dxa"/>
            <w:tcBorders>
              <w:bottom w:val="single" w:sz="6" w:space="0" w:color="000000"/>
            </w:tcBorders>
            <w:shd w:fill="E6EFFF" w:val="clear"/>
            <w:vAlign w:val="center"/>
          </w:tcPr>
          <w:p>
            <w:pPr>
              <w:pStyle w:val="TableContents"/>
              <w:bidi w:val="0"/>
              <w:spacing w:before="0" w:after="283"/>
              <w:jc w:val="right"/>
              <w:rPr/>
            </w:pPr>
            <w:r>
              <w:rPr/>
              <w:t>(60,996</w:t>
            </w:r>
          </w:p>
        </w:tc>
        <w:tc>
          <w:tcPr>
            <w:tcW w:w="95" w:type="dxa"/>
            <w:tcBorders>
              <w:bottom w:val="single" w:sz="6" w:space="0" w:color="000000"/>
            </w:tcBorders>
            <w:shd w:fill="E6EFFF" w:val="clear"/>
            <w:vAlign w:val="center"/>
          </w:tcPr>
          <w:p>
            <w:pPr>
              <w:pStyle w:val="TableContents"/>
              <w:bidi w:val="0"/>
              <w:spacing w:before="0" w:after="283"/>
              <w:jc w:val="left"/>
              <w:rPr/>
            </w:pPr>
            <w:r>
              <w:rPr/>
              <w: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05" w:type="dxa"/>
            <w:tcBorders>
              <w:bottom w:val="single" w:sz="6" w:space="0" w:color="000000"/>
            </w:tcBorders>
            <w:shd w:fill="E6EFFF" w:val="clear"/>
            <w:vAlign w:val="center"/>
          </w:tcPr>
          <w:p>
            <w:pPr>
              <w:pStyle w:val="TableContents"/>
              <w:bidi w:val="0"/>
              <w:spacing w:before="0" w:after="283"/>
              <w:jc w:val="right"/>
              <w:rPr/>
            </w:pPr>
            <w:r>
              <w:rPr/>
              <w:t>(105,554</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3110" w:type="dxa"/>
            <w:tcBorders>
              <w:bottom w:val="single" w:sz="12" w:space="0" w:color="000000"/>
            </w:tcBorders>
            <w:vAlign w:val="center"/>
          </w:tcPr>
          <w:p>
            <w:pPr>
              <w:pStyle w:val="TableContents"/>
              <w:bidi w:val="0"/>
              <w:spacing w:before="0" w:after="283"/>
              <w:jc w:val="left"/>
              <w:rPr/>
            </w:pPr>
            <w:r>
              <w:rPr/>
              <w:t>Net book value at May 31, 2023</w:t>
            </w:r>
          </w:p>
        </w:tc>
        <w:tc>
          <w:tcPr>
            <w:tcW w:w="60" w:type="dxa"/>
            <w:tcBorders>
              <w:bottom w:val="single" w:sz="12" w:space="0" w:color="000000"/>
            </w:tcBorders>
            <w:vAlign w:val="center"/>
          </w:tcPr>
          <w:p>
            <w:pPr>
              <w:pStyle w:val="TableContents"/>
              <w:bidi w:val="0"/>
              <w:spacing w:before="0" w:after="283"/>
              <w:jc w:val="left"/>
              <w:rPr/>
            </w:pPr>
            <w:r>
              <w:rPr/>
              <w:t> </w:t>
            </w:r>
          </w:p>
        </w:tc>
        <w:tc>
          <w:tcPr>
            <w:tcW w:w="1235" w:type="dxa"/>
            <w:tcBorders>
              <w:bottom w:val="single" w:sz="12" w:space="0" w:color="000000"/>
            </w:tcBorders>
            <w:vAlign w:val="center"/>
          </w:tcPr>
          <w:p>
            <w:pPr>
              <w:pStyle w:val="TableContents"/>
              <w:bidi w:val="0"/>
              <w:spacing w:before="0" w:after="283"/>
              <w:jc w:val="right"/>
              <w:rPr/>
            </w:pPr>
            <w:r>
              <w:rPr/>
              <w:t>48,756</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right"/>
              <w:rPr/>
            </w:pPr>
            <w:r>
              <w:rPr/>
              <w:t>540,962</w:t>
            </w:r>
          </w:p>
        </w:tc>
        <w:tc>
          <w:tcPr>
            <w:tcW w:w="11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360" w:right="0" w:hanging="0"/>
        <w:jc w:val="left"/>
        <w:rPr/>
      </w:pPr>
      <w:r>
        <w:rPr/>
      </w:r>
    </w:p>
    <w:tbl>
      <w:tblPr>
        <w:tblW w:w="6295" w:type="dxa"/>
        <w:jc w:val="left"/>
        <w:tblInd w:w="360" w:type="dxa"/>
        <w:tblLayout w:type="fixed"/>
        <w:tblCellMar>
          <w:top w:w="0" w:type="dxa"/>
          <w:left w:w="0" w:type="dxa"/>
          <w:bottom w:w="28" w:type="dxa"/>
          <w:right w:w="0" w:type="dxa"/>
        </w:tblCellMar>
      </w:tblPr>
      <w:tblGrid>
        <w:gridCol w:w="3530"/>
        <w:gridCol w:w="60"/>
        <w:gridCol w:w="1235"/>
        <w:gridCol w:w="95"/>
        <w:gridCol w:w="60"/>
        <w:gridCol w:w="1205"/>
        <w:gridCol w:w="110"/>
      </w:tblGrid>
      <w:tr>
        <w:trPr/>
        <w:tc>
          <w:tcPr>
            <w:tcW w:w="353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235" w:type="dxa"/>
            <w:tcBorders>
              <w:bottom w:val="single" w:sz="6" w:space="0" w:color="000000"/>
            </w:tcBorders>
            <w:vAlign w:val="center"/>
          </w:tcPr>
          <w:p>
            <w:pPr>
              <w:pStyle w:val="TableContents"/>
              <w:bidi w:val="0"/>
              <w:spacing w:before="0" w:after="283"/>
              <w:jc w:val="center"/>
              <w:rPr/>
            </w:pPr>
            <w:r>
              <w:rPr/>
              <w:t>Property and</w:t>
              <w:br/>
              <w:t>equipment</w:t>
              <w:br/>
              <w:t>$</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205" w:type="dxa"/>
            <w:tcBorders>
              <w:bottom w:val="single" w:sz="6" w:space="0" w:color="000000"/>
            </w:tcBorders>
            <w:vAlign w:val="center"/>
          </w:tcPr>
          <w:p>
            <w:pPr>
              <w:pStyle w:val="TableContents"/>
              <w:bidi w:val="0"/>
              <w:spacing w:before="0" w:after="283"/>
              <w:jc w:val="center"/>
              <w:rPr/>
            </w:pPr>
            <w:r>
              <w:rPr/>
              <w:t>Right-of-use</w:t>
              <w:br/>
              <w:t>asset</w:t>
              <w:br/>
              <w:t>$</w:t>
            </w:r>
          </w:p>
        </w:tc>
        <w:tc>
          <w:tcPr>
            <w:tcW w:w="110" w:type="dxa"/>
            <w:tcBorders>
              <w:bottom w:val="single" w:sz="6" w:space="0" w:color="000000"/>
            </w:tcBorders>
            <w:vAlign w:val="center"/>
          </w:tcPr>
          <w:p>
            <w:pPr>
              <w:pStyle w:val="TableContents"/>
              <w:bidi w:val="0"/>
              <w:spacing w:before="0" w:after="283"/>
              <w:jc w:val="center"/>
              <w:rPr/>
            </w:pPr>
            <w:r>
              <w:rPr/>
              <w:t> </w:t>
            </w:r>
          </w:p>
        </w:tc>
      </w:tr>
      <w:tr>
        <w:trPr/>
        <w:tc>
          <w:tcPr>
            <w:tcW w:w="353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23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20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10"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3530" w:type="dxa"/>
            <w:tcBorders/>
            <w:shd w:fill="E6EFFF" w:val="clear"/>
            <w:tcMar>
              <w:bottom w:w="0" w:type="dxa"/>
            </w:tcMar>
            <w:vAlign w:val="center"/>
          </w:tcPr>
          <w:p>
            <w:pPr>
              <w:pStyle w:val="TableContents"/>
              <w:bidi w:val="0"/>
              <w:spacing w:before="0" w:after="283"/>
              <w:jc w:val="left"/>
              <w:rPr/>
            </w:pPr>
            <w:r>
              <w:rPr/>
              <w:t>Cost:</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23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right"/>
              <w:rPr/>
            </w:pPr>
            <w:r>
              <w:rPr/>
              <w:t> </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20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right"/>
              <w:rPr/>
            </w:pPr>
            <w:r>
              <w:rPr/>
              <w:t> </w:t>
            </w:r>
          </w:p>
        </w:tc>
      </w:tr>
      <w:tr>
        <w:trPr/>
        <w:tc>
          <w:tcPr>
            <w:tcW w:w="3530" w:type="dxa"/>
            <w:tcBorders/>
            <w:tcMar>
              <w:bottom w:w="0" w:type="dxa"/>
            </w:tcMar>
            <w:vAlign w:val="center"/>
          </w:tcPr>
          <w:p>
            <w:pPr>
              <w:pStyle w:val="TableContents"/>
              <w:bidi w:val="0"/>
              <w:spacing w:before="0" w:after="283"/>
              <w:jc w:val="left"/>
              <w:rPr/>
            </w:pPr>
            <w:r>
              <w:rPr/>
              <w:t>Balance, February 28, 2022</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91,320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 </w:t>
            </w:r>
          </w:p>
        </w:tc>
      </w:tr>
      <w:tr>
        <w:trPr/>
        <w:tc>
          <w:tcPr>
            <w:tcW w:w="3530" w:type="dxa"/>
            <w:tcBorders/>
            <w:shd w:fill="E6EFFF" w:val="clear"/>
            <w:tcMar>
              <w:bottom w:w="0" w:type="dxa"/>
            </w:tcMar>
            <w:vAlign w:val="center"/>
          </w:tcPr>
          <w:p>
            <w:pPr>
              <w:pStyle w:val="TableContents"/>
              <w:bidi w:val="0"/>
              <w:spacing w:before="0" w:after="283"/>
              <w:jc w:val="left"/>
              <w:rPr/>
            </w:pPr>
            <w:r>
              <w:rPr/>
              <w:t>Foreign currency translation</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(2,806</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05" w:type="dxa"/>
            <w:tcBorders/>
            <w:shd w:fill="E6EFFF" w:val="clear"/>
            <w:tcMar>
              <w:bottom w:w="0" w:type="dxa"/>
            </w:tcMar>
            <w:vAlign w:val="center"/>
          </w:tcPr>
          <w:p>
            <w:pPr>
              <w:pStyle w:val="TableContents"/>
              <w:bidi w:val="0"/>
              <w:spacing w:before="0" w:after="283"/>
              <w:jc w:val="right"/>
              <w:rPr/>
            </w:pPr>
            <w:r>
              <w:rPr/>
              <w:t>422</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3530" w:type="dxa"/>
            <w:tcBorders>
              <w:bottom w:val="single" w:sz="6" w:space="0" w:color="000000"/>
            </w:tcBorders>
            <w:vAlign w:val="center"/>
          </w:tcPr>
          <w:p>
            <w:pPr>
              <w:pStyle w:val="TableContents"/>
              <w:bidi w:val="0"/>
              <w:spacing w:before="0" w:after="283"/>
              <w:jc w:val="left"/>
              <w:rPr/>
            </w:pPr>
            <w:r>
              <w:rPr/>
              <w:t>Additions</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18,603</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205" w:type="dxa"/>
            <w:tcBorders>
              <w:bottom w:val="single" w:sz="6" w:space="0" w:color="000000"/>
            </w:tcBorders>
            <w:vAlign w:val="center"/>
          </w:tcPr>
          <w:p>
            <w:pPr>
              <w:pStyle w:val="TableContents"/>
              <w:bidi w:val="0"/>
              <w:spacing w:before="0" w:after="283"/>
              <w:jc w:val="right"/>
              <w:rPr/>
            </w:pPr>
            <w:r>
              <w:rPr/>
              <w:t>630,566</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3530" w:type="dxa"/>
            <w:tcBorders>
              <w:bottom w:val="single" w:sz="6" w:space="0" w:color="000000"/>
            </w:tcBorders>
            <w:shd w:fill="E6EFFF" w:val="clear"/>
            <w:vAlign w:val="center"/>
          </w:tcPr>
          <w:p>
            <w:pPr>
              <w:pStyle w:val="TableContents"/>
              <w:bidi w:val="0"/>
              <w:spacing w:before="0" w:after="283"/>
              <w:jc w:val="left"/>
              <w:rPr/>
            </w:pPr>
            <w:r>
              <w:rPr/>
              <w:t>Balance, February 28, 2023</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35" w:type="dxa"/>
            <w:tcBorders>
              <w:bottom w:val="single" w:sz="6" w:space="0" w:color="000000"/>
            </w:tcBorders>
            <w:shd w:fill="E6EFFF" w:val="clear"/>
            <w:vAlign w:val="center"/>
          </w:tcPr>
          <w:p>
            <w:pPr>
              <w:pStyle w:val="TableContents"/>
              <w:bidi w:val="0"/>
              <w:spacing w:before="0" w:after="283"/>
              <w:jc w:val="right"/>
              <w:rPr/>
            </w:pPr>
            <w:r>
              <w:rPr/>
              <w:t>107,117</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05" w:type="dxa"/>
            <w:tcBorders>
              <w:bottom w:val="single" w:sz="6" w:space="0" w:color="000000"/>
            </w:tcBorders>
            <w:shd w:fill="E6EFFF" w:val="clear"/>
            <w:vAlign w:val="center"/>
          </w:tcPr>
          <w:p>
            <w:pPr>
              <w:pStyle w:val="TableContents"/>
              <w:bidi w:val="0"/>
              <w:spacing w:before="0" w:after="283"/>
              <w:jc w:val="right"/>
              <w:rPr/>
            </w:pPr>
            <w:r>
              <w:rPr/>
              <w:t>630,988</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3530" w:type="dxa"/>
            <w:tcBorders/>
            <w:tcMar>
              <w:bottom w:w="0" w:type="dxa"/>
            </w:tcMar>
            <w:vAlign w:val="center"/>
          </w:tcPr>
          <w:p>
            <w:pPr>
              <w:pStyle w:val="TableContents"/>
              <w:bidi w:val="0"/>
              <w:spacing w:before="0" w:after="283"/>
              <w:jc w:val="left"/>
              <w:rPr/>
            </w:pPr>
            <w:r>
              <w:rPr/>
              <w:t>Accumulated depreciation:</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3530" w:type="dxa"/>
            <w:tcBorders/>
            <w:shd w:fill="E6EFFF" w:val="clear"/>
            <w:tcMar>
              <w:bottom w:w="0" w:type="dxa"/>
            </w:tcMar>
            <w:vAlign w:val="center"/>
          </w:tcPr>
          <w:p>
            <w:pPr>
              <w:pStyle w:val="TableContents"/>
              <w:bidi w:val="0"/>
              <w:spacing w:before="0" w:after="283"/>
              <w:jc w:val="left"/>
              <w:rPr/>
            </w:pPr>
            <w:r>
              <w:rPr/>
              <w:t>Balance, February 28, 2022</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(29,531</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05" w:type="dxa"/>
            <w:tcBorders/>
            <w:shd w:fill="E6EFFF" w:val="clear"/>
            <w:tcMar>
              <w:bottom w:w="0" w:type="dxa"/>
            </w:tcMar>
            <w:vAlign w:val="center"/>
          </w:tcPr>
          <w:p>
            <w:pPr>
              <w:pStyle w:val="TableContents"/>
              <w:bidi w:val="0"/>
              <w:spacing w:before="0" w:after="283"/>
              <w:jc w:val="right"/>
              <w:rPr/>
            </w:pPr>
            <w:r>
              <w:rPr/>
              <w:t>-</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3530" w:type="dxa"/>
            <w:tcBorders/>
            <w:tcMar>
              <w:bottom w:w="0" w:type="dxa"/>
            </w:tcMar>
            <w:vAlign w:val="center"/>
          </w:tcPr>
          <w:p>
            <w:pPr>
              <w:pStyle w:val="TableContents"/>
              <w:bidi w:val="0"/>
              <w:spacing w:before="0" w:after="283"/>
              <w:jc w:val="left"/>
              <w:rPr/>
            </w:pPr>
            <w:r>
              <w:rPr/>
              <w:t>Foreign currency translation</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236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right"/>
              <w:rPr/>
            </w:pPr>
            <w:r>
              <w:rPr/>
              <w:t>(795</w:t>
            </w:r>
          </w:p>
        </w:tc>
        <w:tc>
          <w:tcPr>
            <w:tcW w:w="110" w:type="dxa"/>
            <w:tcBorders/>
            <w:tcMar>
              <w:bottom w:w="0" w:type="dxa"/>
            </w:tcMar>
            <w:vAlign w:val="center"/>
          </w:tcPr>
          <w:p>
            <w:pPr>
              <w:pStyle w:val="TableContents"/>
              <w:bidi w:val="0"/>
              <w:spacing w:before="0" w:after="283"/>
              <w:jc w:val="left"/>
              <w:rPr/>
            </w:pPr>
            <w:r>
              <w:rPr/>
              <w:t>)</w:t>
            </w:r>
          </w:p>
        </w:tc>
      </w:tr>
      <w:tr>
        <w:trPr/>
        <w:tc>
          <w:tcPr>
            <w:tcW w:w="3530" w:type="dxa"/>
            <w:tcBorders>
              <w:bottom w:val="single" w:sz="6" w:space="0" w:color="000000"/>
            </w:tcBorders>
            <w:shd w:fill="E6EFFF" w:val="clear"/>
            <w:vAlign w:val="center"/>
          </w:tcPr>
          <w:p>
            <w:pPr>
              <w:pStyle w:val="TableContents"/>
              <w:bidi w:val="0"/>
              <w:spacing w:before="0" w:after="283"/>
              <w:jc w:val="left"/>
              <w:rPr/>
            </w:pPr>
            <w:r>
              <w:rPr/>
              <w:t>Depreciation</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35" w:type="dxa"/>
            <w:tcBorders>
              <w:bottom w:val="single" w:sz="6" w:space="0" w:color="000000"/>
            </w:tcBorders>
            <w:shd w:fill="E6EFFF" w:val="clear"/>
            <w:vAlign w:val="center"/>
          </w:tcPr>
          <w:p>
            <w:pPr>
              <w:pStyle w:val="TableContents"/>
              <w:bidi w:val="0"/>
              <w:spacing w:before="0" w:after="283"/>
              <w:jc w:val="right"/>
              <w:rPr/>
            </w:pPr>
            <w:r>
              <w:rPr/>
              <w:t>(23,481</w:t>
            </w:r>
          </w:p>
        </w:tc>
        <w:tc>
          <w:tcPr>
            <w:tcW w:w="95" w:type="dxa"/>
            <w:tcBorders>
              <w:bottom w:val="single" w:sz="6" w:space="0" w:color="000000"/>
            </w:tcBorders>
            <w:shd w:fill="E6EFFF" w:val="clear"/>
            <w:vAlign w:val="center"/>
          </w:tcPr>
          <w:p>
            <w:pPr>
              <w:pStyle w:val="TableContents"/>
              <w:bidi w:val="0"/>
              <w:spacing w:before="0" w:after="283"/>
              <w:jc w:val="left"/>
              <w:rPr/>
            </w:pPr>
            <w:r>
              <w:rPr/>
              <w: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05" w:type="dxa"/>
            <w:tcBorders>
              <w:bottom w:val="single" w:sz="6" w:space="0" w:color="000000"/>
            </w:tcBorders>
            <w:shd w:fill="E6EFFF" w:val="clear"/>
            <w:vAlign w:val="center"/>
          </w:tcPr>
          <w:p>
            <w:pPr>
              <w:pStyle w:val="TableContents"/>
              <w:bidi w:val="0"/>
              <w:spacing w:before="0" w:after="283"/>
              <w:jc w:val="right"/>
              <w:rPr/>
            </w:pPr>
            <w:r>
              <w:rPr/>
              <w:t>(24,960</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3530" w:type="dxa"/>
            <w:tcBorders>
              <w:bottom w:val="single" w:sz="6" w:space="0" w:color="000000"/>
            </w:tcBorders>
            <w:vAlign w:val="center"/>
          </w:tcPr>
          <w:p>
            <w:pPr>
              <w:pStyle w:val="TableContents"/>
              <w:bidi w:val="0"/>
              <w:spacing w:before="0" w:after="283"/>
              <w:jc w:val="left"/>
              <w:rPr/>
            </w:pPr>
            <w:r>
              <w:rPr/>
              <w:t>Balance, February 28, 2023</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(52,776</w:t>
            </w:r>
          </w:p>
        </w:tc>
        <w:tc>
          <w:tcPr>
            <w:tcW w:w="95" w:type="dxa"/>
            <w:tcBorders>
              <w:bottom w:val="single" w:sz="6" w:space="0" w:color="000000"/>
            </w:tcBorders>
            <w:vAlign w:val="center"/>
          </w:tcPr>
          <w:p>
            <w:pPr>
              <w:pStyle w:val="TableContents"/>
              <w:bidi w:val="0"/>
              <w:spacing w:before="0" w:after="283"/>
              <w:jc w:val="lef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1205" w:type="dxa"/>
            <w:tcBorders>
              <w:bottom w:val="single" w:sz="6" w:space="0" w:color="000000"/>
            </w:tcBorders>
            <w:vAlign w:val="center"/>
          </w:tcPr>
          <w:p>
            <w:pPr>
              <w:pStyle w:val="TableContents"/>
              <w:bidi w:val="0"/>
              <w:spacing w:before="0" w:after="283"/>
              <w:jc w:val="right"/>
              <w:rPr/>
            </w:pPr>
            <w:r>
              <w:rPr/>
              <w:t>(25,755</w:t>
            </w:r>
          </w:p>
        </w:tc>
        <w:tc>
          <w:tcPr>
            <w:tcW w:w="110" w:type="dxa"/>
            <w:tcBorders>
              <w:bottom w:val="single" w:sz="6" w:space="0" w:color="000000"/>
            </w:tcBorders>
            <w:vAlign w:val="center"/>
          </w:tcPr>
          <w:p>
            <w:pPr>
              <w:pStyle w:val="TableContents"/>
              <w:bidi w:val="0"/>
              <w:spacing w:before="0" w:after="283"/>
              <w:jc w:val="left"/>
              <w:rPr/>
            </w:pPr>
            <w:r>
              <w:rPr/>
              <w:t>)</w:t>
            </w:r>
          </w:p>
        </w:tc>
      </w:tr>
      <w:tr>
        <w:trPr/>
        <w:tc>
          <w:tcPr>
            <w:tcW w:w="3530" w:type="dxa"/>
            <w:tcBorders>
              <w:bottom w:val="single" w:sz="12" w:space="0" w:color="000000"/>
            </w:tcBorders>
            <w:shd w:fill="E6EFFF" w:val="clear"/>
            <w:vAlign w:val="center"/>
          </w:tcPr>
          <w:p>
            <w:pPr>
              <w:pStyle w:val="TableContents"/>
              <w:bidi w:val="0"/>
              <w:spacing w:before="0" w:after="283"/>
              <w:jc w:val="left"/>
              <w:rPr/>
            </w:pPr>
            <w:r>
              <w:rPr/>
              <w:t>Net book value at February 28, 2023</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35" w:type="dxa"/>
            <w:tcBorders>
              <w:bottom w:val="single" w:sz="12" w:space="0" w:color="000000"/>
            </w:tcBorders>
            <w:shd w:fill="E6EFFF" w:val="clear"/>
            <w:vAlign w:val="center"/>
          </w:tcPr>
          <w:p>
            <w:pPr>
              <w:pStyle w:val="TableContents"/>
              <w:bidi w:val="0"/>
              <w:spacing w:before="0" w:after="283"/>
              <w:jc w:val="right"/>
              <w:rPr/>
            </w:pPr>
            <w:r>
              <w:rPr/>
              <w:t>54,341</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05" w:type="dxa"/>
            <w:tcBorders>
              <w:bottom w:val="single" w:sz="12" w:space="0" w:color="000000"/>
            </w:tcBorders>
            <w:shd w:fill="E6EFFF" w:val="clear"/>
            <w:vAlign w:val="center"/>
          </w:tcPr>
          <w:p>
            <w:pPr>
              <w:pStyle w:val="TableContents"/>
              <w:bidi w:val="0"/>
              <w:spacing w:before="0" w:after="283"/>
              <w:jc w:val="right"/>
              <w:rPr/>
            </w:pPr>
            <w:r>
              <w:rPr/>
              <w:t>605,233</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ind w:left="360" w:right="0" w:hanging="0"/>
        <w:jc w:val="both"/>
        <w:rPr/>
      </w:pPr>
      <w:r>
        <w:rPr/>
        <w:t>The right-of-use asset relates to the lease of office space. Refer to Note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5" w:name="footer_page_8"/>
      <w:bookmarkEnd w:id="45"/>
      <w:r>
        <w:rPr/>
        <w:t>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4.</w:t>
      </w:r>
      <w:r>
        <w:rPr/>
        <w:t> </w:t>
      </w:r>
      <w:r>
        <w:rPr>
          <w:b/>
        </w:rPr>
        <w:t>Lease Liabilities</w:t>
      </w:r>
    </w:p>
    <w:p>
      <w:pPr>
        <w:pStyle w:val="TextBody"/>
        <w:bidi w:val="0"/>
        <w:ind w:left="360" w:right="0" w:hanging="0"/>
        <w:jc w:val="both"/>
        <w:rPr/>
      </w:pPr>
      <w:r>
        <w:rPr/>
        <w:t>The Company's leases are for office space and contain no renewal options.</w:t>
      </w:r>
    </w:p>
    <w:p>
      <w:pPr>
        <w:pStyle w:val="TextBody"/>
        <w:bidi w:val="0"/>
        <w:ind w:left="360" w:right="0" w:hanging="0"/>
        <w:jc w:val="both"/>
        <w:rPr/>
      </w:pPr>
      <w:r>
        <w:rPr/>
        <w:t>As at May 31, 2023 and February 28, 2023, the Company had lease liabilities as follows:</w:t>
      </w:r>
    </w:p>
    <w:tbl>
      <w:tblPr>
        <w:tblW w:w="4290" w:type="dxa"/>
        <w:jc w:val="left"/>
        <w:tblInd w:w="360" w:type="dxa"/>
        <w:tblLayout w:type="fixed"/>
        <w:tblCellMar>
          <w:top w:w="0" w:type="dxa"/>
          <w:left w:w="0" w:type="dxa"/>
          <w:bottom w:w="28" w:type="dxa"/>
          <w:right w:w="0" w:type="dxa"/>
        </w:tblCellMar>
      </w:tblPr>
      <w:tblGrid>
        <w:gridCol w:w="3320"/>
        <w:gridCol w:w="60"/>
        <w:gridCol w:w="800"/>
        <w:gridCol w:w="110"/>
      </w:tblGrid>
      <w:tr>
        <w:trPr/>
        <w:tc>
          <w:tcPr>
            <w:tcW w:w="3320" w:type="dxa"/>
            <w:tcBorders>
              <w:bottom w:val="single" w:sz="6" w:space="0" w:color="000000"/>
            </w:tcBorders>
            <w:vAlign w:val="center"/>
          </w:tcPr>
          <w:p>
            <w:pPr>
              <w:pStyle w:val="TableContents"/>
              <w:bidi w:val="0"/>
              <w:spacing w:before="0" w:after="0"/>
              <w:jc w:val="left"/>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00" w:type="dxa"/>
            <w:tcBorders>
              <w:bottom w:val="single" w:sz="6" w:space="0" w:color="000000"/>
            </w:tcBorders>
            <w:vAlign w:val="center"/>
          </w:tcPr>
          <w:p>
            <w:pPr>
              <w:pStyle w:val="TableContents"/>
              <w:bidi w:val="0"/>
              <w:spacing w:before="0" w:after="283"/>
              <w:jc w:val="center"/>
              <w:rPr/>
            </w:pPr>
            <w:r>
              <w:rPr/>
              <w:t>$</w:t>
            </w:r>
          </w:p>
        </w:tc>
        <w:tc>
          <w:tcPr>
            <w:tcW w:w="110" w:type="dxa"/>
            <w:tcBorders>
              <w:bottom w:val="single" w:sz="6" w:space="0" w:color="000000"/>
            </w:tcBorders>
            <w:vAlign w:val="center"/>
          </w:tcPr>
          <w:p>
            <w:pPr>
              <w:pStyle w:val="TableContents"/>
              <w:bidi w:val="0"/>
              <w:spacing w:before="0" w:after="283"/>
              <w:jc w:val="center"/>
              <w:rPr/>
            </w:pPr>
            <w:r>
              <w:rPr/>
              <w:t> </w:t>
            </w:r>
          </w:p>
        </w:tc>
      </w:tr>
      <w:tr>
        <w:trPr/>
        <w:tc>
          <w:tcPr>
            <w:tcW w:w="332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800" w:type="dxa"/>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center"/>
              <w:rPr/>
            </w:pPr>
            <w:r>
              <w:rPr/>
              <w:t> </w:t>
            </w:r>
          </w:p>
        </w:tc>
      </w:tr>
      <w:tr>
        <w:trPr/>
        <w:tc>
          <w:tcPr>
            <w:tcW w:w="3320" w:type="dxa"/>
            <w:tcBorders/>
            <w:shd w:fill="E6EFFF" w:val="clear"/>
            <w:tcMar>
              <w:bottom w:w="0" w:type="dxa"/>
            </w:tcMar>
            <w:vAlign w:val="center"/>
          </w:tcPr>
          <w:p>
            <w:pPr>
              <w:pStyle w:val="TableContents"/>
              <w:bidi w:val="0"/>
              <w:spacing w:before="0" w:after="0"/>
              <w:jc w:val="left"/>
              <w:rPr/>
            </w:pPr>
            <w:r>
              <w:rPr/>
              <w:t>Carrying value, February 28, 2022</w:t>
            </w:r>
          </w:p>
        </w:tc>
        <w:tc>
          <w:tcPr>
            <w:tcW w:w="60" w:type="dxa"/>
            <w:tcBorders/>
            <w:shd w:fill="E6EFFF" w:val="clear"/>
            <w:tcMar>
              <w:bottom w:w="0" w:type="dxa"/>
            </w:tcMar>
            <w:vAlign w:val="center"/>
          </w:tcPr>
          <w:p>
            <w:pPr>
              <w:pStyle w:val="TableContents"/>
              <w:bidi w:val="0"/>
              <w:spacing w:before="0" w:after="283"/>
              <w:jc w:val="left"/>
              <w:rPr/>
            </w:pPr>
            <w:r>
              <w:rPr/>
              <w:t> </w:t>
            </w:r>
          </w:p>
        </w:tc>
        <w:tc>
          <w:tcPr>
            <w:tcW w:w="800" w:type="dxa"/>
            <w:tcBorders/>
            <w:shd w:fill="E6EFFF" w:val="clear"/>
            <w:tcMar>
              <w:bottom w:w="0" w:type="dxa"/>
            </w:tcMar>
            <w:vAlign w:val="center"/>
          </w:tcPr>
          <w:p>
            <w:pPr>
              <w:pStyle w:val="TableContents"/>
              <w:bidi w:val="0"/>
              <w:spacing w:before="0" w:after="283"/>
              <w:jc w:val="right"/>
              <w:rPr/>
            </w:pPr>
            <w:r>
              <w:rPr/>
              <w:t>-</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3320" w:type="dxa"/>
            <w:tcBorders/>
            <w:tcMar>
              <w:bottom w:w="0" w:type="dxa"/>
            </w:tcMar>
            <w:vAlign w:val="center"/>
          </w:tcPr>
          <w:p>
            <w:pPr>
              <w:pStyle w:val="TableContents"/>
              <w:bidi w:val="0"/>
              <w:spacing w:before="0" w:after="0"/>
              <w:jc w:val="left"/>
              <w:rPr/>
            </w:pPr>
            <w:r>
              <w:rPr/>
              <w:t>Recognition on inception</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620,149</w:t>
            </w:r>
          </w:p>
        </w:tc>
        <w:tc>
          <w:tcPr>
            <w:tcW w:w="110" w:type="dxa"/>
            <w:tcBorders/>
            <w:tcMar>
              <w:bottom w:w="0" w:type="dxa"/>
            </w:tcMar>
            <w:vAlign w:val="center"/>
          </w:tcPr>
          <w:p>
            <w:pPr>
              <w:pStyle w:val="TableContents"/>
              <w:bidi w:val="0"/>
              <w:spacing w:before="0" w:after="283"/>
              <w:jc w:val="left"/>
              <w:rPr/>
            </w:pPr>
            <w:r>
              <w:rPr/>
              <w:t> </w:t>
            </w:r>
          </w:p>
        </w:tc>
      </w:tr>
      <w:tr>
        <w:trPr/>
        <w:tc>
          <w:tcPr>
            <w:tcW w:w="3320" w:type="dxa"/>
            <w:tcBorders/>
            <w:shd w:fill="E6EFFF" w:val="clear"/>
            <w:tcMar>
              <w:bottom w:w="0" w:type="dxa"/>
            </w:tcMar>
            <w:vAlign w:val="center"/>
          </w:tcPr>
          <w:p>
            <w:pPr>
              <w:pStyle w:val="TableContents"/>
              <w:bidi w:val="0"/>
              <w:spacing w:before="0" w:after="0"/>
              <w:jc w:val="left"/>
              <w:rPr/>
            </w:pPr>
            <w:r>
              <w:rPr/>
              <w:t>Accretion of interest</w:t>
            </w:r>
          </w:p>
        </w:tc>
        <w:tc>
          <w:tcPr>
            <w:tcW w:w="60" w:type="dxa"/>
            <w:tcBorders/>
            <w:shd w:fill="E6EFFF" w:val="clear"/>
            <w:tcMar>
              <w:bottom w:w="0" w:type="dxa"/>
            </w:tcMar>
            <w:vAlign w:val="center"/>
          </w:tcPr>
          <w:p>
            <w:pPr>
              <w:pStyle w:val="TableContents"/>
              <w:bidi w:val="0"/>
              <w:spacing w:before="0" w:after="283"/>
              <w:jc w:val="left"/>
              <w:rPr/>
            </w:pPr>
            <w:r>
              <w:rPr/>
              <w:t> </w:t>
            </w:r>
          </w:p>
        </w:tc>
        <w:tc>
          <w:tcPr>
            <w:tcW w:w="800" w:type="dxa"/>
            <w:tcBorders/>
            <w:shd w:fill="E6EFFF" w:val="clear"/>
            <w:tcMar>
              <w:bottom w:w="0" w:type="dxa"/>
            </w:tcMar>
            <w:vAlign w:val="center"/>
          </w:tcPr>
          <w:p>
            <w:pPr>
              <w:pStyle w:val="TableContents"/>
              <w:bidi w:val="0"/>
              <w:spacing w:before="0" w:after="283"/>
              <w:jc w:val="right"/>
              <w:rPr/>
            </w:pPr>
            <w:r>
              <w:rPr/>
              <w:t>2,565</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3320" w:type="dxa"/>
            <w:tcBorders/>
            <w:tcMar>
              <w:bottom w:w="0" w:type="dxa"/>
            </w:tcMar>
            <w:vAlign w:val="center"/>
          </w:tcPr>
          <w:p>
            <w:pPr>
              <w:pStyle w:val="TableContents"/>
              <w:bidi w:val="0"/>
              <w:spacing w:before="0" w:after="0"/>
              <w:jc w:val="left"/>
              <w:rPr/>
            </w:pPr>
            <w:r>
              <w:rPr/>
              <w:t>Foreign currency translation gain</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75</w:t>
            </w:r>
          </w:p>
        </w:tc>
        <w:tc>
          <w:tcPr>
            <w:tcW w:w="110" w:type="dxa"/>
            <w:tcBorders/>
            <w:tcMar>
              <w:bottom w:w="0" w:type="dxa"/>
            </w:tcMar>
            <w:vAlign w:val="center"/>
          </w:tcPr>
          <w:p>
            <w:pPr>
              <w:pStyle w:val="TableContents"/>
              <w:bidi w:val="0"/>
              <w:spacing w:before="0" w:after="283"/>
              <w:jc w:val="left"/>
              <w:rPr/>
            </w:pPr>
            <w:r>
              <w:rPr/>
              <w:t> </w:t>
            </w:r>
          </w:p>
        </w:tc>
      </w:tr>
      <w:tr>
        <w:trPr/>
        <w:tc>
          <w:tcPr>
            <w:tcW w:w="3320" w:type="dxa"/>
            <w:tcBorders>
              <w:bottom w:val="single" w:sz="6" w:space="0" w:color="000000"/>
            </w:tcBorders>
            <w:shd w:fill="E6EFFF" w:val="clear"/>
            <w:vAlign w:val="center"/>
          </w:tcPr>
          <w:p>
            <w:pPr>
              <w:pStyle w:val="TableContents"/>
              <w:bidi w:val="0"/>
              <w:spacing w:before="0" w:after="0"/>
              <w:jc w:val="left"/>
              <w:rPr/>
            </w:pPr>
            <w:r>
              <w:rPr/>
              <w:t>Rental payments made</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800" w:type="dxa"/>
            <w:tcBorders>
              <w:bottom w:val="single" w:sz="6" w:space="0" w:color="000000"/>
            </w:tcBorders>
            <w:shd w:fill="E6EFFF" w:val="clear"/>
            <w:vAlign w:val="center"/>
          </w:tcPr>
          <w:p>
            <w:pPr>
              <w:pStyle w:val="TableContents"/>
              <w:bidi w:val="0"/>
              <w:spacing w:before="0" w:after="283"/>
              <w:jc w:val="right"/>
              <w:rPr/>
            </w:pPr>
            <w:r>
              <w:rPr/>
              <w:t>(13,236</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3320" w:type="dxa"/>
            <w:tcBorders>
              <w:bottom w:val="single" w:sz="12" w:space="0" w:color="000000"/>
            </w:tcBorders>
            <w:vAlign w:val="center"/>
          </w:tcPr>
          <w:p>
            <w:pPr>
              <w:pStyle w:val="TableContents"/>
              <w:bidi w:val="0"/>
              <w:spacing w:before="0" w:after="0"/>
              <w:jc w:val="left"/>
              <w:rPr/>
            </w:pPr>
            <w:r>
              <w:rPr/>
              <w:t>Carrying value, February 28, 2023</w:t>
            </w:r>
          </w:p>
        </w:tc>
        <w:tc>
          <w:tcPr>
            <w:tcW w:w="6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right"/>
              <w:rPr/>
            </w:pPr>
            <w:r>
              <w:rPr/>
              <w:t>609,553</w:t>
            </w:r>
          </w:p>
        </w:tc>
        <w:tc>
          <w:tcPr>
            <w:tcW w:w="110" w:type="dxa"/>
            <w:tcBorders>
              <w:bottom w:val="single" w:sz="12" w:space="0" w:color="000000"/>
            </w:tcBorders>
            <w:vAlign w:val="center"/>
          </w:tcPr>
          <w:p>
            <w:pPr>
              <w:pStyle w:val="TableContents"/>
              <w:bidi w:val="0"/>
              <w:spacing w:before="0" w:after="283"/>
              <w:jc w:val="left"/>
              <w:rPr/>
            </w:pPr>
            <w:r>
              <w:rPr/>
              <w:t> </w:t>
            </w:r>
          </w:p>
        </w:tc>
      </w:tr>
      <w:tr>
        <w:trPr/>
        <w:tc>
          <w:tcPr>
            <w:tcW w:w="3320" w:type="dxa"/>
            <w:tcBorders/>
            <w:shd w:fill="E6EFFF" w:val="clear"/>
            <w:tcMar>
              <w:bottom w:w="0" w:type="dxa"/>
            </w:tcMar>
            <w:vAlign w:val="center"/>
          </w:tcPr>
          <w:p>
            <w:pPr>
              <w:pStyle w:val="TableContents"/>
              <w:bidi w:val="0"/>
              <w:spacing w:before="0" w:after="0"/>
              <w:jc w:val="left"/>
              <w:rPr/>
            </w:pPr>
            <w:r>
              <w:rPr/>
              <w:t>Accretion of interest</w:t>
            </w:r>
          </w:p>
        </w:tc>
        <w:tc>
          <w:tcPr>
            <w:tcW w:w="60" w:type="dxa"/>
            <w:tcBorders/>
            <w:shd w:fill="E6EFFF" w:val="clear"/>
            <w:tcMar>
              <w:bottom w:w="0" w:type="dxa"/>
            </w:tcMar>
            <w:vAlign w:val="center"/>
          </w:tcPr>
          <w:p>
            <w:pPr>
              <w:pStyle w:val="TableContents"/>
              <w:bidi w:val="0"/>
              <w:spacing w:before="0" w:after="283"/>
              <w:jc w:val="left"/>
              <w:rPr/>
            </w:pPr>
            <w:r>
              <w:rPr/>
              <w:t> </w:t>
            </w:r>
          </w:p>
        </w:tc>
        <w:tc>
          <w:tcPr>
            <w:tcW w:w="800" w:type="dxa"/>
            <w:tcBorders/>
            <w:shd w:fill="E6EFFF" w:val="clear"/>
            <w:tcMar>
              <w:bottom w:w="0" w:type="dxa"/>
            </w:tcMar>
            <w:vAlign w:val="center"/>
          </w:tcPr>
          <w:p>
            <w:pPr>
              <w:pStyle w:val="TableContents"/>
              <w:bidi w:val="0"/>
              <w:spacing w:before="0" w:after="283"/>
              <w:jc w:val="right"/>
              <w:rPr/>
            </w:pPr>
            <w:r>
              <w:rPr/>
              <w:t>7,617</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3320" w:type="dxa"/>
            <w:tcBorders/>
            <w:tcMar>
              <w:bottom w:w="0" w:type="dxa"/>
            </w:tcMar>
            <w:vAlign w:val="center"/>
          </w:tcPr>
          <w:p>
            <w:pPr>
              <w:pStyle w:val="TableContents"/>
              <w:bidi w:val="0"/>
              <w:spacing w:before="0" w:after="0"/>
              <w:jc w:val="left"/>
              <w:rPr/>
            </w:pPr>
            <w:r>
              <w:rPr/>
              <w:t>Foreign currency translation gain</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14,503</w:t>
            </w:r>
          </w:p>
        </w:tc>
        <w:tc>
          <w:tcPr>
            <w:tcW w:w="110" w:type="dxa"/>
            <w:tcBorders/>
            <w:tcMar>
              <w:bottom w:w="0" w:type="dxa"/>
            </w:tcMar>
            <w:vAlign w:val="center"/>
          </w:tcPr>
          <w:p>
            <w:pPr>
              <w:pStyle w:val="TableContents"/>
              <w:bidi w:val="0"/>
              <w:spacing w:before="0" w:after="283"/>
              <w:jc w:val="left"/>
              <w:rPr/>
            </w:pPr>
            <w:r>
              <w:rPr/>
              <w:t> </w:t>
            </w:r>
          </w:p>
        </w:tc>
      </w:tr>
      <w:tr>
        <w:trPr/>
        <w:tc>
          <w:tcPr>
            <w:tcW w:w="3320" w:type="dxa"/>
            <w:tcBorders>
              <w:bottom w:val="single" w:sz="6" w:space="0" w:color="000000"/>
            </w:tcBorders>
            <w:shd w:fill="E6EFFF" w:val="clear"/>
            <w:vAlign w:val="center"/>
          </w:tcPr>
          <w:p>
            <w:pPr>
              <w:pStyle w:val="TableContents"/>
              <w:bidi w:val="0"/>
              <w:spacing w:before="0" w:after="0"/>
              <w:jc w:val="left"/>
              <w:rPr/>
            </w:pPr>
            <w:r>
              <w:rPr/>
              <w:t>Rental payments made</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800" w:type="dxa"/>
            <w:tcBorders>
              <w:bottom w:val="single" w:sz="6" w:space="0" w:color="000000"/>
            </w:tcBorders>
            <w:shd w:fill="E6EFFF" w:val="clear"/>
            <w:vAlign w:val="center"/>
          </w:tcPr>
          <w:p>
            <w:pPr>
              <w:pStyle w:val="TableContents"/>
              <w:bidi w:val="0"/>
              <w:spacing w:before="0" w:after="283"/>
              <w:jc w:val="right"/>
              <w:rPr/>
            </w:pPr>
            <w:r>
              <w:rPr/>
              <w:t>(83,417</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3320" w:type="dxa"/>
            <w:tcBorders>
              <w:bottom w:val="single" w:sz="12" w:space="0" w:color="000000"/>
            </w:tcBorders>
            <w:vAlign w:val="center"/>
          </w:tcPr>
          <w:p>
            <w:pPr>
              <w:pStyle w:val="TableContents"/>
              <w:bidi w:val="0"/>
              <w:spacing w:before="0" w:after="0"/>
              <w:jc w:val="left"/>
              <w:rPr/>
            </w:pPr>
            <w:r>
              <w:rPr/>
              <w:t>Carrying value, May 31, 2023</w:t>
            </w:r>
          </w:p>
        </w:tc>
        <w:tc>
          <w:tcPr>
            <w:tcW w:w="6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right"/>
              <w:rPr/>
            </w:pPr>
            <w:r>
              <w:rPr/>
              <w:t>548,256</w:t>
            </w:r>
          </w:p>
        </w:tc>
        <w:tc>
          <w:tcPr>
            <w:tcW w:w="110" w:type="dxa"/>
            <w:tcBorders>
              <w:bottom w:val="single" w:sz="12" w:space="0" w:color="000000"/>
            </w:tcBorders>
            <w:vAlign w:val="center"/>
          </w:tcPr>
          <w:p>
            <w:pPr>
              <w:pStyle w:val="TableContents"/>
              <w:bidi w:val="0"/>
              <w:spacing w:before="0" w:after="283"/>
              <w:jc w:val="left"/>
              <w:rPr/>
            </w:pPr>
            <w:r>
              <w:rPr/>
              <w:t> </w:t>
            </w:r>
          </w:p>
        </w:tc>
      </w:tr>
    </w:tbl>
    <w:p>
      <w:pPr>
        <w:pStyle w:val="TextBody"/>
        <w:bidi w:val="0"/>
        <w:ind w:left="432" w:right="0" w:hanging="0"/>
        <w:jc w:val="both"/>
        <w:rPr/>
      </w:pPr>
      <w:r>
        <w:rPr/>
        <w:t>The following amounts are the future minimum annual lease payments as at May 31, 2023 and February 28, 2023:</w:t>
      </w:r>
    </w:p>
    <w:tbl>
      <w:tblPr>
        <w:tblW w:w="7150" w:type="dxa"/>
        <w:jc w:val="left"/>
        <w:tblInd w:w="360" w:type="dxa"/>
        <w:tblLayout w:type="fixed"/>
        <w:tblCellMar>
          <w:top w:w="0" w:type="dxa"/>
          <w:left w:w="0" w:type="dxa"/>
          <w:bottom w:w="28" w:type="dxa"/>
          <w:right w:w="0" w:type="dxa"/>
        </w:tblCellMar>
      </w:tblPr>
      <w:tblGrid>
        <w:gridCol w:w="4655"/>
        <w:gridCol w:w="60"/>
        <w:gridCol w:w="875"/>
        <w:gridCol w:w="95"/>
        <w:gridCol w:w="60"/>
        <w:gridCol w:w="1295"/>
        <w:gridCol w:w="110"/>
      </w:tblGrid>
      <w:tr>
        <w:trPr/>
        <w:tc>
          <w:tcPr>
            <w:tcW w:w="4655" w:type="dxa"/>
            <w:tcBorders>
              <w:bottom w:val="single" w:sz="6" w:space="0" w:color="000000"/>
            </w:tcBorders>
            <w:vAlign w:val="center"/>
          </w:tcPr>
          <w:p>
            <w:pPr>
              <w:pStyle w:val="TableContents"/>
              <w:bidi w:val="0"/>
              <w:spacing w:before="0" w:after="0"/>
              <w:jc w:val="left"/>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75" w:type="dxa"/>
            <w:tcBorders>
              <w:bottom w:val="single" w:sz="6" w:space="0" w:color="000000"/>
            </w:tcBorders>
            <w:vAlign w:val="center"/>
          </w:tcPr>
          <w:p>
            <w:pPr>
              <w:pStyle w:val="TableContents"/>
              <w:bidi w:val="0"/>
              <w:spacing w:before="0" w:after="283"/>
              <w:jc w:val="center"/>
              <w:rPr/>
            </w:pPr>
            <w:r>
              <w:rPr/>
              <w:t xml:space="preserve">May 31, </w:t>
              <w:br/>
              <w:t>2023</w:t>
              <w:br/>
              <w:t>$</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295" w:type="dxa"/>
            <w:tcBorders>
              <w:bottom w:val="single" w:sz="6" w:space="0" w:color="000000"/>
            </w:tcBorders>
            <w:vAlign w:val="center"/>
          </w:tcPr>
          <w:p>
            <w:pPr>
              <w:pStyle w:val="TableContents"/>
              <w:bidi w:val="0"/>
              <w:spacing w:before="0" w:after="283"/>
              <w:jc w:val="center"/>
              <w:rPr/>
            </w:pPr>
            <w:r>
              <w:rPr/>
              <w:t xml:space="preserve">February 28, </w:t>
              <w:br/>
              <w:t>2023</w:t>
              <w:br/>
              <w:t>$</w:t>
            </w:r>
          </w:p>
        </w:tc>
        <w:tc>
          <w:tcPr>
            <w:tcW w:w="110" w:type="dxa"/>
            <w:tcBorders>
              <w:bottom w:val="single" w:sz="6" w:space="0" w:color="000000"/>
            </w:tcBorders>
            <w:vAlign w:val="center"/>
          </w:tcPr>
          <w:p>
            <w:pPr>
              <w:pStyle w:val="TableContents"/>
              <w:bidi w:val="0"/>
              <w:spacing w:before="0" w:after="283"/>
              <w:jc w:val="center"/>
              <w:rPr/>
            </w:pPr>
            <w:r>
              <w:rPr/>
              <w:t> </w:t>
            </w:r>
          </w:p>
        </w:tc>
      </w:tr>
      <w:tr>
        <w:trPr/>
        <w:tc>
          <w:tcPr>
            <w:tcW w:w="465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875" w:type="dxa"/>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95" w:type="dxa"/>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center"/>
              <w:rPr/>
            </w:pPr>
            <w:r>
              <w:rPr/>
              <w:t> </w:t>
            </w:r>
          </w:p>
        </w:tc>
      </w:tr>
      <w:tr>
        <w:trPr/>
        <w:tc>
          <w:tcPr>
            <w:tcW w:w="4655" w:type="dxa"/>
            <w:tcBorders/>
            <w:shd w:fill="E6EFFF" w:val="clear"/>
            <w:tcMar>
              <w:bottom w:w="0" w:type="dxa"/>
            </w:tcMar>
            <w:vAlign w:val="center"/>
          </w:tcPr>
          <w:p>
            <w:pPr>
              <w:pStyle w:val="TableContents"/>
              <w:bidi w:val="0"/>
              <w:spacing w:before="0" w:after="0"/>
              <w:jc w:val="left"/>
              <w:rPr/>
            </w:pPr>
            <w:r>
              <w:rPr/>
              <w:t>Within one year</w:t>
            </w:r>
          </w:p>
        </w:tc>
        <w:tc>
          <w:tcPr>
            <w:tcW w:w="60" w:type="dxa"/>
            <w:tcBorders/>
            <w:shd w:fill="E6EFFF" w:val="clear"/>
            <w:tcMar>
              <w:bottom w:w="0" w:type="dxa"/>
            </w:tcMar>
            <w:vAlign w:val="center"/>
          </w:tcPr>
          <w:p>
            <w:pPr>
              <w:pStyle w:val="TableContents"/>
              <w:bidi w:val="0"/>
              <w:spacing w:before="0" w:after="283"/>
              <w:jc w:val="left"/>
              <w:rPr/>
            </w:pPr>
            <w:r>
              <w:rPr/>
              <w:t> </w:t>
            </w:r>
          </w:p>
        </w:tc>
        <w:tc>
          <w:tcPr>
            <w:tcW w:w="875" w:type="dxa"/>
            <w:tcBorders/>
            <w:shd w:fill="E6EFFF" w:val="clear"/>
            <w:tcMar>
              <w:bottom w:w="0" w:type="dxa"/>
            </w:tcMar>
            <w:vAlign w:val="center"/>
          </w:tcPr>
          <w:p>
            <w:pPr>
              <w:pStyle w:val="TableContents"/>
              <w:bidi w:val="0"/>
              <w:spacing w:before="0" w:after="283"/>
              <w:jc w:val="right"/>
              <w:rPr/>
            </w:pPr>
            <w:r>
              <w:rPr/>
              <w:t>335,857</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95" w:type="dxa"/>
            <w:tcBorders/>
            <w:shd w:fill="E6EFFF" w:val="clear"/>
            <w:tcMar>
              <w:bottom w:w="0" w:type="dxa"/>
            </w:tcMar>
            <w:vAlign w:val="center"/>
          </w:tcPr>
          <w:p>
            <w:pPr>
              <w:pStyle w:val="TableContents"/>
              <w:bidi w:val="0"/>
              <w:spacing w:before="0" w:after="283"/>
              <w:jc w:val="right"/>
              <w:rPr/>
            </w:pPr>
            <w:r>
              <w:rPr/>
              <w:t>327,790</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655" w:type="dxa"/>
            <w:tcBorders>
              <w:bottom w:val="single" w:sz="6" w:space="0" w:color="000000"/>
            </w:tcBorders>
            <w:vAlign w:val="center"/>
          </w:tcPr>
          <w:p>
            <w:pPr>
              <w:pStyle w:val="TableContents"/>
              <w:bidi w:val="0"/>
              <w:spacing w:before="0" w:after="0"/>
              <w:jc w:val="left"/>
              <w:rPr/>
            </w:pPr>
            <w:r>
              <w:rPr/>
              <w:t>In the second to third years</w:t>
            </w:r>
          </w:p>
        </w:tc>
        <w:tc>
          <w:tcPr>
            <w:tcW w:w="60" w:type="dxa"/>
            <w:tcBorders>
              <w:bottom w:val="single" w:sz="6" w:space="0" w:color="000000"/>
            </w:tcBorders>
            <w:vAlign w:val="center"/>
          </w:tcPr>
          <w:p>
            <w:pPr>
              <w:pStyle w:val="TableContents"/>
              <w:bidi w:val="0"/>
              <w:spacing w:before="0" w:after="283"/>
              <w:jc w:val="left"/>
              <w:rPr/>
            </w:pPr>
            <w:r>
              <w:rPr/>
              <w:t> </w:t>
            </w:r>
          </w:p>
        </w:tc>
        <w:tc>
          <w:tcPr>
            <w:tcW w:w="875" w:type="dxa"/>
            <w:tcBorders>
              <w:bottom w:val="single" w:sz="6" w:space="0" w:color="000000"/>
            </w:tcBorders>
            <w:vAlign w:val="center"/>
          </w:tcPr>
          <w:p>
            <w:pPr>
              <w:pStyle w:val="TableContents"/>
              <w:bidi w:val="0"/>
              <w:spacing w:before="0" w:after="283"/>
              <w:jc w:val="right"/>
              <w:rPr/>
            </w:pPr>
            <w:r>
              <w:rPr/>
              <w:t>237,899</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295" w:type="dxa"/>
            <w:tcBorders>
              <w:bottom w:val="single" w:sz="6" w:space="0" w:color="000000"/>
            </w:tcBorders>
            <w:vAlign w:val="center"/>
          </w:tcPr>
          <w:p>
            <w:pPr>
              <w:pStyle w:val="TableContents"/>
              <w:bidi w:val="0"/>
              <w:spacing w:before="0" w:after="283"/>
              <w:jc w:val="right"/>
              <w:rPr/>
            </w:pPr>
            <w:r>
              <w:rPr/>
              <w:t>314,133</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4655" w:type="dxa"/>
            <w:tcBorders>
              <w:bottom w:val="single" w:sz="6" w:space="0" w:color="000000"/>
            </w:tcBorders>
            <w:shd w:fill="E6EFFF" w:val="clear"/>
            <w:vAlign w:val="center"/>
          </w:tcPr>
          <w:p>
            <w:pPr>
              <w:pStyle w:val="TableContents"/>
              <w:bidi w:val="0"/>
              <w:spacing w:before="0" w:after="0"/>
              <w:jc w:val="left"/>
              <w:rPr/>
            </w:pPr>
            <w:r>
              <w:rPr/>
              <w:t>Total lease obligations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875" w:type="dxa"/>
            <w:tcBorders>
              <w:bottom w:val="single" w:sz="6" w:space="0" w:color="000000"/>
            </w:tcBorders>
            <w:shd w:fill="E6EFFF" w:val="clear"/>
            <w:vAlign w:val="center"/>
          </w:tcPr>
          <w:p>
            <w:pPr>
              <w:pStyle w:val="TableContents"/>
              <w:bidi w:val="0"/>
              <w:spacing w:before="0" w:after="283"/>
              <w:jc w:val="right"/>
              <w:rPr/>
            </w:pPr>
            <w:r>
              <w:rPr/>
              <w:t>573,756</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95" w:type="dxa"/>
            <w:tcBorders>
              <w:bottom w:val="single" w:sz="6" w:space="0" w:color="000000"/>
            </w:tcBorders>
            <w:shd w:fill="E6EFFF" w:val="clear"/>
            <w:vAlign w:val="center"/>
          </w:tcPr>
          <w:p>
            <w:pPr>
              <w:pStyle w:val="TableContents"/>
              <w:bidi w:val="0"/>
              <w:spacing w:before="0" w:after="283"/>
              <w:jc w:val="right"/>
              <w:rPr/>
            </w:pPr>
            <w:r>
              <w:rPr/>
              <w:t>641,923</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4655" w:type="dxa"/>
            <w:tcBorders>
              <w:bottom w:val="single" w:sz="6" w:space="0" w:color="000000"/>
            </w:tcBorders>
            <w:vAlign w:val="center"/>
          </w:tcPr>
          <w:p>
            <w:pPr>
              <w:pStyle w:val="TableContents"/>
              <w:bidi w:val="0"/>
              <w:spacing w:before="0" w:after="0"/>
              <w:jc w:val="left"/>
              <w:rPr/>
            </w:pPr>
            <w:r>
              <w:rPr/>
              <w:t>Discount at incremental borrowing rate of 5.24%</w:t>
            </w:r>
          </w:p>
        </w:tc>
        <w:tc>
          <w:tcPr>
            <w:tcW w:w="60" w:type="dxa"/>
            <w:tcBorders>
              <w:bottom w:val="single" w:sz="6" w:space="0" w:color="000000"/>
            </w:tcBorders>
            <w:vAlign w:val="center"/>
          </w:tcPr>
          <w:p>
            <w:pPr>
              <w:pStyle w:val="TableContents"/>
              <w:bidi w:val="0"/>
              <w:spacing w:before="0" w:after="283"/>
              <w:jc w:val="left"/>
              <w:rPr/>
            </w:pPr>
            <w:r>
              <w:rPr/>
              <w:t> </w:t>
            </w:r>
          </w:p>
        </w:tc>
        <w:tc>
          <w:tcPr>
            <w:tcW w:w="875" w:type="dxa"/>
            <w:tcBorders>
              <w:bottom w:val="single" w:sz="6" w:space="0" w:color="000000"/>
            </w:tcBorders>
            <w:vAlign w:val="center"/>
          </w:tcPr>
          <w:p>
            <w:pPr>
              <w:pStyle w:val="TableContents"/>
              <w:bidi w:val="0"/>
              <w:spacing w:before="0" w:after="283"/>
              <w:jc w:val="right"/>
              <w:rPr/>
            </w:pPr>
            <w:r>
              <w:rPr/>
              <w:t>(25,500</w:t>
            </w:r>
          </w:p>
        </w:tc>
        <w:tc>
          <w:tcPr>
            <w:tcW w:w="95" w:type="dxa"/>
            <w:tcBorders>
              <w:bottom w:val="single" w:sz="6" w:space="0" w:color="000000"/>
            </w:tcBorders>
            <w:vAlign w:val="center"/>
          </w:tcPr>
          <w:p>
            <w:pPr>
              <w:pStyle w:val="TableContents"/>
              <w:bidi w:val="0"/>
              <w:spacing w:before="0" w:after="283"/>
              <w:jc w:val="lef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1295" w:type="dxa"/>
            <w:tcBorders>
              <w:bottom w:val="single" w:sz="6" w:space="0" w:color="000000"/>
            </w:tcBorders>
            <w:vAlign w:val="center"/>
          </w:tcPr>
          <w:p>
            <w:pPr>
              <w:pStyle w:val="TableContents"/>
              <w:bidi w:val="0"/>
              <w:spacing w:before="0" w:after="283"/>
              <w:jc w:val="right"/>
              <w:rPr/>
            </w:pPr>
            <w:r>
              <w:rPr/>
              <w:t>(32,370</w:t>
            </w:r>
          </w:p>
        </w:tc>
        <w:tc>
          <w:tcPr>
            <w:tcW w:w="110" w:type="dxa"/>
            <w:tcBorders>
              <w:bottom w:val="single" w:sz="6" w:space="0" w:color="000000"/>
            </w:tcBorders>
            <w:vAlign w:val="center"/>
          </w:tcPr>
          <w:p>
            <w:pPr>
              <w:pStyle w:val="TableContents"/>
              <w:bidi w:val="0"/>
              <w:spacing w:before="0" w:after="283"/>
              <w:jc w:val="left"/>
              <w:rPr/>
            </w:pPr>
            <w:r>
              <w:rPr/>
              <w:t>)</w:t>
            </w:r>
          </w:p>
        </w:tc>
      </w:tr>
      <w:tr>
        <w:trPr/>
        <w:tc>
          <w:tcPr>
            <w:tcW w:w="4655" w:type="dxa"/>
            <w:tcBorders>
              <w:bottom w:val="single" w:sz="12" w:space="0" w:color="000000"/>
            </w:tcBorders>
            <w:shd w:fill="E6EFFF" w:val="clear"/>
            <w:vAlign w:val="center"/>
          </w:tcPr>
          <w:p>
            <w:pPr>
              <w:pStyle w:val="TableContents"/>
              <w:bidi w:val="0"/>
              <w:spacing w:before="0" w:after="0"/>
              <w:jc w:val="left"/>
              <w:rPr/>
            </w:pPr>
            <w:r>
              <w:rPr/>
              <w:t>Net lease liabilities</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75" w:type="dxa"/>
            <w:tcBorders>
              <w:bottom w:val="single" w:sz="12" w:space="0" w:color="000000"/>
            </w:tcBorders>
            <w:shd w:fill="E6EFFF" w:val="clear"/>
            <w:vAlign w:val="center"/>
          </w:tcPr>
          <w:p>
            <w:pPr>
              <w:pStyle w:val="TableContents"/>
              <w:bidi w:val="0"/>
              <w:spacing w:before="0" w:after="283"/>
              <w:jc w:val="right"/>
              <w:rPr/>
            </w:pPr>
            <w:r>
              <w:rPr/>
              <w:t>548,256</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95" w:type="dxa"/>
            <w:tcBorders>
              <w:bottom w:val="single" w:sz="12" w:space="0" w:color="000000"/>
            </w:tcBorders>
            <w:shd w:fill="E6EFFF" w:val="clear"/>
            <w:vAlign w:val="center"/>
          </w:tcPr>
          <w:p>
            <w:pPr>
              <w:pStyle w:val="TableContents"/>
              <w:bidi w:val="0"/>
              <w:spacing w:before="0" w:after="283"/>
              <w:jc w:val="right"/>
              <w:rPr/>
            </w:pPr>
            <w:r>
              <w:rPr/>
              <w:t>609,553</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r>
        <w:trPr/>
        <w:tc>
          <w:tcPr>
            <w:tcW w:w="465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655" w:type="dxa"/>
            <w:tcBorders>
              <w:bottom w:val="single" w:sz="12" w:space="0" w:color="000000"/>
            </w:tcBorders>
            <w:shd w:fill="E6EFFF" w:val="clear"/>
            <w:vAlign w:val="center"/>
          </w:tcPr>
          <w:p>
            <w:pPr>
              <w:pStyle w:val="TableContents"/>
              <w:bidi w:val="0"/>
              <w:spacing w:before="0" w:after="0"/>
              <w:jc w:val="left"/>
              <w:rPr/>
            </w:pPr>
            <w:r>
              <w:rPr/>
              <w:t>Current lease liabilities</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75" w:type="dxa"/>
            <w:tcBorders>
              <w:bottom w:val="single" w:sz="12" w:space="0" w:color="000000"/>
            </w:tcBorders>
            <w:shd w:fill="E6EFFF" w:val="clear"/>
            <w:vAlign w:val="center"/>
          </w:tcPr>
          <w:p>
            <w:pPr>
              <w:pStyle w:val="TableContents"/>
              <w:bidi w:val="0"/>
              <w:spacing w:before="0" w:after="283"/>
              <w:jc w:val="right"/>
              <w:rPr/>
            </w:pPr>
            <w:r>
              <w:rPr/>
              <w:t>315,120</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95" w:type="dxa"/>
            <w:tcBorders>
              <w:bottom w:val="single" w:sz="12" w:space="0" w:color="000000"/>
            </w:tcBorders>
            <w:shd w:fill="E6EFFF" w:val="clear"/>
            <w:vAlign w:val="center"/>
          </w:tcPr>
          <w:p>
            <w:pPr>
              <w:pStyle w:val="TableContents"/>
              <w:bidi w:val="0"/>
              <w:spacing w:before="0" w:after="283"/>
              <w:jc w:val="right"/>
              <w:rPr/>
            </w:pPr>
            <w:r>
              <w:rPr/>
              <w:t>303,650</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r>
        <w:trPr/>
        <w:tc>
          <w:tcPr>
            <w:tcW w:w="4655" w:type="dxa"/>
            <w:tcBorders>
              <w:bottom w:val="single" w:sz="12" w:space="0" w:color="000000"/>
            </w:tcBorders>
            <w:vAlign w:val="center"/>
          </w:tcPr>
          <w:p>
            <w:pPr>
              <w:pStyle w:val="TableContents"/>
              <w:bidi w:val="0"/>
              <w:spacing w:before="0" w:after="0"/>
              <w:jc w:val="left"/>
              <w:rPr/>
            </w:pPr>
            <w:r>
              <w:rPr/>
              <w:t>Non-current lease liabilities</w:t>
            </w:r>
          </w:p>
        </w:tc>
        <w:tc>
          <w:tcPr>
            <w:tcW w:w="60" w:type="dxa"/>
            <w:tcBorders>
              <w:bottom w:val="single" w:sz="12" w:space="0" w:color="000000"/>
            </w:tcBorders>
            <w:vAlign w:val="center"/>
          </w:tcPr>
          <w:p>
            <w:pPr>
              <w:pStyle w:val="TableContents"/>
              <w:bidi w:val="0"/>
              <w:spacing w:before="0" w:after="283"/>
              <w:jc w:val="left"/>
              <w:rPr/>
            </w:pPr>
            <w:r>
              <w:rPr/>
              <w:t> </w:t>
            </w:r>
          </w:p>
        </w:tc>
        <w:tc>
          <w:tcPr>
            <w:tcW w:w="875" w:type="dxa"/>
            <w:tcBorders>
              <w:bottom w:val="single" w:sz="12" w:space="0" w:color="000000"/>
            </w:tcBorders>
            <w:vAlign w:val="center"/>
          </w:tcPr>
          <w:p>
            <w:pPr>
              <w:pStyle w:val="TableContents"/>
              <w:bidi w:val="0"/>
              <w:spacing w:before="0" w:after="283"/>
              <w:jc w:val="right"/>
              <w:rPr/>
            </w:pPr>
            <w:r>
              <w:rPr/>
              <w:t>233,136</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295" w:type="dxa"/>
            <w:tcBorders>
              <w:bottom w:val="single" w:sz="12" w:space="0" w:color="000000"/>
            </w:tcBorders>
            <w:vAlign w:val="center"/>
          </w:tcPr>
          <w:p>
            <w:pPr>
              <w:pStyle w:val="TableContents"/>
              <w:bidi w:val="0"/>
              <w:spacing w:before="0" w:after="283"/>
              <w:jc w:val="right"/>
              <w:rPr/>
            </w:pPr>
            <w:r>
              <w:rPr/>
              <w:t>305,903</w:t>
            </w:r>
          </w:p>
        </w:tc>
        <w:tc>
          <w:tcPr>
            <w:tcW w:w="110" w:type="dxa"/>
            <w:tcBorders>
              <w:bottom w:val="single" w:sz="12" w:space="0" w:color="000000"/>
            </w:tcBorders>
            <w:vAlign w:val="center"/>
          </w:tcPr>
          <w:p>
            <w:pPr>
              <w:pStyle w:val="TableContents"/>
              <w:bidi w:val="0"/>
              <w:spacing w:before="0" w:after="283"/>
              <w:jc w:val="left"/>
              <w:rPr/>
            </w:pPr>
            <w:r>
              <w:rPr/>
              <w:t> </w:t>
            </w:r>
          </w:p>
        </w:tc>
      </w:tr>
    </w:tbl>
    <w:p>
      <w:pPr>
        <w:pStyle w:val="TextBody"/>
        <w:bidi w:val="0"/>
        <w:ind w:left="360" w:right="0" w:hanging="0"/>
        <w:jc w:val="both"/>
        <w:rPr/>
      </w:pPr>
      <w:r>
        <w:rPr/>
        <w:t>Total cash outflows for lease liabilities for the three months ended May 31, 2023 was $83,417 (2022: $nil). In addition there were cash outflows for short-term leases for the three months ended May 31, 2023 of $13,407 (2022: $51,593).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6" w:name="footer_page_9"/>
      <w:bookmarkEnd w:id="46"/>
      <w:r>
        <w:rPr/>
        <w:t>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5.</w:t>
      </w:r>
      <w:r>
        <w:rPr/>
        <w:t> </w:t>
      </w:r>
      <w:r>
        <w:rPr>
          <w:b/>
        </w:rPr>
        <w:t>Trade and Other Receivables</w:t>
      </w:r>
    </w:p>
    <w:p>
      <w:pPr>
        <w:pStyle w:val="TextBody"/>
        <w:bidi w:val="0"/>
        <w:ind w:left="360" w:right="0" w:hanging="0"/>
        <w:jc w:val="both"/>
        <w:rPr/>
      </w:pPr>
      <w:r>
        <w:rPr/>
        <w:t>The Company's trade and other receivables are comprised of the following:</w:t>
      </w:r>
    </w:p>
    <w:tbl>
      <w:tblPr>
        <w:tblW w:w="4290" w:type="dxa"/>
        <w:jc w:val="left"/>
        <w:tblInd w:w="360" w:type="dxa"/>
        <w:tblLayout w:type="fixed"/>
        <w:tblCellMar>
          <w:top w:w="0" w:type="dxa"/>
          <w:left w:w="0" w:type="dxa"/>
          <w:bottom w:w="28" w:type="dxa"/>
          <w:right w:w="0" w:type="dxa"/>
        </w:tblCellMar>
      </w:tblPr>
      <w:tblGrid>
        <w:gridCol w:w="1985"/>
        <w:gridCol w:w="60"/>
        <w:gridCol w:w="815"/>
        <w:gridCol w:w="60"/>
        <w:gridCol w:w="60"/>
        <w:gridCol w:w="1235"/>
        <w:gridCol w:w="75"/>
      </w:tblGrid>
      <w:tr>
        <w:trPr/>
        <w:tc>
          <w:tcPr>
            <w:tcW w:w="1985" w:type="dxa"/>
            <w:tcBorders>
              <w:bottom w:val="single" w:sz="6" w:space="0" w:color="000000"/>
            </w:tcBorders>
            <w:vAlign w:val="center"/>
          </w:tcPr>
          <w:p>
            <w:pPr>
              <w:pStyle w:val="TableContents"/>
              <w:bidi w:val="0"/>
              <w:spacing w:before="0" w:after="283"/>
              <w:jc w:val="left"/>
              <w:rPr/>
            </w:pPr>
            <w:r>
              <w:rPr/>
              <w:t> </w:t>
            </w:r>
            <w:r>
              <w:rPr/>
              <w:b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15" w:type="dxa"/>
            <w:tcBorders>
              <w:bottom w:val="single" w:sz="6" w:space="0" w:color="000000"/>
            </w:tcBorders>
            <w:vAlign w:val="center"/>
          </w:tcPr>
          <w:p>
            <w:pPr>
              <w:pStyle w:val="TableContents"/>
              <w:bidi w:val="0"/>
              <w:spacing w:before="0" w:after="283"/>
              <w:jc w:val="center"/>
              <w:rPr/>
            </w:pPr>
            <w:r>
              <w:rPr/>
              <w:t>May 31,</w:t>
              <w:br/>
              <w:t>2023</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235" w:type="dxa"/>
            <w:tcBorders>
              <w:bottom w:val="single" w:sz="6" w:space="0" w:color="000000"/>
            </w:tcBorders>
            <w:vAlign w:val="center"/>
          </w:tcPr>
          <w:p>
            <w:pPr>
              <w:pStyle w:val="TableContents"/>
              <w:bidi w:val="0"/>
              <w:spacing w:before="0" w:after="283"/>
              <w:jc w:val="center"/>
              <w:rPr/>
            </w:pPr>
            <w:r>
              <w:rPr/>
              <w:t>February 28,</w:t>
              <w:br/>
              <w:t>2023</w:t>
              <w:br/>
              <w: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198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81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23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75"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1985" w:type="dxa"/>
            <w:tcBorders/>
            <w:shd w:fill="E6EFFF" w:val="clear"/>
            <w:tcMar>
              <w:bottom w:w="0" w:type="dxa"/>
            </w:tcMar>
            <w:vAlign w:val="center"/>
          </w:tcPr>
          <w:p>
            <w:pPr>
              <w:pStyle w:val="TableContents"/>
              <w:bidi w:val="0"/>
              <w:spacing w:before="0" w:after="283"/>
              <w:jc w:val="left"/>
              <w:rPr/>
            </w:pPr>
            <w:r>
              <w:rPr/>
              <w:t>Sales tax receivables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815" w:type="dxa"/>
            <w:tcBorders/>
            <w:shd w:fill="E6EFFF" w:val="clear"/>
            <w:tcMar>
              <w:bottom w:w="0" w:type="dxa"/>
            </w:tcMar>
            <w:vAlign w:val="center"/>
          </w:tcPr>
          <w:p>
            <w:pPr>
              <w:pStyle w:val="TableContents"/>
              <w:bidi w:val="0"/>
              <w:spacing w:before="0" w:after="283"/>
              <w:jc w:val="right"/>
              <w:rPr/>
            </w:pPr>
            <w:r>
              <w:rPr/>
              <w:t>619,630</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793,895</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1985" w:type="dxa"/>
            <w:tcBorders>
              <w:bottom w:val="single" w:sz="6" w:space="0" w:color="000000"/>
            </w:tcBorders>
            <w:vAlign w:val="center"/>
          </w:tcPr>
          <w:p>
            <w:pPr>
              <w:pStyle w:val="TableContents"/>
              <w:bidi w:val="0"/>
              <w:spacing w:before="0" w:after="283"/>
              <w:jc w:val="left"/>
              <w:rPr/>
            </w:pPr>
            <w:r>
              <w:rPr/>
              <w:t>Other receivables</w:t>
            </w:r>
          </w:p>
        </w:tc>
        <w:tc>
          <w:tcPr>
            <w:tcW w:w="60" w:type="dxa"/>
            <w:tcBorders>
              <w:bottom w:val="single" w:sz="6" w:space="0" w:color="000000"/>
            </w:tcBorders>
            <w:vAlign w:val="center"/>
          </w:tcPr>
          <w:p>
            <w:pPr>
              <w:pStyle w:val="TableContents"/>
              <w:bidi w:val="0"/>
              <w:spacing w:before="0" w:after="283"/>
              <w:jc w:val="left"/>
              <w:rPr/>
            </w:pPr>
            <w:r>
              <w:rPr/>
              <w:t> </w:t>
            </w:r>
          </w:p>
        </w:tc>
        <w:tc>
          <w:tcPr>
            <w:tcW w:w="815" w:type="dxa"/>
            <w:tcBorders>
              <w:bottom w:val="single" w:sz="6" w:space="0" w:color="000000"/>
            </w:tcBorders>
            <w:vAlign w:val="center"/>
          </w:tcPr>
          <w:p>
            <w:pPr>
              <w:pStyle w:val="TableContents"/>
              <w:bidi w:val="0"/>
              <w:spacing w:before="0" w:after="283"/>
              <w:jc w:val="right"/>
              <w:rPr/>
            </w:pPr>
            <w:r>
              <w:rPr/>
              <w:t>6,144</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6,278</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1985" w:type="dxa"/>
            <w:tcBorders>
              <w:bottom w:val="single" w:sz="12" w:space="0" w:color="000000"/>
            </w:tcBorders>
            <w:shd w:fill="E6EFFF" w:val="clear"/>
            <w:vAlign w:val="center"/>
          </w:tcPr>
          <w:p>
            <w:pPr>
              <w:pStyle w:val="TableContents"/>
              <w:bidi w:val="0"/>
              <w:spacing w:before="0" w:after="283"/>
              <w:jc w:val="left"/>
              <w:rPr/>
            </w:pPr>
            <w:r>
              <w:rPr/>
              <w:t>Total</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15" w:type="dxa"/>
            <w:tcBorders>
              <w:bottom w:val="single" w:sz="12" w:space="0" w:color="000000"/>
            </w:tcBorders>
            <w:shd w:fill="E6EFFF" w:val="clear"/>
            <w:vAlign w:val="center"/>
          </w:tcPr>
          <w:p>
            <w:pPr>
              <w:pStyle w:val="TableContents"/>
              <w:bidi w:val="0"/>
              <w:spacing w:before="0" w:after="283"/>
              <w:jc w:val="right"/>
              <w:rPr/>
            </w:pPr>
            <w:r>
              <w:rPr/>
              <w:t>625,774</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35" w:type="dxa"/>
            <w:tcBorders>
              <w:bottom w:val="single" w:sz="12" w:space="0" w:color="000000"/>
            </w:tcBorders>
            <w:shd w:fill="E6EFFF" w:val="clear"/>
            <w:vAlign w:val="center"/>
          </w:tcPr>
          <w:p>
            <w:pPr>
              <w:pStyle w:val="TableContents"/>
              <w:bidi w:val="0"/>
              <w:spacing w:before="0" w:after="283"/>
              <w:jc w:val="right"/>
              <w:rPr/>
            </w:pPr>
            <w:r>
              <w:rPr/>
              <w:t>800,173</w:t>
            </w:r>
          </w:p>
        </w:tc>
        <w:tc>
          <w:tcPr>
            <w:tcW w:w="75"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ind w:left="360" w:right="0" w:hanging="0"/>
        <w:jc w:val="both"/>
        <w:rPr/>
      </w:pPr>
      <w:r>
        <w:rPr/>
        <w:t>During the three months ended May 31, 2023, the Company received a $nil tax credit relating to research and development expenditures claimed (three months ended May 31, 2022 - $655,166 tax credit relating to research and development expenditures claimed for the year ended February 28, 2021). As at May 31, 2023, the Company had $nil in research and development tax credits receivable (February 28, 2023 - $nil) included in the trade and other receivables balance.</w:t>
      </w:r>
    </w:p>
    <w:p>
      <w:pPr>
        <w:pStyle w:val="TextBody"/>
        <w:bidi w:val="0"/>
        <w:jc w:val="both"/>
        <w:rPr/>
      </w:pPr>
      <w:r>
        <w:rPr>
          <w:b/>
        </w:rPr>
        <w:t>6.</w:t>
      </w:r>
      <w:r>
        <w:rPr/>
        <w:t> </w:t>
      </w:r>
      <w:r>
        <w:rPr>
          <w:b/>
        </w:rPr>
        <w:t>Related Party Transactions</w:t>
      </w:r>
    </w:p>
    <w:p>
      <w:pPr>
        <w:pStyle w:val="TextBody"/>
        <w:bidi w:val="0"/>
        <w:ind w:left="360" w:right="0" w:hanging="0"/>
        <w:jc w:val="both"/>
        <w:rPr/>
      </w:pPr>
      <w:r>
        <w:rPr/>
        <w:t>The key management personnel of the Company are considered to be the directors of the Company and those other members of senior management who are directly involved in strategic decision-making.</w:t>
      </w:r>
    </w:p>
    <w:p>
      <w:pPr>
        <w:pStyle w:val="TextBody"/>
        <w:bidi w:val="0"/>
        <w:ind w:left="360" w:right="0" w:hanging="0"/>
        <w:jc w:val="both"/>
        <w:rPr/>
      </w:pPr>
      <w:r>
        <w:rPr/>
        <w:t>The Company incurred salaries and benefits to key management personnel as follows:</w:t>
      </w:r>
    </w:p>
    <w:tbl>
      <w:tblPr>
        <w:tblW w:w="6000" w:type="dxa"/>
        <w:jc w:val="left"/>
        <w:tblInd w:w="360" w:type="dxa"/>
        <w:tblLayout w:type="fixed"/>
        <w:tblCellMar>
          <w:top w:w="0" w:type="dxa"/>
          <w:left w:w="0" w:type="dxa"/>
          <w:bottom w:w="28" w:type="dxa"/>
          <w:right w:w="0" w:type="dxa"/>
        </w:tblCellMar>
      </w:tblPr>
      <w:tblGrid>
        <w:gridCol w:w="3095"/>
        <w:gridCol w:w="60"/>
        <w:gridCol w:w="1325"/>
        <w:gridCol w:w="60"/>
        <w:gridCol w:w="60"/>
        <w:gridCol w:w="1325"/>
        <w:gridCol w:w="75"/>
      </w:tblGrid>
      <w:tr>
        <w:trPr/>
        <w:tc>
          <w:tcPr>
            <w:tcW w:w="3095" w:type="dxa"/>
            <w:tcBorders>
              <w:bottom w:val="single" w:sz="6" w:space="0" w:color="000000"/>
            </w:tcBorders>
            <w:vAlign w:val="center"/>
          </w:tcPr>
          <w:p>
            <w:pPr>
              <w:pStyle w:val="TableContents"/>
              <w:bidi w:val="0"/>
              <w:spacing w:before="0" w:after="283"/>
              <w:jc w:val="left"/>
              <w:rPr/>
            </w:pPr>
            <w:r>
              <w:rPr/>
              <w:t> </w:t>
            </w:r>
            <w:r>
              <w:rPr/>
              <w:b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325" w:type="dxa"/>
            <w:tcBorders>
              <w:bottom w:val="single" w:sz="6" w:space="0" w:color="000000"/>
            </w:tcBorders>
            <w:vAlign w:val="center"/>
          </w:tcPr>
          <w:p>
            <w:pPr>
              <w:pStyle w:val="TableContents"/>
              <w:bidi w:val="0"/>
              <w:spacing w:before="0" w:after="283"/>
              <w:jc w:val="center"/>
              <w:rPr/>
            </w:pPr>
            <w:r>
              <w:rPr/>
              <w:t>Three months</w:t>
              <w:br/>
              <w:t>ended</w:t>
              <w:br/>
              <w:t>May 31,</w:t>
              <w:br/>
              <w:t>2023</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325" w:type="dxa"/>
            <w:tcBorders>
              <w:bottom w:val="single" w:sz="6" w:space="0" w:color="000000"/>
            </w:tcBorders>
            <w:vAlign w:val="center"/>
          </w:tcPr>
          <w:p>
            <w:pPr>
              <w:pStyle w:val="TableContents"/>
              <w:bidi w:val="0"/>
              <w:spacing w:before="0" w:after="283"/>
              <w:jc w:val="center"/>
              <w:rPr/>
            </w:pPr>
            <w:r>
              <w:rPr/>
              <w:t>Three months</w:t>
              <w:br/>
              <w:t>ended</w:t>
              <w:br/>
              <w:t>May 31,</w:t>
              <w:br/>
              <w:t>2022</w:t>
              <w:br/>
              <w: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309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32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32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75"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3095" w:type="dxa"/>
            <w:tcBorders/>
            <w:shd w:fill="E6EFFF" w:val="clear"/>
            <w:tcMar>
              <w:bottom w:w="0" w:type="dxa"/>
            </w:tcMar>
            <w:vAlign w:val="center"/>
          </w:tcPr>
          <w:p>
            <w:pPr>
              <w:pStyle w:val="TableContents"/>
              <w:bidi w:val="0"/>
              <w:spacing w:before="0" w:after="283"/>
              <w:jc w:val="left"/>
              <w:rPr/>
            </w:pPr>
            <w:r>
              <w:rPr/>
              <w:t>Base compensation and bonuses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1,067,035</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1,024,886</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3095" w:type="dxa"/>
            <w:tcBorders/>
            <w:tcMar>
              <w:bottom w:w="0" w:type="dxa"/>
            </w:tcMar>
            <w:vAlign w:val="center"/>
          </w:tcPr>
          <w:p>
            <w:pPr>
              <w:pStyle w:val="TableContents"/>
              <w:bidi w:val="0"/>
              <w:spacing w:before="0" w:after="283"/>
              <w:jc w:val="left"/>
              <w:rPr/>
            </w:pPr>
            <w:r>
              <w:rPr/>
              <w:t>Pension benefits</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13,632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24,601</w:t>
            </w:r>
          </w:p>
        </w:tc>
        <w:tc>
          <w:tcPr>
            <w:tcW w:w="75" w:type="dxa"/>
            <w:tcBorders/>
            <w:tcMar>
              <w:bottom w:w="0" w:type="dxa"/>
            </w:tcMar>
            <w:vAlign w:val="center"/>
          </w:tcPr>
          <w:p>
            <w:pPr>
              <w:pStyle w:val="TableContents"/>
              <w:bidi w:val="0"/>
              <w:spacing w:before="0" w:after="283"/>
              <w:jc w:val="left"/>
              <w:rPr/>
            </w:pPr>
            <w:r>
              <w:rPr/>
              <w:t> </w:t>
            </w:r>
          </w:p>
        </w:tc>
      </w:tr>
      <w:tr>
        <w:trPr/>
        <w:tc>
          <w:tcPr>
            <w:tcW w:w="3095" w:type="dxa"/>
            <w:tcBorders>
              <w:bottom w:val="single" w:sz="6" w:space="0" w:color="000000"/>
            </w:tcBorders>
            <w:shd w:fill="E6EFFF" w:val="clear"/>
            <w:vAlign w:val="center"/>
          </w:tcPr>
          <w:p>
            <w:pPr>
              <w:pStyle w:val="TableContents"/>
              <w:bidi w:val="0"/>
              <w:spacing w:before="0" w:after="283"/>
              <w:jc w:val="left"/>
              <w:rPr/>
            </w:pPr>
            <w:r>
              <w:rPr/>
              <w:t>Share-based payments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6,029</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13,121</w:t>
            </w:r>
          </w:p>
        </w:tc>
        <w:tc>
          <w:tcPr>
            <w:tcW w:w="75"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3095" w:type="dxa"/>
            <w:tcBorders>
              <w:bottom w:val="single" w:sz="12" w:space="0" w:color="000000"/>
            </w:tcBorders>
            <w:vAlign w:val="center"/>
          </w:tcPr>
          <w:p>
            <w:pPr>
              <w:pStyle w:val="TableContents"/>
              <w:bidi w:val="0"/>
              <w:spacing w:before="0" w:after="283"/>
              <w:jc w:val="left"/>
              <w:rPr/>
            </w:pPr>
            <w:r>
              <w:rPr/>
              <w:t>Total</w:t>
            </w:r>
          </w:p>
        </w:tc>
        <w:tc>
          <w:tcPr>
            <w:tcW w:w="60" w:type="dxa"/>
            <w:tcBorders>
              <w:bottom w:val="single" w:sz="12" w:space="0" w:color="000000"/>
            </w:tcBorders>
            <w:vAlign w:val="center"/>
          </w:tcPr>
          <w:p>
            <w:pPr>
              <w:pStyle w:val="TableContents"/>
              <w:bidi w:val="0"/>
              <w:spacing w:before="0" w:after="283"/>
              <w:jc w:val="left"/>
              <w:rPr/>
            </w:pPr>
            <w:r>
              <w:rPr/>
              <w:t> </w:t>
            </w:r>
          </w:p>
        </w:tc>
        <w:tc>
          <w:tcPr>
            <w:tcW w:w="1325" w:type="dxa"/>
            <w:tcBorders>
              <w:bottom w:val="single" w:sz="12" w:space="0" w:color="000000"/>
            </w:tcBorders>
            <w:vAlign w:val="center"/>
          </w:tcPr>
          <w:p>
            <w:pPr>
              <w:pStyle w:val="TableContents"/>
              <w:bidi w:val="0"/>
              <w:spacing w:before="0" w:after="283"/>
              <w:jc w:val="right"/>
              <w:rPr/>
            </w:pPr>
            <w:r>
              <w:rPr/>
              <w:t>1,086,696</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325" w:type="dxa"/>
            <w:tcBorders>
              <w:bottom w:val="single" w:sz="12" w:space="0" w:color="000000"/>
            </w:tcBorders>
            <w:vAlign w:val="center"/>
          </w:tcPr>
          <w:p>
            <w:pPr>
              <w:pStyle w:val="TableContents"/>
              <w:bidi w:val="0"/>
              <w:spacing w:before="0" w:after="283"/>
              <w:jc w:val="right"/>
              <w:rPr/>
            </w:pPr>
            <w:r>
              <w:rPr/>
              <w:t>1,062,608</w:t>
            </w:r>
          </w:p>
        </w:tc>
        <w:tc>
          <w:tcPr>
            <w:tcW w:w="75" w:type="dxa"/>
            <w:tcBorders>
              <w:bottom w:val="single" w:sz="12" w:space="0" w:color="000000"/>
            </w:tcBorders>
            <w:vAlign w:val="center"/>
          </w:tcPr>
          <w:p>
            <w:pPr>
              <w:pStyle w:val="TableContents"/>
              <w:bidi w:val="0"/>
              <w:spacing w:before="0" w:after="283"/>
              <w:jc w:val="left"/>
              <w:rPr/>
            </w:pPr>
            <w:r>
              <w:rPr/>
              <w:t> </w:t>
            </w:r>
          </w:p>
        </w:tc>
      </w:tr>
    </w:tbl>
    <w:p>
      <w:pPr>
        <w:pStyle w:val="TextBody"/>
        <w:bidi w:val="0"/>
        <w:ind w:left="360" w:right="0" w:hanging="0"/>
        <w:jc w:val="both"/>
        <w:rPr/>
      </w:pPr>
      <w:r>
        <w:rPr/>
        <w:t>At May 31, 2023, amounts owed by the Company to related parties in relation to directors' fees of $21,250 (February 28, 2023 - $21,250) as well as key management compensation and bonuses of $114,902 (February 28, 2023 - $67,184) were included in accounts payable and accrued liabilities. At May 31, 2023, $474,244 (February 28, 2023 - $617,138) in key management compensation was included in prepaid expenses. At May 31, 2023, this amount reflected a retention payment to an officer of the Company which was eligible to clawback in whole or in part pursuant to the terms and conditions of such officer's retention agreement.  Following period-end, the Company and the officer entered into an agreement pursuant to which it was agreed that, in addition to other matters, the obligations for full payment of the retention amount have been satisfied, with no repayment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7" w:name="footer_page_10"/>
      <w:bookmarkEnd w:id="47"/>
      <w:r>
        <w:rPr/>
        <w:t>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48" w:name="header_page_11"/>
      <w:bookmarkStart w:id="49" w:name="header_page_11"/>
      <w:bookmarkEnd w:id="49"/>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0" w:hanging="0"/>
        <w:jc w:val="both"/>
        <w:rPr/>
      </w:pPr>
      <w:r>
        <w:rPr>
          <w:b/>
        </w:rPr>
        <w:t>7.</w:t>
      </w:r>
      <w:r>
        <w:rPr/>
        <w:t> </w:t>
      </w:r>
      <w:r>
        <w:rPr>
          <w:b/>
        </w:rPr>
        <w:t>Share Capital</w:t>
      </w:r>
    </w:p>
    <w:p>
      <w:pPr>
        <w:pStyle w:val="TextBody"/>
        <w:bidi w:val="0"/>
        <w:ind w:left="0" w:right="0" w:firstLine="360"/>
        <w:jc w:val="both"/>
        <w:rPr/>
      </w:pPr>
      <w:r>
        <w:rPr>
          <w:b/>
        </w:rPr>
        <w:t>Authorized:</w:t>
      </w:r>
      <w:r>
        <w:rPr/>
        <w:t xml:space="preserve"> Unlimited number of common shares without par value.</w:t>
      </w:r>
    </w:p>
    <w:p>
      <w:pPr>
        <w:pStyle w:val="TextBody"/>
        <w:bidi w:val="0"/>
        <w:ind w:left="720" w:right="0" w:hanging="0"/>
        <w:jc w:val="both"/>
        <w:rPr/>
      </w:pPr>
      <w:r>
        <w:rPr>
          <w:b/>
        </w:rPr>
        <w:t>(a)</w:t>
      </w:r>
      <w:r>
        <w:rPr/>
        <w:t> </w:t>
      </w:r>
      <w:r>
        <w:rPr>
          <w:b/>
        </w:rPr>
        <w:t>Share capital continuity:</w:t>
      </w:r>
    </w:p>
    <w:tbl>
      <w:tblPr>
        <w:tblW w:w="9175" w:type="dxa"/>
        <w:jc w:val="left"/>
        <w:tblInd w:w="720" w:type="dxa"/>
        <w:tblLayout w:type="fixed"/>
        <w:tblCellMar>
          <w:top w:w="0" w:type="dxa"/>
          <w:left w:w="0" w:type="dxa"/>
          <w:bottom w:w="28" w:type="dxa"/>
          <w:right w:w="0" w:type="dxa"/>
        </w:tblCellMar>
      </w:tblPr>
      <w:tblGrid>
        <w:gridCol w:w="6530"/>
        <w:gridCol w:w="60"/>
        <w:gridCol w:w="1220"/>
        <w:gridCol w:w="95"/>
        <w:gridCol w:w="60"/>
        <w:gridCol w:w="1100"/>
        <w:gridCol w:w="110"/>
      </w:tblGrid>
      <w:tr>
        <w:trPr/>
        <w:tc>
          <w:tcPr>
            <w:tcW w:w="6530" w:type="dxa"/>
            <w:tcBorders>
              <w:bottom w:val="single" w:sz="6" w:space="0" w:color="000000"/>
            </w:tcBorders>
            <w:vAlign w:val="center"/>
          </w:tcPr>
          <w:p>
            <w:pPr>
              <w:pStyle w:val="TableContents"/>
              <w:bidi w:val="0"/>
              <w:spacing w:before="0" w:after="0"/>
              <w:jc w:val="left"/>
              <w:rPr/>
            </w:pPr>
            <w:r>
              <w:rPr/>
              <w:t> </w:t>
            </w:r>
            <w:r>
              <w:rPr/>
              <w:b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220" w:type="dxa"/>
            <w:tcBorders>
              <w:bottom w:val="single" w:sz="6" w:space="0" w:color="000000"/>
            </w:tcBorders>
            <w:vAlign w:val="center"/>
          </w:tcPr>
          <w:p>
            <w:pPr>
              <w:pStyle w:val="TableContents"/>
              <w:bidi w:val="0"/>
              <w:spacing w:before="0" w:after="283"/>
              <w:jc w:val="center"/>
              <w:rPr/>
            </w:pPr>
            <w:r>
              <w:rPr/>
              <w:t>Number of</w:t>
              <w:br/>
              <w:t>shares</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100" w:type="dxa"/>
            <w:tcBorders>
              <w:bottom w:val="single" w:sz="6" w:space="0" w:color="000000"/>
            </w:tcBorders>
            <w:vAlign w:val="center"/>
          </w:tcPr>
          <w:p>
            <w:pPr>
              <w:pStyle w:val="TableContents"/>
              <w:bidi w:val="0"/>
              <w:spacing w:before="0" w:after="283"/>
              <w:jc w:val="center"/>
              <w:rPr/>
            </w:pPr>
            <w:r>
              <w:rPr/>
              <w:t>$</w:t>
            </w:r>
          </w:p>
        </w:tc>
        <w:tc>
          <w:tcPr>
            <w:tcW w:w="110" w:type="dxa"/>
            <w:tcBorders>
              <w:bottom w:val="single" w:sz="6" w:space="0" w:color="000000"/>
            </w:tcBorders>
            <w:vAlign w:val="center"/>
          </w:tcPr>
          <w:p>
            <w:pPr>
              <w:pStyle w:val="TableContents"/>
              <w:bidi w:val="0"/>
              <w:spacing w:before="0" w:after="283"/>
              <w:jc w:val="center"/>
              <w:rPr/>
            </w:pPr>
            <w:r>
              <w:rPr/>
              <w:t> </w:t>
            </w:r>
          </w:p>
        </w:tc>
      </w:tr>
      <w:tr>
        <w:trPr/>
        <w:tc>
          <w:tcPr>
            <w:tcW w:w="653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220" w:type="dxa"/>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00" w:type="dxa"/>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center"/>
              <w:rPr/>
            </w:pPr>
            <w:r>
              <w:rPr/>
              <w:t> </w:t>
            </w:r>
          </w:p>
        </w:tc>
      </w:tr>
      <w:tr>
        <w:trPr/>
        <w:tc>
          <w:tcPr>
            <w:tcW w:w="6530" w:type="dxa"/>
            <w:tcBorders>
              <w:bottom w:val="single" w:sz="12" w:space="0" w:color="000000"/>
            </w:tcBorders>
            <w:shd w:fill="E6EFFF" w:val="clear"/>
            <w:vAlign w:val="center"/>
          </w:tcPr>
          <w:p>
            <w:pPr>
              <w:pStyle w:val="TableContents"/>
              <w:bidi w:val="0"/>
              <w:spacing w:before="0" w:after="0"/>
              <w:jc w:val="left"/>
              <w:rPr/>
            </w:pPr>
            <w:r>
              <w:rPr/>
              <w:t>Balance, February 28, 2022</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20" w:type="dxa"/>
            <w:tcBorders>
              <w:bottom w:val="single" w:sz="12" w:space="0" w:color="000000"/>
            </w:tcBorders>
            <w:shd w:fill="E6EFFF" w:val="clear"/>
            <w:vAlign w:val="center"/>
          </w:tcPr>
          <w:p>
            <w:pPr>
              <w:pStyle w:val="TableContents"/>
              <w:bidi w:val="0"/>
              <w:spacing w:before="0" w:after="283"/>
              <w:jc w:val="right"/>
              <w:rPr/>
            </w:pPr>
            <w:r>
              <w:rPr/>
              <w:t>319,625,487</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00" w:type="dxa"/>
            <w:tcBorders>
              <w:bottom w:val="single" w:sz="12" w:space="0" w:color="000000"/>
            </w:tcBorders>
            <w:shd w:fill="E6EFFF" w:val="clear"/>
            <w:vAlign w:val="center"/>
          </w:tcPr>
          <w:p>
            <w:pPr>
              <w:pStyle w:val="TableContents"/>
              <w:bidi w:val="0"/>
              <w:spacing w:before="0" w:after="283"/>
              <w:jc w:val="right"/>
              <w:rPr/>
            </w:pPr>
            <w:r>
              <w:rPr/>
              <w:t>69,970,184</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r>
        <w:trPr/>
        <w:tc>
          <w:tcPr>
            <w:tcW w:w="6530" w:type="dxa"/>
            <w:tcBorders/>
            <w:tcMar>
              <w:bottom w:w="0" w:type="dxa"/>
            </w:tcMar>
            <w:vAlign w:val="center"/>
          </w:tcPr>
          <w:p>
            <w:pPr>
              <w:pStyle w:val="TableContents"/>
              <w:bidi w:val="0"/>
              <w:spacing w:before="0" w:after="0"/>
              <w:jc w:val="left"/>
              <w:rPr/>
            </w:pPr>
            <w:r>
              <w:rPr/>
              <w:t>Shares issued pursuant to exercise of stock options</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3,725,000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140,307</w:t>
            </w:r>
          </w:p>
        </w:tc>
        <w:tc>
          <w:tcPr>
            <w:tcW w:w="110" w:type="dxa"/>
            <w:tcBorders/>
            <w:tcMar>
              <w:bottom w:w="0" w:type="dxa"/>
            </w:tcMar>
            <w:vAlign w:val="center"/>
          </w:tcPr>
          <w:p>
            <w:pPr>
              <w:pStyle w:val="TableContents"/>
              <w:bidi w:val="0"/>
              <w:spacing w:before="0" w:after="283"/>
              <w:jc w:val="left"/>
              <w:rPr/>
            </w:pPr>
            <w:r>
              <w:rPr/>
              <w:t> </w:t>
            </w:r>
          </w:p>
        </w:tc>
      </w:tr>
      <w:tr>
        <w:trPr/>
        <w:tc>
          <w:tcPr>
            <w:tcW w:w="6530" w:type="dxa"/>
            <w:tcBorders>
              <w:bottom w:val="single" w:sz="6" w:space="0" w:color="000000"/>
            </w:tcBorders>
            <w:shd w:fill="E6EFFF" w:val="clear"/>
            <w:vAlign w:val="center"/>
          </w:tcPr>
          <w:p>
            <w:pPr>
              <w:pStyle w:val="TableContents"/>
              <w:bidi w:val="0"/>
              <w:spacing w:before="0" w:after="0"/>
              <w:jc w:val="left"/>
              <w:rPr/>
            </w:pPr>
            <w:r>
              <w:rPr/>
              <w:t>Purchase and cancellation of shares through normal course issuer bid</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20" w:type="dxa"/>
            <w:tcBorders>
              <w:bottom w:val="single" w:sz="6" w:space="0" w:color="000000"/>
            </w:tcBorders>
            <w:shd w:fill="E6EFFF" w:val="clear"/>
            <w:vAlign w:val="center"/>
          </w:tcPr>
          <w:p>
            <w:pPr>
              <w:pStyle w:val="TableContents"/>
              <w:bidi w:val="0"/>
              <w:spacing w:before="0" w:after="283"/>
              <w:jc w:val="right"/>
              <w:rPr/>
            </w:pPr>
            <w:r>
              <w:rPr/>
              <w:t>(1,788,000</w:t>
            </w:r>
          </w:p>
        </w:tc>
        <w:tc>
          <w:tcPr>
            <w:tcW w:w="95" w:type="dxa"/>
            <w:tcBorders>
              <w:bottom w:val="single" w:sz="6" w:space="0" w:color="000000"/>
            </w:tcBorders>
            <w:shd w:fill="E6EFFF" w:val="clear"/>
            <w:vAlign w:val="center"/>
          </w:tcPr>
          <w:p>
            <w:pPr>
              <w:pStyle w:val="TableContents"/>
              <w:bidi w:val="0"/>
              <w:spacing w:before="0" w:after="283"/>
              <w:jc w:val="left"/>
              <w:rPr/>
            </w:pPr>
            <w:r>
              <w:rPr/>
              <w: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100" w:type="dxa"/>
            <w:tcBorders>
              <w:bottom w:val="single" w:sz="6" w:space="0" w:color="000000"/>
            </w:tcBorders>
            <w:shd w:fill="E6EFFF" w:val="clear"/>
            <w:vAlign w:val="center"/>
          </w:tcPr>
          <w:p>
            <w:pPr>
              <w:pStyle w:val="TableContents"/>
              <w:bidi w:val="0"/>
              <w:spacing w:before="0" w:after="283"/>
              <w:jc w:val="right"/>
              <w:rPr/>
            </w:pPr>
            <w:r>
              <w:rPr/>
              <w:t>(387,684</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6530" w:type="dxa"/>
            <w:tcBorders>
              <w:bottom w:val="single" w:sz="12" w:space="0" w:color="000000"/>
            </w:tcBorders>
            <w:vAlign w:val="center"/>
          </w:tcPr>
          <w:p>
            <w:pPr>
              <w:pStyle w:val="TableContents"/>
              <w:bidi w:val="0"/>
              <w:spacing w:before="0" w:after="0"/>
              <w:jc w:val="left"/>
              <w:rPr/>
            </w:pPr>
            <w:r>
              <w:rPr/>
              <w:t>Balance, February 28, 2023 and May 31, 2023</w:t>
            </w:r>
          </w:p>
        </w:tc>
        <w:tc>
          <w:tcPr>
            <w:tcW w:w="60" w:type="dxa"/>
            <w:tcBorders>
              <w:bottom w:val="single" w:sz="12" w:space="0" w:color="000000"/>
            </w:tcBorders>
            <w:vAlign w:val="center"/>
          </w:tcPr>
          <w:p>
            <w:pPr>
              <w:pStyle w:val="TableContents"/>
              <w:bidi w:val="0"/>
              <w:spacing w:before="0" w:after="283"/>
              <w:jc w:val="left"/>
              <w:rPr/>
            </w:pPr>
            <w:r>
              <w:rPr/>
              <w:t> </w:t>
            </w:r>
          </w:p>
        </w:tc>
        <w:tc>
          <w:tcPr>
            <w:tcW w:w="1220" w:type="dxa"/>
            <w:tcBorders>
              <w:bottom w:val="single" w:sz="12" w:space="0" w:color="000000"/>
            </w:tcBorders>
            <w:vAlign w:val="center"/>
          </w:tcPr>
          <w:p>
            <w:pPr>
              <w:pStyle w:val="TableContents"/>
              <w:bidi w:val="0"/>
              <w:spacing w:before="0" w:after="283"/>
              <w:jc w:val="right"/>
              <w:rPr/>
            </w:pPr>
            <w:r>
              <w:rPr/>
              <w:t>321,562,487</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right"/>
              <w:rPr/>
            </w:pPr>
            <w:r>
              <w:rPr/>
              <w:t>69,722,807</w:t>
            </w:r>
          </w:p>
        </w:tc>
        <w:tc>
          <w:tcPr>
            <w:tcW w:w="110" w:type="dxa"/>
            <w:tcBorders>
              <w:bottom w:val="single" w:sz="12" w:space="0" w:color="000000"/>
            </w:tcBorders>
            <w:vAlign w:val="center"/>
          </w:tcPr>
          <w:p>
            <w:pPr>
              <w:pStyle w:val="TableContents"/>
              <w:bidi w:val="0"/>
              <w:spacing w:before="0" w:after="283"/>
              <w:jc w:val="left"/>
              <w:rPr/>
            </w:pPr>
            <w:r>
              <w:rPr/>
              <w:t> </w:t>
            </w:r>
          </w:p>
        </w:tc>
      </w:tr>
    </w:tbl>
    <w:p>
      <w:pPr>
        <w:pStyle w:val="TextBody"/>
        <w:bidi w:val="0"/>
        <w:ind w:left="720" w:right="0" w:hanging="0"/>
        <w:jc w:val="both"/>
        <w:rPr/>
      </w:pPr>
      <w:r>
        <w:rPr>
          <w:b/>
        </w:rPr>
        <w:t>(b)</w:t>
      </w:r>
      <w:r>
        <w:rPr/>
        <w:t> </w:t>
      </w:r>
      <w:r>
        <w:rPr>
          <w:b/>
        </w:rPr>
        <w:t>Normal course issuer bid program</w:t>
      </w:r>
    </w:p>
    <w:p>
      <w:pPr>
        <w:pStyle w:val="TextBody"/>
        <w:bidi w:val="0"/>
        <w:ind w:left="720" w:right="0" w:hanging="0"/>
        <w:jc w:val="both"/>
        <w:rPr/>
      </w:pPr>
      <w:r>
        <w:rPr/>
        <w:t>On August 18, 2022, the TSXV accepted the Company's notice of intention to establish an NCIB. The NCIB permits the purchase for cancellation of up to 5,000,000 of the Company's common shares, over a 12 month period, representing 1.55% of the Company's issued and outstanding shares on the date of announcement.</w:t>
      </w:r>
    </w:p>
    <w:p>
      <w:pPr>
        <w:pStyle w:val="TextBody"/>
        <w:bidi w:val="0"/>
        <w:ind w:left="720" w:right="0" w:hanging="0"/>
        <w:jc w:val="both"/>
        <w:rPr/>
      </w:pPr>
      <w:r>
        <w:rPr/>
        <w:t>The NCIB commenced on August 19, 2022 and will terminate by the earlier of: August 18, 2023 and the date the Company has acquired the maximum number of common shares under the NCIB. The Company may also, at its discretion, terminate the NCIB prior to such date. The price paid for any common shares purchased under the NCIB will be the market price of such shares at the time of the applicable purchases.</w:t>
      </w:r>
    </w:p>
    <w:p>
      <w:pPr>
        <w:pStyle w:val="TextBody"/>
        <w:bidi w:val="0"/>
        <w:ind w:left="720" w:right="0" w:hanging="0"/>
        <w:jc w:val="both"/>
        <w:rPr/>
      </w:pPr>
      <w:r>
        <w:rPr/>
        <w:t>During the year ended February 28, 2023, the Company purchased and cancelled 1,788,000 common shares at a weighted average price of $0.270 per share, net of commission costs, for a total amount of $483,040. No purchases or cancellations occurred during the three months ended May 31, 2023. The Company intends to cancel all future purchases of common shares under the NCIB within eight days following the month in which such purchases occurred.</w:t>
      </w:r>
    </w:p>
    <w:p>
      <w:pPr>
        <w:pStyle w:val="TextBody"/>
        <w:bidi w:val="0"/>
        <w:ind w:left="720" w:right="0" w:hanging="0"/>
        <w:jc w:val="both"/>
        <w:rPr/>
      </w:pPr>
      <w:r>
        <w:rPr>
          <w:b/>
        </w:rPr>
        <w:t>(c)</w:t>
      </w:r>
      <w:r>
        <w:rPr/>
        <w:t> </w:t>
      </w:r>
      <w:r>
        <w:rPr>
          <w:b/>
        </w:rPr>
        <w:t>Movements in issued share capital in the current period:</w:t>
      </w:r>
    </w:p>
    <w:p>
      <w:pPr>
        <w:pStyle w:val="TextBody"/>
        <w:numPr>
          <w:ilvl w:val="0"/>
          <w:numId w:val="8"/>
        </w:numPr>
        <w:pBdr/>
        <w:tabs>
          <w:tab w:val="clear" w:pos="1134"/>
          <w:tab w:val="left" w:pos="1752" w:leader="none"/>
        </w:tabs>
        <w:bidi w:val="0"/>
        <w:ind w:left="1752" w:right="0" w:hanging="283"/>
        <w:jc w:val="both"/>
        <w:rPr/>
      </w:pPr>
      <w:r>
        <w:rPr/>
        <w:t xml:space="preserve">There were no movements in share capital during the three months ended May 31, 2023. </w:t>
      </w:r>
    </w:p>
    <w:p>
      <w:pPr>
        <w:pStyle w:val="TextBody"/>
        <w:bidi w:val="0"/>
        <w:ind w:left="720" w:right="0" w:hanging="0"/>
        <w:jc w:val="both"/>
        <w:rPr/>
      </w:pPr>
      <w:r>
        <w:rPr>
          <w:b/>
        </w:rPr>
        <w:t>(d)</w:t>
      </w:r>
      <w:r>
        <w:rPr/>
        <w:t> </w:t>
      </w:r>
      <w:r>
        <w:rPr>
          <w:b/>
        </w:rPr>
        <w:t>Movements in issued share capital in the prior year:</w:t>
      </w:r>
    </w:p>
    <w:p>
      <w:pPr>
        <w:pStyle w:val="TextBody"/>
        <w:numPr>
          <w:ilvl w:val="0"/>
          <w:numId w:val="9"/>
        </w:numPr>
        <w:pBdr/>
        <w:tabs>
          <w:tab w:val="clear" w:pos="1134"/>
          <w:tab w:val="left" w:pos="1752" w:leader="none"/>
        </w:tabs>
        <w:bidi w:val="0"/>
        <w:ind w:left="1752" w:right="0" w:hanging="283"/>
        <w:jc w:val="both"/>
        <w:rPr/>
      </w:pPr>
      <w:r>
        <w:rPr/>
        <w:t>On April 14, 2022, the Company issued 912,500 common shares for proceeds of $15,156 pursuant to the exercise of stock options. The fair value of stock options exercised of $20,504 was transferred from share-based payment reserve to share capital.</w:t>
      </w:r>
    </w:p>
    <w:p>
      <w:pPr>
        <w:pStyle w:val="TextBody"/>
        <w:numPr>
          <w:ilvl w:val="0"/>
          <w:numId w:val="9"/>
        </w:numPr>
        <w:pBdr/>
        <w:tabs>
          <w:tab w:val="clear" w:pos="1134"/>
          <w:tab w:val="left" w:pos="1752" w:leader="none"/>
        </w:tabs>
        <w:bidi w:val="0"/>
        <w:ind w:left="1752" w:right="0" w:hanging="283"/>
        <w:jc w:val="both"/>
        <w:rPr/>
      </w:pPr>
      <w:r>
        <w:rPr/>
        <w:t>On June 15, 2022, the Company issued 1,050,000 common shares for proceeds of $16,574 pursuant to the exercise of stock options. The fair value of stock options exercised of $22,389 was transferred from share-based payment reserve to share capital.</w:t>
      </w:r>
    </w:p>
    <w:p>
      <w:pPr>
        <w:pStyle w:val="TextBody"/>
        <w:numPr>
          <w:ilvl w:val="0"/>
          <w:numId w:val="9"/>
        </w:numPr>
        <w:pBdr/>
        <w:tabs>
          <w:tab w:val="clear" w:pos="1134"/>
          <w:tab w:val="left" w:pos="1752" w:leader="none"/>
        </w:tabs>
        <w:bidi w:val="0"/>
        <w:ind w:left="1752" w:right="0" w:hanging="283"/>
        <w:jc w:val="both"/>
        <w:rPr/>
      </w:pPr>
      <w:r>
        <w:rPr/>
        <w:t>On June 21, 2022, the Company issued 912,500 common shares for proceeds of $14,628 pursuant to the exercise of stock options. The fair value of stock options exercised of $19,795 was transferred from share-based payment reserve to share capital.</w:t>
      </w:r>
    </w:p>
    <w:p>
      <w:pPr>
        <w:pStyle w:val="TextBody"/>
        <w:numPr>
          <w:ilvl w:val="0"/>
          <w:numId w:val="9"/>
        </w:numPr>
        <w:pBdr/>
        <w:tabs>
          <w:tab w:val="clear" w:pos="1134"/>
          <w:tab w:val="left" w:pos="1752" w:leader="none"/>
        </w:tabs>
        <w:bidi w:val="0"/>
        <w:ind w:left="1752" w:right="0" w:hanging="283"/>
        <w:jc w:val="both"/>
        <w:rPr/>
      </w:pPr>
      <w:r>
        <w:rPr/>
        <w:t>On July 26, 2022, the Company issued 850,000 common shares for proceeds of $13,508 pursuant to the exercise of stock options. The fair value of stock options exercised of $17,753 was transferred from share-based payment reserve to share capital.</w:t>
      </w:r>
    </w:p>
    <w:p>
      <w:pPr>
        <w:pStyle w:val="TextBody"/>
        <w:numPr>
          <w:ilvl w:val="0"/>
          <w:numId w:val="9"/>
        </w:numPr>
        <w:pBdr/>
        <w:tabs>
          <w:tab w:val="clear" w:pos="1134"/>
          <w:tab w:val="left" w:pos="1752" w:leader="none"/>
        </w:tabs>
        <w:bidi w:val="0"/>
        <w:ind w:left="1752" w:right="0" w:hanging="283"/>
        <w:jc w:val="both"/>
        <w:rPr/>
      </w:pPr>
      <w:r>
        <w:rPr/>
        <w:t>Pursuant to the NCIB (Note 7 (b) above), during the year ended February 28, 2023 the Company purchased for cancellation 1,788,000 common shares for a total cost of $483,040. All 1,788,000 common shares were cancelled during the year ended February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0" w:name="footer_page_11"/>
      <w:bookmarkEnd w:id="50"/>
      <w:r>
        <w:rPr/>
        <w:t>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51" w:name="header_page_12"/>
      <w:bookmarkStart w:id="52" w:name="header_page_12"/>
      <w:bookmarkEnd w:id="52"/>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b/>
        </w:rPr>
      </w:pPr>
      <w:r>
        <w:rPr>
          <w:b/>
        </w:rPr>
        <w:t>7. Share Capital (continued)</w:t>
      </w:r>
    </w:p>
    <w:p>
      <w:pPr>
        <w:pStyle w:val="TextBody"/>
        <w:bidi w:val="0"/>
        <w:ind w:left="720" w:right="0" w:hanging="0"/>
        <w:jc w:val="both"/>
        <w:rPr/>
      </w:pPr>
      <w:r>
        <w:rPr>
          <w:b/>
        </w:rPr>
        <w:t>(e)</w:t>
      </w:r>
      <w:r>
        <w:rPr/>
        <w:t> </w:t>
      </w:r>
      <w:r>
        <w:rPr>
          <w:b/>
        </w:rPr>
        <w:t>Loss per share</w:t>
      </w:r>
    </w:p>
    <w:p>
      <w:pPr>
        <w:pStyle w:val="TextBody"/>
        <w:bidi w:val="0"/>
        <w:ind w:left="720" w:right="0" w:hanging="0"/>
        <w:jc w:val="both"/>
        <w:rPr/>
      </w:pPr>
      <w:r>
        <w:rPr/>
        <w:t>The calculation of basic and diluted loss per share is based on the following losses and number of common shares:</w:t>
      </w:r>
    </w:p>
    <w:tbl>
      <w:tblPr>
        <w:tblW w:w="9485" w:type="dxa"/>
        <w:jc w:val="left"/>
        <w:tblInd w:w="720" w:type="dxa"/>
        <w:tblLayout w:type="fixed"/>
        <w:tblCellMar>
          <w:top w:w="0" w:type="dxa"/>
          <w:left w:w="0" w:type="dxa"/>
          <w:bottom w:w="28" w:type="dxa"/>
          <w:right w:w="0" w:type="dxa"/>
        </w:tblCellMar>
      </w:tblPr>
      <w:tblGrid>
        <w:gridCol w:w="6350"/>
        <w:gridCol w:w="140"/>
        <w:gridCol w:w="1324"/>
        <w:gridCol w:w="95"/>
        <w:gridCol w:w="140"/>
        <w:gridCol w:w="1324"/>
        <w:gridCol w:w="112"/>
      </w:tblGrid>
      <w:tr>
        <w:trPr/>
        <w:tc>
          <w:tcPr>
            <w:tcW w:w="6350" w:type="dxa"/>
            <w:tcBorders>
              <w:bottom w:val="single" w:sz="6" w:space="0" w:color="000000"/>
            </w:tcBorders>
            <w:vAlign w:val="center"/>
          </w:tcPr>
          <w:p>
            <w:pPr>
              <w:pStyle w:val="TableContents"/>
              <w:bidi w:val="0"/>
              <w:spacing w:before="0" w:after="283"/>
              <w:ind w:left="0" w:right="0" w:hanging="138"/>
              <w:jc w:val="left"/>
              <w:rPr/>
            </w:pPr>
            <w:r>
              <w:rPr/>
              <w:t> </w:t>
            </w:r>
          </w:p>
        </w:tc>
        <w:tc>
          <w:tcPr>
            <w:tcW w:w="140" w:type="dxa"/>
            <w:tcBorders>
              <w:bottom w:val="single" w:sz="6" w:space="0" w:color="000000"/>
            </w:tcBorders>
            <w:vAlign w:val="center"/>
          </w:tcPr>
          <w:p>
            <w:pPr>
              <w:pStyle w:val="TableContents"/>
              <w:bidi w:val="0"/>
              <w:spacing w:before="0" w:after="283"/>
              <w:jc w:val="center"/>
              <w:rPr/>
            </w:pPr>
            <w:r>
              <w:rPr/>
              <w:t> </w:t>
            </w:r>
          </w:p>
        </w:tc>
        <w:tc>
          <w:tcPr>
            <w:tcW w:w="1324" w:type="dxa"/>
            <w:tcBorders>
              <w:bottom w:val="single" w:sz="6" w:space="0" w:color="000000"/>
            </w:tcBorders>
            <w:vAlign w:val="center"/>
          </w:tcPr>
          <w:p>
            <w:pPr>
              <w:pStyle w:val="TableContents"/>
              <w:bidi w:val="0"/>
              <w:spacing w:before="0" w:after="283"/>
              <w:jc w:val="center"/>
              <w:rPr/>
            </w:pPr>
            <w:r>
              <w:rPr/>
              <w:t>Three months</w:t>
              <w:br/>
              <w:t>ended</w:t>
              <w:br/>
              <w:t>May 31,</w:t>
              <w:br/>
              <w:t>2023</w:t>
              <w:br/>
              <w:t> </w:t>
            </w:r>
          </w:p>
        </w:tc>
        <w:tc>
          <w:tcPr>
            <w:tcW w:w="95" w:type="dxa"/>
            <w:tcBorders>
              <w:bottom w:val="single" w:sz="6" w:space="0" w:color="000000"/>
            </w:tcBorders>
            <w:vAlign w:val="center"/>
          </w:tcPr>
          <w:p>
            <w:pPr>
              <w:pStyle w:val="TableContents"/>
              <w:bidi w:val="0"/>
              <w:spacing w:before="0" w:after="283"/>
              <w:jc w:val="center"/>
              <w:rPr/>
            </w:pPr>
            <w:r>
              <w:rPr/>
              <w:t> </w:t>
            </w:r>
          </w:p>
        </w:tc>
        <w:tc>
          <w:tcPr>
            <w:tcW w:w="140" w:type="dxa"/>
            <w:tcBorders>
              <w:bottom w:val="single" w:sz="6" w:space="0" w:color="000000"/>
            </w:tcBorders>
            <w:vAlign w:val="center"/>
          </w:tcPr>
          <w:p>
            <w:pPr>
              <w:pStyle w:val="TableContents"/>
              <w:bidi w:val="0"/>
              <w:spacing w:before="0" w:after="283"/>
              <w:jc w:val="center"/>
              <w:rPr/>
            </w:pPr>
            <w:r>
              <w:rPr/>
              <w:t> </w:t>
            </w:r>
          </w:p>
        </w:tc>
        <w:tc>
          <w:tcPr>
            <w:tcW w:w="1324" w:type="dxa"/>
            <w:tcBorders>
              <w:bottom w:val="single" w:sz="6" w:space="0" w:color="000000"/>
            </w:tcBorders>
            <w:vAlign w:val="center"/>
          </w:tcPr>
          <w:p>
            <w:pPr>
              <w:pStyle w:val="TableContents"/>
              <w:bidi w:val="0"/>
              <w:spacing w:before="0" w:after="283"/>
              <w:jc w:val="center"/>
              <w:rPr/>
            </w:pPr>
            <w:r>
              <w:rPr/>
              <w:t>Three months</w:t>
              <w:br/>
              <w:t>ended</w:t>
              <w:br/>
              <w:t>May 31,</w:t>
              <w:br/>
              <w:t>2022</w:t>
              <w:br/>
              <w:t> </w:t>
            </w:r>
          </w:p>
        </w:tc>
        <w:tc>
          <w:tcPr>
            <w:tcW w:w="112" w:type="dxa"/>
            <w:tcBorders>
              <w:bottom w:val="single" w:sz="6" w:space="0" w:color="000000"/>
            </w:tcBorders>
            <w:vAlign w:val="center"/>
          </w:tcPr>
          <w:p>
            <w:pPr>
              <w:pStyle w:val="TableContents"/>
              <w:bidi w:val="0"/>
              <w:spacing w:before="0" w:after="283"/>
              <w:jc w:val="center"/>
              <w:rPr/>
            </w:pPr>
            <w:r>
              <w:rPr/>
              <w:t> </w:t>
            </w:r>
          </w:p>
        </w:tc>
      </w:tr>
      <w:tr>
        <w:trPr/>
        <w:tc>
          <w:tcPr>
            <w:tcW w:w="6350"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4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324"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4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324"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12"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6350" w:type="dxa"/>
            <w:tcBorders/>
            <w:shd w:fill="E6EFFF" w:val="clear"/>
            <w:tcMar>
              <w:bottom w:w="0" w:type="dxa"/>
            </w:tcMar>
            <w:vAlign w:val="center"/>
          </w:tcPr>
          <w:p>
            <w:pPr>
              <w:pStyle w:val="TableContents"/>
              <w:bidi w:val="0"/>
              <w:spacing w:before="0" w:after="283"/>
              <w:jc w:val="left"/>
              <w:rPr/>
            </w:pPr>
            <w:r>
              <w:rPr/>
              <w:t>Net loss for the period</w:t>
            </w:r>
          </w:p>
        </w:tc>
        <w:tc>
          <w:tcPr>
            <w:tcW w:w="140" w:type="dxa"/>
            <w:tcBorders/>
            <w:shd w:fill="E6EFFF" w:val="clear"/>
            <w:tcMar>
              <w:bottom w:w="0" w:type="dxa"/>
            </w:tcMar>
            <w:vAlign w:val="center"/>
          </w:tcPr>
          <w:p>
            <w:pPr>
              <w:pStyle w:val="TableContents"/>
              <w:bidi w:val="0"/>
              <w:spacing w:before="0" w:after="283"/>
              <w:jc w:val="left"/>
              <w:rPr/>
            </w:pPr>
            <w:r>
              <w:rPr/>
              <w:t>$</w:t>
            </w:r>
          </w:p>
        </w:tc>
        <w:tc>
          <w:tcPr>
            <w:tcW w:w="1324" w:type="dxa"/>
            <w:tcBorders/>
            <w:shd w:fill="E6EFFF" w:val="clear"/>
            <w:tcMar>
              <w:bottom w:w="0" w:type="dxa"/>
            </w:tcMar>
            <w:vAlign w:val="center"/>
          </w:tcPr>
          <w:p>
            <w:pPr>
              <w:pStyle w:val="TableContents"/>
              <w:bidi w:val="0"/>
              <w:spacing w:before="0" w:after="283"/>
              <w:jc w:val="right"/>
              <w:rPr/>
            </w:pPr>
            <w:r>
              <w:rPr/>
              <w:t>(5,643,667</w:t>
            </w:r>
          </w:p>
        </w:tc>
        <w:tc>
          <w:tcPr>
            <w:tcW w:w="95" w:type="dxa"/>
            <w:tcBorders/>
            <w:shd w:fill="E6EFFF" w:val="clear"/>
            <w:tcMar>
              <w:bottom w:w="0" w:type="dxa"/>
            </w:tcMar>
            <w:vAlign w:val="center"/>
          </w:tcPr>
          <w:p>
            <w:pPr>
              <w:pStyle w:val="TableContents"/>
              <w:bidi w:val="0"/>
              <w:spacing w:before="0" w:after="283"/>
              <w:jc w:val="left"/>
              <w:rPr/>
            </w:pPr>
            <w:r>
              <w:rPr/>
              <w:t>)</w:t>
            </w:r>
          </w:p>
        </w:tc>
        <w:tc>
          <w:tcPr>
            <w:tcW w:w="140" w:type="dxa"/>
            <w:tcBorders/>
            <w:shd w:fill="E6EFFF" w:val="clear"/>
            <w:tcMar>
              <w:bottom w:w="0" w:type="dxa"/>
            </w:tcMar>
            <w:vAlign w:val="center"/>
          </w:tcPr>
          <w:p>
            <w:pPr>
              <w:pStyle w:val="TableContents"/>
              <w:bidi w:val="0"/>
              <w:spacing w:before="0" w:after="283"/>
              <w:jc w:val="left"/>
              <w:rPr/>
            </w:pPr>
            <w:r>
              <w:rPr/>
              <w:t>$</w:t>
            </w:r>
          </w:p>
        </w:tc>
        <w:tc>
          <w:tcPr>
            <w:tcW w:w="1324" w:type="dxa"/>
            <w:tcBorders/>
            <w:shd w:fill="E6EFFF" w:val="clear"/>
            <w:tcMar>
              <w:bottom w:w="0" w:type="dxa"/>
            </w:tcMar>
            <w:vAlign w:val="center"/>
          </w:tcPr>
          <w:p>
            <w:pPr>
              <w:pStyle w:val="TableContents"/>
              <w:bidi w:val="0"/>
              <w:spacing w:before="0" w:after="283"/>
              <w:jc w:val="right"/>
              <w:rPr/>
            </w:pPr>
            <w:r>
              <w:rPr/>
              <w:t>(5,781,704</w:t>
            </w:r>
          </w:p>
        </w:tc>
        <w:tc>
          <w:tcPr>
            <w:tcW w:w="112" w:type="dxa"/>
            <w:tcBorders/>
            <w:shd w:fill="E6EFFF" w:val="clear"/>
            <w:tcMar>
              <w:bottom w:w="0" w:type="dxa"/>
            </w:tcMar>
            <w:vAlign w:val="center"/>
          </w:tcPr>
          <w:p>
            <w:pPr>
              <w:pStyle w:val="TableContents"/>
              <w:bidi w:val="0"/>
              <w:spacing w:before="0" w:after="283"/>
              <w:jc w:val="left"/>
              <w:rPr/>
            </w:pPr>
            <w:r>
              <w:rPr/>
              <w:t>)</w:t>
            </w:r>
          </w:p>
        </w:tc>
      </w:tr>
      <w:tr>
        <w:trPr/>
        <w:tc>
          <w:tcPr>
            <w:tcW w:w="6350"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40"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324"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40"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324"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12" w:type="dxa"/>
            <w:tcBorders>
              <w:top w:val="single" w:sz="6" w:space="0" w:color="000000"/>
            </w:tcBorders>
            <w:tcMar>
              <w:top w:w="28" w:type="dxa"/>
              <w:bottom w:w="0" w:type="dxa"/>
            </w:tcMar>
            <w:vAlign w:val="center"/>
          </w:tcPr>
          <w:p>
            <w:pPr>
              <w:pStyle w:val="TableContents"/>
              <w:bidi w:val="0"/>
              <w:spacing w:before="0" w:after="283"/>
              <w:ind w:left="0" w:right="0" w:hanging="142"/>
              <w:jc w:val="left"/>
              <w:rPr/>
            </w:pPr>
            <w:r>
              <w:rPr/>
              <w:t> </w:t>
            </w:r>
          </w:p>
        </w:tc>
      </w:tr>
      <w:tr>
        <w:trPr/>
        <w:tc>
          <w:tcPr>
            <w:tcW w:w="6350" w:type="dxa"/>
            <w:tcBorders>
              <w:bottom w:val="single" w:sz="6" w:space="0" w:color="000000"/>
            </w:tcBorders>
            <w:shd w:fill="E6EFFF" w:val="clear"/>
            <w:vAlign w:val="center"/>
          </w:tcPr>
          <w:p>
            <w:pPr>
              <w:pStyle w:val="TableContents"/>
              <w:bidi w:val="0"/>
              <w:spacing w:before="0" w:after="283"/>
              <w:jc w:val="left"/>
              <w:rPr/>
            </w:pPr>
            <w:r>
              <w:rPr/>
              <w:t>Weighted average number of shares outstanding - basic and diluted</w:t>
            </w:r>
          </w:p>
        </w:tc>
        <w:tc>
          <w:tcPr>
            <w:tcW w:w="140" w:type="dxa"/>
            <w:tcBorders>
              <w:bottom w:val="single" w:sz="6" w:space="0" w:color="000000"/>
            </w:tcBorders>
            <w:shd w:fill="E6EFFF" w:val="clear"/>
            <w:vAlign w:val="center"/>
          </w:tcPr>
          <w:p>
            <w:pPr>
              <w:pStyle w:val="TableContents"/>
              <w:bidi w:val="0"/>
              <w:spacing w:before="0" w:after="283"/>
              <w:jc w:val="left"/>
              <w:rPr/>
            </w:pPr>
            <w:r>
              <w:rPr/>
              <w:t> </w:t>
            </w:r>
          </w:p>
        </w:tc>
        <w:tc>
          <w:tcPr>
            <w:tcW w:w="1324" w:type="dxa"/>
            <w:tcBorders>
              <w:bottom w:val="single" w:sz="6" w:space="0" w:color="000000"/>
            </w:tcBorders>
            <w:shd w:fill="E6EFFF" w:val="clear"/>
            <w:vAlign w:val="center"/>
          </w:tcPr>
          <w:p>
            <w:pPr>
              <w:pStyle w:val="TableContents"/>
              <w:bidi w:val="0"/>
              <w:spacing w:before="0" w:after="283"/>
              <w:jc w:val="right"/>
              <w:rPr/>
            </w:pPr>
            <w:r>
              <w:rPr/>
              <w:t>321,562,487</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140" w:type="dxa"/>
            <w:tcBorders>
              <w:bottom w:val="single" w:sz="6" w:space="0" w:color="000000"/>
            </w:tcBorders>
            <w:shd w:fill="E6EFFF" w:val="clear"/>
            <w:vAlign w:val="center"/>
          </w:tcPr>
          <w:p>
            <w:pPr>
              <w:pStyle w:val="TableContents"/>
              <w:bidi w:val="0"/>
              <w:spacing w:before="0" w:after="283"/>
              <w:jc w:val="left"/>
              <w:rPr/>
            </w:pPr>
            <w:r>
              <w:rPr/>
              <w:t> </w:t>
            </w:r>
          </w:p>
        </w:tc>
        <w:tc>
          <w:tcPr>
            <w:tcW w:w="1324" w:type="dxa"/>
            <w:tcBorders>
              <w:bottom w:val="single" w:sz="6" w:space="0" w:color="000000"/>
            </w:tcBorders>
            <w:shd w:fill="E6EFFF" w:val="clear"/>
            <w:vAlign w:val="center"/>
          </w:tcPr>
          <w:p>
            <w:pPr>
              <w:pStyle w:val="TableContents"/>
              <w:bidi w:val="0"/>
              <w:spacing w:before="0" w:after="283"/>
              <w:jc w:val="right"/>
              <w:rPr/>
            </w:pPr>
            <w:r>
              <w:rPr/>
              <w:t>320,091,655</w:t>
            </w:r>
          </w:p>
        </w:tc>
        <w:tc>
          <w:tcPr>
            <w:tcW w:w="112"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6350"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40"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324"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40"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324" w:type="dxa"/>
            <w:tcBorders>
              <w:top w:val="single" w:sz="6" w:space="0" w:color="000000"/>
            </w:tcBorders>
            <w:tcMar>
              <w:top w:w="28" w:type="dxa"/>
              <w:bottom w:w="0" w:type="dxa"/>
            </w:tcMar>
            <w:vAlign w:val="center"/>
          </w:tcPr>
          <w:p>
            <w:pPr>
              <w:pStyle w:val="TableContents"/>
              <w:bidi w:val="0"/>
              <w:spacing w:before="0" w:after="283"/>
              <w:jc w:val="right"/>
              <w:rPr/>
            </w:pPr>
            <w:r>
              <w:rPr/>
              <w:t>-</w:t>
            </w:r>
          </w:p>
        </w:tc>
        <w:tc>
          <w:tcPr>
            <w:tcW w:w="112" w:type="dxa"/>
            <w:tcBorders>
              <w:top w:val="single" w:sz="6" w:space="0" w:color="000000"/>
            </w:tcBorders>
            <w:tcMar>
              <w:top w:w="28" w:type="dxa"/>
              <w:bottom w:w="0" w:type="dxa"/>
            </w:tcMar>
            <w:vAlign w:val="center"/>
          </w:tcPr>
          <w:p>
            <w:pPr>
              <w:pStyle w:val="TableContents"/>
              <w:bidi w:val="0"/>
              <w:spacing w:before="0" w:after="283"/>
              <w:jc w:val="left"/>
              <w:rPr/>
            </w:pPr>
            <w:r>
              <w:rPr/>
              <w:t> </w:t>
            </w:r>
          </w:p>
        </w:tc>
      </w:tr>
      <w:tr>
        <w:trPr/>
        <w:tc>
          <w:tcPr>
            <w:tcW w:w="6350" w:type="dxa"/>
            <w:tcBorders>
              <w:bottom w:val="single" w:sz="12" w:space="0" w:color="000000"/>
            </w:tcBorders>
            <w:shd w:fill="E6EFFF" w:val="clear"/>
            <w:vAlign w:val="center"/>
          </w:tcPr>
          <w:p>
            <w:pPr>
              <w:pStyle w:val="TableContents"/>
              <w:bidi w:val="0"/>
              <w:spacing w:before="0" w:after="283"/>
              <w:jc w:val="left"/>
              <w:rPr/>
            </w:pPr>
            <w:r>
              <w:rPr/>
              <w:t>Loss per share - basic and diluted</w:t>
            </w:r>
          </w:p>
        </w:tc>
        <w:tc>
          <w:tcPr>
            <w:tcW w:w="140" w:type="dxa"/>
            <w:tcBorders>
              <w:bottom w:val="single" w:sz="12" w:space="0" w:color="000000"/>
            </w:tcBorders>
            <w:shd w:fill="E6EFFF" w:val="clear"/>
            <w:vAlign w:val="center"/>
          </w:tcPr>
          <w:p>
            <w:pPr>
              <w:pStyle w:val="TableContents"/>
              <w:bidi w:val="0"/>
              <w:spacing w:before="0" w:after="283"/>
              <w:jc w:val="left"/>
              <w:rPr/>
            </w:pPr>
            <w:r>
              <w:rPr/>
              <w:t>$</w:t>
            </w:r>
          </w:p>
        </w:tc>
        <w:tc>
          <w:tcPr>
            <w:tcW w:w="1324" w:type="dxa"/>
            <w:tcBorders>
              <w:bottom w:val="single" w:sz="12" w:space="0" w:color="000000"/>
            </w:tcBorders>
            <w:shd w:fill="E6EFFF" w:val="clear"/>
            <w:vAlign w:val="center"/>
          </w:tcPr>
          <w:p>
            <w:pPr>
              <w:pStyle w:val="TableContents"/>
              <w:bidi w:val="0"/>
              <w:spacing w:before="0" w:after="283"/>
              <w:jc w:val="right"/>
              <w:rPr/>
            </w:pPr>
            <w:r>
              <w:rPr/>
              <w:t>(0.02</w:t>
            </w:r>
          </w:p>
        </w:tc>
        <w:tc>
          <w:tcPr>
            <w:tcW w:w="95" w:type="dxa"/>
            <w:tcBorders>
              <w:bottom w:val="single" w:sz="12" w:space="0" w:color="000000"/>
            </w:tcBorders>
            <w:shd w:fill="E6EFFF" w:val="clear"/>
            <w:vAlign w:val="center"/>
          </w:tcPr>
          <w:p>
            <w:pPr>
              <w:pStyle w:val="TableContents"/>
              <w:bidi w:val="0"/>
              <w:spacing w:before="0" w:after="283"/>
              <w:jc w:val="left"/>
              <w:rPr/>
            </w:pPr>
            <w:r>
              <w:rPr/>
              <w:t>)</w:t>
            </w:r>
          </w:p>
        </w:tc>
        <w:tc>
          <w:tcPr>
            <w:tcW w:w="140" w:type="dxa"/>
            <w:tcBorders>
              <w:bottom w:val="single" w:sz="12" w:space="0" w:color="000000"/>
            </w:tcBorders>
            <w:shd w:fill="E6EFFF" w:val="clear"/>
            <w:vAlign w:val="center"/>
          </w:tcPr>
          <w:p>
            <w:pPr>
              <w:pStyle w:val="TableContents"/>
              <w:bidi w:val="0"/>
              <w:spacing w:before="0" w:after="283"/>
              <w:jc w:val="left"/>
              <w:rPr/>
            </w:pPr>
            <w:r>
              <w:rPr/>
              <w:t>$</w:t>
            </w:r>
          </w:p>
        </w:tc>
        <w:tc>
          <w:tcPr>
            <w:tcW w:w="1324" w:type="dxa"/>
            <w:tcBorders>
              <w:bottom w:val="single" w:sz="12" w:space="0" w:color="000000"/>
            </w:tcBorders>
            <w:shd w:fill="E6EFFF" w:val="clear"/>
            <w:vAlign w:val="center"/>
          </w:tcPr>
          <w:p>
            <w:pPr>
              <w:pStyle w:val="TableContents"/>
              <w:bidi w:val="0"/>
              <w:spacing w:before="0" w:after="283"/>
              <w:jc w:val="right"/>
              <w:rPr/>
            </w:pPr>
            <w:r>
              <w:rPr/>
              <w:t>(0.02</w:t>
            </w:r>
          </w:p>
        </w:tc>
        <w:tc>
          <w:tcPr>
            <w:tcW w:w="112" w:type="dxa"/>
            <w:tcBorders>
              <w:bottom w:val="single" w:sz="12" w:space="0" w:color="000000"/>
            </w:tcBorders>
            <w:shd w:fill="E6EFFF" w:val="clear"/>
            <w:vAlign w:val="center"/>
          </w:tcPr>
          <w:p>
            <w:pPr>
              <w:pStyle w:val="TableContents"/>
              <w:bidi w:val="0"/>
              <w:spacing w:before="0" w:after="283"/>
              <w:jc w:val="left"/>
              <w:rPr/>
            </w:pPr>
            <w:r>
              <w:rPr/>
              <w:t>)</w:t>
            </w:r>
          </w:p>
        </w:tc>
      </w:tr>
    </w:tbl>
    <w:p>
      <w:pPr>
        <w:pStyle w:val="TextBody"/>
        <w:bidi w:val="0"/>
        <w:ind w:left="720" w:right="0" w:hanging="0"/>
        <w:jc w:val="both"/>
        <w:rPr/>
      </w:pPr>
      <w:r>
        <w:rPr/>
        <w:t>The diluted weighted average number of shares does not take into account the effects of stock options and warrants outstanding as they would be anti-dilutive for all periods above.</w:t>
      </w:r>
    </w:p>
    <w:p>
      <w:pPr>
        <w:pStyle w:val="TextBody"/>
        <w:bidi w:val="0"/>
        <w:ind w:left="720" w:right="0" w:hanging="0"/>
        <w:jc w:val="both"/>
        <w:rPr/>
      </w:pPr>
      <w:r>
        <w:rPr>
          <w:b/>
        </w:rPr>
        <w:t>(f)</w:t>
      </w:r>
      <w:r>
        <w:rPr/>
        <w:t> </w:t>
      </w:r>
      <w:r>
        <w:rPr>
          <w:b/>
        </w:rPr>
        <w:t>Restrictions on shares</w:t>
      </w:r>
    </w:p>
    <w:p>
      <w:pPr>
        <w:pStyle w:val="TextBody"/>
        <w:bidi w:val="0"/>
        <w:ind w:left="720" w:right="0" w:hanging="0"/>
        <w:jc w:val="both"/>
        <w:rPr/>
      </w:pPr>
      <w:r>
        <w:rPr/>
        <w:t>Following completion of the Qualifying Transaction, at February 28, 2022 140,426,893 common shares and 11,384,127 stock options were required to be held in escrow or subject to a contractual restriction on transfer. On November 4, 2022 all remaining common shares and options under restrictions were released from escrow. As a result, at February 28, 2023 and May 31, 2023 no common shares or options were subject to escrow or contractual restrictions on transfer.</w:t>
      </w:r>
    </w:p>
    <w:p>
      <w:pPr>
        <w:pStyle w:val="TextBody"/>
        <w:bidi w:val="0"/>
        <w:jc w:val="both"/>
        <w:rPr>
          <w:b/>
        </w:rPr>
      </w:pPr>
      <w:r>
        <w:rPr>
          <w:b/>
        </w:rPr>
        <w:t>8. Share Purchase Warrants</w:t>
      </w:r>
    </w:p>
    <w:p>
      <w:pPr>
        <w:pStyle w:val="TextBody"/>
        <w:bidi w:val="0"/>
        <w:ind w:left="360" w:right="0" w:hanging="0"/>
        <w:jc w:val="both"/>
        <w:rPr/>
      </w:pPr>
      <w:r>
        <w:rPr/>
        <w:t>The following table summarizes the continuity of share purchase warrants:</w:t>
      </w:r>
    </w:p>
    <w:tbl>
      <w:tblPr>
        <w:tblW w:w="7210" w:type="dxa"/>
        <w:jc w:val="left"/>
        <w:tblInd w:w="360" w:type="dxa"/>
        <w:tblLayout w:type="fixed"/>
        <w:tblCellMar>
          <w:top w:w="0" w:type="dxa"/>
          <w:left w:w="0" w:type="dxa"/>
          <w:bottom w:w="28" w:type="dxa"/>
          <w:right w:w="0" w:type="dxa"/>
        </w:tblCellMar>
      </w:tblPr>
      <w:tblGrid>
        <w:gridCol w:w="4895"/>
        <w:gridCol w:w="60"/>
        <w:gridCol w:w="1055"/>
        <w:gridCol w:w="95"/>
        <w:gridCol w:w="60"/>
        <w:gridCol w:w="935"/>
        <w:gridCol w:w="110"/>
      </w:tblGrid>
      <w:tr>
        <w:trPr/>
        <w:tc>
          <w:tcPr>
            <w:tcW w:w="4895" w:type="dxa"/>
            <w:tcBorders>
              <w:bottom w:val="single" w:sz="6" w:space="0" w:color="000000"/>
            </w:tcBorders>
            <w:vAlign w:val="center"/>
          </w:tcPr>
          <w:p>
            <w:pPr>
              <w:pStyle w:val="TableContents"/>
              <w:bidi w:val="0"/>
              <w:spacing w:before="0" w:after="283"/>
              <w:jc w:val="both"/>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055" w:type="dxa"/>
            <w:tcBorders>
              <w:bottom w:val="single" w:sz="6" w:space="0" w:color="000000"/>
            </w:tcBorders>
            <w:vAlign w:val="center"/>
          </w:tcPr>
          <w:p>
            <w:pPr>
              <w:pStyle w:val="TableContents"/>
              <w:bidi w:val="0"/>
              <w:spacing w:before="0" w:after="283"/>
              <w:jc w:val="center"/>
              <w:rPr/>
            </w:pPr>
            <w:r>
              <w:rPr/>
              <w:t>Number of</w:t>
              <w:br/>
              <w:t>warrants</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935" w:type="dxa"/>
            <w:tcBorders>
              <w:bottom w:val="single" w:sz="6" w:space="0" w:color="000000"/>
            </w:tcBorders>
            <w:vAlign w:val="center"/>
          </w:tcPr>
          <w:p>
            <w:pPr>
              <w:pStyle w:val="TableContents"/>
              <w:bidi w:val="0"/>
              <w:spacing w:before="0" w:after="283"/>
              <w:jc w:val="center"/>
              <w:rPr/>
            </w:pPr>
            <w:r>
              <w:rPr/>
              <w:t>Weighted</w:t>
              <w:br/>
              <w:t>average</w:t>
              <w:br/>
              <w:t>exercise</w:t>
              <w:br/>
              <w:t>price</w:t>
              <w:br/>
              <w:t>$</w:t>
            </w:r>
          </w:p>
        </w:tc>
        <w:tc>
          <w:tcPr>
            <w:tcW w:w="110" w:type="dxa"/>
            <w:tcBorders>
              <w:bottom w:val="single" w:sz="6" w:space="0" w:color="000000"/>
            </w:tcBorders>
            <w:vAlign w:val="center"/>
          </w:tcPr>
          <w:p>
            <w:pPr>
              <w:pStyle w:val="TableContents"/>
              <w:bidi w:val="0"/>
              <w:spacing w:before="0" w:after="283"/>
              <w:jc w:val="center"/>
              <w:rPr/>
            </w:pPr>
            <w:r>
              <w:rPr/>
              <w:t> </w:t>
            </w:r>
          </w:p>
        </w:tc>
      </w:tr>
      <w:tr>
        <w:trPr/>
        <w:tc>
          <w:tcPr>
            <w:tcW w:w="4895" w:type="dxa"/>
            <w:tcBorders>
              <w:top w:val="single" w:sz="6" w:space="0" w:color="000000"/>
            </w:tcBorders>
            <w:tcMar>
              <w:top w:w="28" w:type="dxa"/>
              <w:bottom w:w="0" w:type="dxa"/>
            </w:tcMar>
            <w:vAlign w:val="center"/>
          </w:tcPr>
          <w:p>
            <w:pPr>
              <w:pStyle w:val="TableContents"/>
              <w:bidi w:val="0"/>
              <w:spacing w:before="0" w:after="283"/>
              <w:jc w:val="both"/>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both"/>
              <w:rPr/>
            </w:pPr>
            <w:r>
              <w:rPr/>
              <w:t> </w:t>
            </w:r>
          </w:p>
        </w:tc>
        <w:tc>
          <w:tcPr>
            <w:tcW w:w="1055" w:type="dxa"/>
            <w:tcBorders>
              <w:top w:val="single" w:sz="6" w:space="0" w:color="000000"/>
            </w:tcBorders>
            <w:tcMar>
              <w:top w:w="28" w:type="dxa"/>
              <w:bottom w:w="0" w:type="dxa"/>
            </w:tcMar>
            <w:vAlign w:val="center"/>
          </w:tcPr>
          <w:p>
            <w:pPr>
              <w:pStyle w:val="TableContents"/>
              <w:bidi w:val="0"/>
              <w:spacing w:before="0" w:after="283"/>
              <w:jc w:val="both"/>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both"/>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both"/>
              <w:rPr/>
            </w:pPr>
            <w:r>
              <w:rPr/>
              <w:t> </w:t>
            </w:r>
          </w:p>
        </w:tc>
        <w:tc>
          <w:tcPr>
            <w:tcW w:w="935" w:type="dxa"/>
            <w:tcBorders>
              <w:top w:val="single" w:sz="6" w:space="0" w:color="000000"/>
            </w:tcBorders>
            <w:tcMar>
              <w:top w:w="28" w:type="dxa"/>
              <w:bottom w:w="0" w:type="dxa"/>
            </w:tcMar>
            <w:vAlign w:val="center"/>
          </w:tcPr>
          <w:p>
            <w:pPr>
              <w:pStyle w:val="TableContents"/>
              <w:bidi w:val="0"/>
              <w:spacing w:before="0" w:after="283"/>
              <w:jc w:val="both"/>
              <w:rPr/>
            </w:pPr>
            <w:r>
              <w:rPr/>
              <w:t> </w:t>
            </w:r>
          </w:p>
        </w:tc>
        <w:tc>
          <w:tcPr>
            <w:tcW w:w="110" w:type="dxa"/>
            <w:tcBorders>
              <w:top w:val="single" w:sz="6" w:space="0" w:color="000000"/>
            </w:tcBorders>
            <w:tcMar>
              <w:top w:w="28" w:type="dxa"/>
              <w:bottom w:w="0" w:type="dxa"/>
            </w:tcMar>
            <w:vAlign w:val="center"/>
          </w:tcPr>
          <w:p>
            <w:pPr>
              <w:pStyle w:val="TableContents"/>
              <w:bidi w:val="0"/>
              <w:spacing w:before="0" w:after="283"/>
              <w:jc w:val="both"/>
              <w:rPr/>
            </w:pPr>
            <w:r>
              <w:rPr/>
              <w:t> </w:t>
            </w:r>
          </w:p>
        </w:tc>
      </w:tr>
      <w:tr>
        <w:trPr/>
        <w:tc>
          <w:tcPr>
            <w:tcW w:w="4895" w:type="dxa"/>
            <w:tcBorders/>
            <w:shd w:fill="E6EFFF" w:val="clear"/>
            <w:tcMar>
              <w:bottom w:w="0" w:type="dxa"/>
            </w:tcMar>
            <w:vAlign w:val="center"/>
          </w:tcPr>
          <w:p>
            <w:pPr>
              <w:pStyle w:val="TableContents"/>
              <w:bidi w:val="0"/>
              <w:spacing w:before="0" w:after="283"/>
              <w:jc w:val="both"/>
              <w:rPr/>
            </w:pPr>
            <w:r>
              <w:rPr/>
              <w:t>Balance, February 28, 2022 and February 28, 2023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055" w:type="dxa"/>
            <w:tcBorders/>
            <w:shd w:fill="E6EFFF" w:val="clear"/>
            <w:tcMar>
              <w:bottom w:w="0" w:type="dxa"/>
            </w:tcMar>
            <w:vAlign w:val="center"/>
          </w:tcPr>
          <w:p>
            <w:pPr>
              <w:pStyle w:val="TableContents"/>
              <w:bidi w:val="0"/>
              <w:spacing w:before="0" w:after="283"/>
              <w:jc w:val="right"/>
              <w:rPr/>
            </w:pPr>
            <w:r>
              <w:rPr/>
              <w:t>3,947,547</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935" w:type="dxa"/>
            <w:tcBorders/>
            <w:shd w:fill="E6EFFF" w:val="clear"/>
            <w:tcMar>
              <w:bottom w:w="0" w:type="dxa"/>
            </w:tcMar>
            <w:vAlign w:val="center"/>
          </w:tcPr>
          <w:p>
            <w:pPr>
              <w:pStyle w:val="TableContents"/>
              <w:bidi w:val="0"/>
              <w:spacing w:before="0" w:after="283"/>
              <w:jc w:val="right"/>
              <w:rPr/>
            </w:pPr>
            <w:r>
              <w:rPr/>
              <w:t>0.96</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895" w:type="dxa"/>
            <w:tcBorders>
              <w:bottom w:val="single" w:sz="6" w:space="0" w:color="000000"/>
            </w:tcBorders>
            <w:vAlign w:val="center"/>
          </w:tcPr>
          <w:p>
            <w:pPr>
              <w:pStyle w:val="TableContents"/>
              <w:bidi w:val="0"/>
              <w:spacing w:before="0" w:after="283"/>
              <w:jc w:val="both"/>
              <w:rPr/>
            </w:pPr>
            <w:r>
              <w:rPr/>
              <w:t>Expired</w:t>
            </w:r>
          </w:p>
        </w:tc>
        <w:tc>
          <w:tcPr>
            <w:tcW w:w="60" w:type="dxa"/>
            <w:tcBorders>
              <w:bottom w:val="single" w:sz="6" w:space="0" w:color="000000"/>
            </w:tcBorders>
            <w:vAlign w:val="center"/>
          </w:tcPr>
          <w:p>
            <w:pPr>
              <w:pStyle w:val="TableContents"/>
              <w:bidi w:val="0"/>
              <w:spacing w:before="0" w:after="283"/>
              <w:jc w:val="left"/>
              <w:rPr/>
            </w:pPr>
            <w:r>
              <w:rPr/>
              <w:t> </w:t>
            </w:r>
          </w:p>
        </w:tc>
        <w:tc>
          <w:tcPr>
            <w:tcW w:w="1055" w:type="dxa"/>
            <w:tcBorders>
              <w:bottom w:val="single" w:sz="6" w:space="0" w:color="000000"/>
            </w:tcBorders>
            <w:vAlign w:val="center"/>
          </w:tcPr>
          <w:p>
            <w:pPr>
              <w:pStyle w:val="TableContents"/>
              <w:bidi w:val="0"/>
              <w:spacing w:before="0" w:after="283"/>
              <w:jc w:val="right"/>
              <w:rPr/>
            </w:pPr>
            <w:r>
              <w:rPr/>
              <w:t>(3,947,547</w:t>
            </w:r>
          </w:p>
        </w:tc>
        <w:tc>
          <w:tcPr>
            <w:tcW w:w="95" w:type="dxa"/>
            <w:tcBorders>
              <w:bottom w:val="single" w:sz="6" w:space="0" w:color="000000"/>
            </w:tcBorders>
            <w:vAlign w:val="center"/>
          </w:tcPr>
          <w:p>
            <w:pPr>
              <w:pStyle w:val="TableContents"/>
              <w:bidi w:val="0"/>
              <w:spacing w:before="0" w:after="283"/>
              <w:jc w:val="lef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935" w:type="dxa"/>
            <w:tcBorders>
              <w:bottom w:val="single" w:sz="6" w:space="0" w:color="000000"/>
            </w:tcBorders>
            <w:vAlign w:val="center"/>
          </w:tcPr>
          <w:p>
            <w:pPr>
              <w:pStyle w:val="TableContents"/>
              <w:bidi w:val="0"/>
              <w:spacing w:before="0" w:after="283"/>
              <w:jc w:val="right"/>
              <w:rPr/>
            </w:pPr>
            <w:r>
              <w:rPr/>
              <w:t>(0.96</w:t>
            </w:r>
          </w:p>
        </w:tc>
        <w:tc>
          <w:tcPr>
            <w:tcW w:w="110" w:type="dxa"/>
            <w:tcBorders>
              <w:bottom w:val="single" w:sz="6" w:space="0" w:color="000000"/>
            </w:tcBorders>
            <w:vAlign w:val="center"/>
          </w:tcPr>
          <w:p>
            <w:pPr>
              <w:pStyle w:val="TableContents"/>
              <w:bidi w:val="0"/>
              <w:spacing w:before="0" w:after="283"/>
              <w:jc w:val="left"/>
              <w:rPr/>
            </w:pPr>
            <w:r>
              <w:rPr/>
              <w:t>)</w:t>
            </w:r>
          </w:p>
        </w:tc>
      </w:tr>
      <w:tr>
        <w:trPr/>
        <w:tc>
          <w:tcPr>
            <w:tcW w:w="4895" w:type="dxa"/>
            <w:tcBorders>
              <w:bottom w:val="single" w:sz="12" w:space="0" w:color="000000"/>
            </w:tcBorders>
            <w:shd w:fill="E6EFFF" w:val="clear"/>
            <w:vAlign w:val="center"/>
          </w:tcPr>
          <w:p>
            <w:pPr>
              <w:pStyle w:val="TableContents"/>
              <w:bidi w:val="0"/>
              <w:spacing w:before="0" w:after="283"/>
              <w:jc w:val="both"/>
              <w:rPr/>
            </w:pPr>
            <w:r>
              <w:rPr/>
              <w:t>Balance, May 31, 2023</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055" w:type="dxa"/>
            <w:tcBorders>
              <w:bottom w:val="single" w:sz="12" w:space="0" w:color="000000"/>
            </w:tcBorders>
            <w:shd w:fill="E6EFFF" w:val="clear"/>
            <w:vAlign w:val="center"/>
          </w:tcPr>
          <w:p>
            <w:pPr>
              <w:pStyle w:val="TableContents"/>
              <w:bidi w:val="0"/>
              <w:spacing w:before="0" w:after="283"/>
              <w:jc w:val="right"/>
              <w:rPr/>
            </w:pPr>
            <w:r>
              <w:rPr/>
              <w:t>-</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35" w:type="dxa"/>
            <w:tcBorders>
              <w:bottom w:val="single" w:sz="12" w:space="0" w:color="000000"/>
            </w:tcBorders>
            <w:shd w:fill="E6EFFF" w:val="clear"/>
            <w:vAlign w:val="center"/>
          </w:tcPr>
          <w:p>
            <w:pPr>
              <w:pStyle w:val="TableContents"/>
              <w:bidi w:val="0"/>
              <w:spacing w:before="0" w:after="283"/>
              <w:jc w:val="right"/>
              <w:rPr/>
            </w:pPr>
            <w:r>
              <w:rPr/>
              <w:t>-</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ind w:left="357" w:right="0" w:hanging="0"/>
        <w:jc w:val="both"/>
        <w:rPr/>
      </w:pPr>
      <w:r>
        <w:rPr/>
        <w:t>All outstanding warrants expired without exercise on April 29,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3" w:name="footer_page_12"/>
      <w:bookmarkEnd w:id="53"/>
      <w:r>
        <w:rPr/>
        <w:t>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54" w:name="header_page_13"/>
      <w:bookmarkStart w:id="55" w:name="header_page_13"/>
      <w:bookmarkEnd w:id="55"/>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9.</w:t>
      </w:r>
      <w:r>
        <w:rPr/>
        <w:t> </w:t>
      </w:r>
      <w:r>
        <w:rPr>
          <w:b/>
        </w:rPr>
        <w:t>Stock Options</w:t>
      </w:r>
    </w:p>
    <w:p>
      <w:pPr>
        <w:pStyle w:val="TextBody"/>
        <w:bidi w:val="0"/>
        <w:ind w:left="360" w:right="0" w:hanging="0"/>
        <w:jc w:val="both"/>
        <w:rPr/>
      </w:pPr>
      <w:r>
        <w:rPr/>
        <w:t>The following table summarizes the continuity of the Company's stock options:</w:t>
      </w:r>
    </w:p>
    <w:tbl>
      <w:tblPr>
        <w:tblW w:w="5390" w:type="dxa"/>
        <w:jc w:val="left"/>
        <w:tblInd w:w="360" w:type="dxa"/>
        <w:tblLayout w:type="fixed"/>
        <w:tblCellMar>
          <w:top w:w="0" w:type="dxa"/>
          <w:left w:w="0" w:type="dxa"/>
          <w:bottom w:w="28" w:type="dxa"/>
          <w:right w:w="0" w:type="dxa"/>
        </w:tblCellMar>
      </w:tblPr>
      <w:tblGrid>
        <w:gridCol w:w="3065"/>
        <w:gridCol w:w="60"/>
        <w:gridCol w:w="1100"/>
        <w:gridCol w:w="95"/>
        <w:gridCol w:w="60"/>
        <w:gridCol w:w="935"/>
        <w:gridCol w:w="75"/>
      </w:tblGrid>
      <w:tr>
        <w:trPr/>
        <w:tc>
          <w:tcPr>
            <w:tcW w:w="3065" w:type="dxa"/>
            <w:tcBorders>
              <w:bottom w:val="single" w:sz="6" w:space="0" w:color="000000"/>
            </w:tcBorders>
            <w:vAlign w:val="center"/>
          </w:tcPr>
          <w:p>
            <w:pPr>
              <w:pStyle w:val="TableContents"/>
              <w:bidi w:val="0"/>
              <w:spacing w:before="0" w:after="0"/>
              <w:jc w:val="left"/>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100" w:type="dxa"/>
            <w:tcBorders>
              <w:bottom w:val="single" w:sz="6" w:space="0" w:color="000000"/>
            </w:tcBorders>
            <w:vAlign w:val="center"/>
          </w:tcPr>
          <w:p>
            <w:pPr>
              <w:pStyle w:val="TableContents"/>
              <w:bidi w:val="0"/>
              <w:spacing w:before="0" w:after="283"/>
              <w:jc w:val="center"/>
              <w:rPr/>
            </w:pPr>
            <w:r>
              <w:rPr/>
              <w:t>Number</w:t>
              <w:br/>
              <w:t>of options</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935" w:type="dxa"/>
            <w:tcBorders>
              <w:bottom w:val="single" w:sz="6" w:space="0" w:color="000000"/>
            </w:tcBorders>
            <w:vAlign w:val="center"/>
          </w:tcPr>
          <w:p>
            <w:pPr>
              <w:pStyle w:val="TableContents"/>
              <w:bidi w:val="0"/>
              <w:spacing w:before="0" w:after="283"/>
              <w:jc w:val="center"/>
              <w:rPr/>
            </w:pPr>
            <w:r>
              <w:rPr/>
              <w:t>Weighted</w:t>
              <w:br/>
              <w:t>average</w:t>
              <w:br/>
              <w:t>exercise</w:t>
              <w:br/>
              <w:t>price</w:t>
              <w:br/>
              <w: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306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right"/>
              <w:rPr/>
            </w:pPr>
            <w:r>
              <w:rPr/>
              <w:t> </w:t>
            </w:r>
          </w:p>
        </w:tc>
        <w:tc>
          <w:tcPr>
            <w:tcW w:w="1100"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935"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right"/>
              <w:rPr/>
            </w:pPr>
            <w:r>
              <w:rPr/>
              <w:t> </w:t>
            </w:r>
          </w:p>
        </w:tc>
      </w:tr>
      <w:tr>
        <w:trPr/>
        <w:tc>
          <w:tcPr>
            <w:tcW w:w="3065" w:type="dxa"/>
            <w:tcBorders>
              <w:bottom w:val="single" w:sz="12" w:space="0" w:color="000000"/>
            </w:tcBorders>
            <w:shd w:fill="E6EFFF" w:val="clear"/>
            <w:vAlign w:val="center"/>
          </w:tcPr>
          <w:p>
            <w:pPr>
              <w:pStyle w:val="TableContents"/>
              <w:bidi w:val="0"/>
              <w:spacing w:before="0" w:after="0"/>
              <w:jc w:val="left"/>
              <w:rPr/>
            </w:pPr>
            <w:r>
              <w:rPr/>
              <w:t>Outstanding, February 28, 2022</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00" w:type="dxa"/>
            <w:tcBorders>
              <w:bottom w:val="single" w:sz="12" w:space="0" w:color="000000"/>
            </w:tcBorders>
            <w:shd w:fill="E6EFFF" w:val="clear"/>
            <w:vAlign w:val="center"/>
          </w:tcPr>
          <w:p>
            <w:pPr>
              <w:pStyle w:val="TableContents"/>
              <w:bidi w:val="0"/>
              <w:spacing w:before="0" w:after="283"/>
              <w:jc w:val="right"/>
              <w:rPr/>
            </w:pPr>
            <w:r>
              <w:rPr/>
              <w:t>19,951,833</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35" w:type="dxa"/>
            <w:tcBorders>
              <w:bottom w:val="single" w:sz="12" w:space="0" w:color="000000"/>
            </w:tcBorders>
            <w:shd w:fill="E6EFFF" w:val="clear"/>
            <w:vAlign w:val="center"/>
          </w:tcPr>
          <w:p>
            <w:pPr>
              <w:pStyle w:val="TableContents"/>
              <w:bidi w:val="0"/>
              <w:spacing w:before="0" w:after="283"/>
              <w:jc w:val="center"/>
              <w:rPr/>
            </w:pPr>
            <w:r>
              <w:rPr/>
              <w:t>0.08</w:t>
            </w:r>
          </w:p>
        </w:tc>
        <w:tc>
          <w:tcPr>
            <w:tcW w:w="75" w:type="dxa"/>
            <w:tcBorders>
              <w:bottom w:val="single" w:sz="12" w:space="0" w:color="000000"/>
            </w:tcBorders>
            <w:shd w:fill="E6EFFF" w:val="clear"/>
            <w:vAlign w:val="center"/>
          </w:tcPr>
          <w:p>
            <w:pPr>
              <w:pStyle w:val="TableContents"/>
              <w:bidi w:val="0"/>
              <w:spacing w:before="0" w:after="283"/>
              <w:jc w:val="left"/>
              <w:rPr/>
            </w:pPr>
            <w:r>
              <w:rPr/>
              <w:t> </w:t>
            </w:r>
          </w:p>
        </w:tc>
      </w:tr>
      <w:tr>
        <w:trPr/>
        <w:tc>
          <w:tcPr>
            <w:tcW w:w="30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065" w:type="dxa"/>
            <w:tcBorders/>
            <w:shd w:fill="E6EFFF" w:val="clear"/>
            <w:tcMar>
              <w:bottom w:w="0" w:type="dxa"/>
            </w:tcMar>
            <w:vAlign w:val="center"/>
          </w:tcPr>
          <w:p>
            <w:pPr>
              <w:pStyle w:val="TableContents"/>
              <w:bidi w:val="0"/>
              <w:spacing w:before="0" w:after="283"/>
              <w:jc w:val="left"/>
              <w:rPr/>
            </w:pPr>
            <w:r>
              <w:rPr/>
              <w:t>Granted</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00" w:type="dxa"/>
            <w:tcBorders/>
            <w:shd w:fill="E6EFFF" w:val="clear"/>
            <w:tcMar>
              <w:bottom w:w="0" w:type="dxa"/>
            </w:tcMar>
            <w:vAlign w:val="center"/>
          </w:tcPr>
          <w:p>
            <w:pPr>
              <w:pStyle w:val="TableContents"/>
              <w:bidi w:val="0"/>
              <w:spacing w:before="0" w:after="283"/>
              <w:jc w:val="right"/>
              <w:rPr/>
            </w:pPr>
            <w:r>
              <w:rPr/>
              <w:t>7,300,000</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935" w:type="dxa"/>
            <w:tcBorders/>
            <w:shd w:fill="E6EFFF" w:val="clear"/>
            <w:tcMar>
              <w:bottom w:w="0" w:type="dxa"/>
            </w:tcMar>
            <w:vAlign w:val="center"/>
          </w:tcPr>
          <w:p>
            <w:pPr>
              <w:pStyle w:val="TableContents"/>
              <w:bidi w:val="0"/>
              <w:spacing w:before="0" w:after="283"/>
              <w:jc w:val="center"/>
              <w:rPr/>
            </w:pPr>
            <w:r>
              <w:rPr/>
              <w:t>0.17</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3065" w:type="dxa"/>
            <w:tcBorders/>
            <w:tcMar>
              <w:bottom w:w="0" w:type="dxa"/>
            </w:tcMar>
            <w:vAlign w:val="center"/>
          </w:tcPr>
          <w:p>
            <w:pPr>
              <w:pStyle w:val="TableContents"/>
              <w:bidi w:val="0"/>
              <w:spacing w:before="0" w:after="283"/>
              <w:jc w:val="left"/>
              <w:rPr/>
            </w:pPr>
            <w:r>
              <w:rPr/>
              <w:t>Exercised</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(3,725,000</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center"/>
              <w:rPr/>
            </w:pPr>
            <w:r>
              <w:rPr/>
              <w:t>0.02</w:t>
            </w:r>
          </w:p>
        </w:tc>
        <w:tc>
          <w:tcPr>
            <w:tcW w:w="75" w:type="dxa"/>
            <w:tcBorders/>
            <w:tcMar>
              <w:bottom w:w="0" w:type="dxa"/>
            </w:tcMar>
            <w:vAlign w:val="center"/>
          </w:tcPr>
          <w:p>
            <w:pPr>
              <w:pStyle w:val="TableContents"/>
              <w:bidi w:val="0"/>
              <w:spacing w:before="0" w:after="283"/>
              <w:jc w:val="left"/>
              <w:rPr/>
            </w:pPr>
            <w:r>
              <w:rPr/>
              <w:t> </w:t>
            </w:r>
          </w:p>
        </w:tc>
      </w:tr>
      <w:tr>
        <w:trPr/>
        <w:tc>
          <w:tcPr>
            <w:tcW w:w="3065" w:type="dxa"/>
            <w:tcBorders>
              <w:bottom w:val="single" w:sz="6" w:space="0" w:color="000000"/>
            </w:tcBorders>
            <w:shd w:fill="E6EFFF" w:val="clear"/>
            <w:vAlign w:val="center"/>
          </w:tcPr>
          <w:p>
            <w:pPr>
              <w:pStyle w:val="TableContents"/>
              <w:bidi w:val="0"/>
              <w:spacing w:before="0" w:after="283"/>
              <w:jc w:val="left"/>
              <w:rPr/>
            </w:pPr>
            <w:r>
              <w:rPr/>
              <w:t>Expired</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100" w:type="dxa"/>
            <w:tcBorders>
              <w:bottom w:val="single" w:sz="6" w:space="0" w:color="000000"/>
            </w:tcBorders>
            <w:shd w:fill="E6EFFF" w:val="clear"/>
            <w:vAlign w:val="center"/>
          </w:tcPr>
          <w:p>
            <w:pPr>
              <w:pStyle w:val="TableContents"/>
              <w:bidi w:val="0"/>
              <w:spacing w:before="0" w:after="283"/>
              <w:jc w:val="right"/>
              <w:rPr/>
            </w:pPr>
            <w:r>
              <w:rPr/>
              <w:t>(130,433</w:t>
            </w:r>
          </w:p>
        </w:tc>
        <w:tc>
          <w:tcPr>
            <w:tcW w:w="95" w:type="dxa"/>
            <w:tcBorders>
              <w:bottom w:val="single" w:sz="6" w:space="0" w:color="000000"/>
            </w:tcBorders>
            <w:shd w:fill="E6EFFF" w:val="clear"/>
            <w:vAlign w:val="center"/>
          </w:tcPr>
          <w:p>
            <w:pPr>
              <w:pStyle w:val="TableContents"/>
              <w:bidi w:val="0"/>
              <w:spacing w:before="0" w:after="283"/>
              <w:jc w:val="left"/>
              <w:rPr/>
            </w:pPr>
            <w:r>
              <w:rPr/>
              <w: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935" w:type="dxa"/>
            <w:tcBorders>
              <w:bottom w:val="single" w:sz="6" w:space="0" w:color="000000"/>
            </w:tcBorders>
            <w:shd w:fill="E6EFFF" w:val="clear"/>
            <w:vAlign w:val="center"/>
          </w:tcPr>
          <w:p>
            <w:pPr>
              <w:pStyle w:val="TableContents"/>
              <w:bidi w:val="0"/>
              <w:spacing w:before="0" w:after="283"/>
              <w:jc w:val="center"/>
              <w:rPr/>
            </w:pPr>
            <w:r>
              <w:rPr/>
              <w:t>0.46</w:t>
            </w:r>
          </w:p>
        </w:tc>
        <w:tc>
          <w:tcPr>
            <w:tcW w:w="75"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3065" w:type="dxa"/>
            <w:tcBorders>
              <w:bottom w:val="single" w:sz="12" w:space="0" w:color="000000"/>
            </w:tcBorders>
            <w:vAlign w:val="center"/>
          </w:tcPr>
          <w:p>
            <w:pPr>
              <w:pStyle w:val="TableContents"/>
              <w:bidi w:val="0"/>
              <w:spacing w:before="0" w:after="0"/>
              <w:jc w:val="left"/>
              <w:rPr/>
            </w:pPr>
            <w:r>
              <w:rPr/>
              <w:t>Outstanding, February 28, 2023</w:t>
            </w:r>
          </w:p>
        </w:tc>
        <w:tc>
          <w:tcPr>
            <w:tcW w:w="60" w:type="dxa"/>
            <w:tcBorders>
              <w:bottom w:val="single" w:sz="12" w:space="0" w:color="000000"/>
            </w:tcBorders>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right"/>
              <w:rPr/>
            </w:pPr>
            <w:r>
              <w:rPr/>
              <w:t>23,396,400</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center"/>
              <w:rPr/>
            </w:pPr>
            <w:r>
              <w:rPr/>
              <w:t>0.12</w:t>
            </w:r>
          </w:p>
        </w:tc>
        <w:tc>
          <w:tcPr>
            <w:tcW w:w="75" w:type="dxa"/>
            <w:tcBorders>
              <w:bottom w:val="single" w:sz="12" w:space="0" w:color="000000"/>
            </w:tcBorders>
            <w:vAlign w:val="center"/>
          </w:tcPr>
          <w:p>
            <w:pPr>
              <w:pStyle w:val="TableContents"/>
              <w:bidi w:val="0"/>
              <w:spacing w:before="0" w:after="283"/>
              <w:jc w:val="left"/>
              <w:rPr/>
            </w:pPr>
            <w:r>
              <w:rPr/>
              <w:t> </w:t>
            </w:r>
          </w:p>
        </w:tc>
      </w:tr>
      <w:tr>
        <w:trPr/>
        <w:tc>
          <w:tcPr>
            <w:tcW w:w="306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00"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935" w:type="dxa"/>
            <w:tcBorders/>
            <w:shd w:fill="E6EFFF" w:val="clear"/>
            <w:tcMar>
              <w:bottom w:w="0" w:type="dxa"/>
            </w:tcMar>
            <w:vAlign w:val="center"/>
          </w:tcPr>
          <w:p>
            <w:pPr>
              <w:pStyle w:val="TableContents"/>
              <w:bidi w:val="0"/>
              <w:spacing w:before="0" w:after="283"/>
              <w:jc w:val="center"/>
              <w:rPr/>
            </w:pPr>
            <w:r>
              <w:rPr/>
              <w:t> </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3065" w:type="dxa"/>
            <w:tcBorders/>
            <w:tcMar>
              <w:bottom w:w="0" w:type="dxa"/>
            </w:tcMar>
            <w:vAlign w:val="center"/>
          </w:tcPr>
          <w:p>
            <w:pPr>
              <w:pStyle w:val="TableContents"/>
              <w:bidi w:val="0"/>
              <w:spacing w:before="0" w:after="283"/>
              <w:jc w:val="left"/>
              <w:rPr/>
            </w:pPr>
            <w:r>
              <w:rPr/>
              <w:t>Granted</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3,725,000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center"/>
              <w:rPr/>
            </w:pPr>
            <w:r>
              <w:rPr/>
              <w:t>0.09</w:t>
            </w:r>
          </w:p>
        </w:tc>
        <w:tc>
          <w:tcPr>
            <w:tcW w:w="75" w:type="dxa"/>
            <w:tcBorders/>
            <w:tcMar>
              <w:bottom w:w="0" w:type="dxa"/>
            </w:tcMar>
            <w:vAlign w:val="center"/>
          </w:tcPr>
          <w:p>
            <w:pPr>
              <w:pStyle w:val="TableContents"/>
              <w:bidi w:val="0"/>
              <w:spacing w:before="0" w:after="283"/>
              <w:jc w:val="left"/>
              <w:rPr/>
            </w:pPr>
            <w:r>
              <w:rPr/>
              <w:t> </w:t>
            </w:r>
          </w:p>
        </w:tc>
      </w:tr>
      <w:tr>
        <w:trPr/>
        <w:tc>
          <w:tcPr>
            <w:tcW w:w="3065" w:type="dxa"/>
            <w:tcBorders>
              <w:bottom w:val="single" w:sz="6" w:space="0" w:color="000000"/>
            </w:tcBorders>
            <w:shd w:fill="E6EFFF" w:val="clear"/>
            <w:vAlign w:val="center"/>
          </w:tcPr>
          <w:p>
            <w:pPr>
              <w:pStyle w:val="TableContents"/>
              <w:bidi w:val="0"/>
              <w:spacing w:before="0" w:after="283"/>
              <w:jc w:val="left"/>
              <w:rPr/>
            </w:pPr>
            <w:r>
              <w:rPr/>
              <w:t>Lapsed</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100" w:type="dxa"/>
            <w:tcBorders>
              <w:bottom w:val="single" w:sz="6" w:space="0" w:color="000000"/>
            </w:tcBorders>
            <w:shd w:fill="E6EFFF" w:val="clear"/>
            <w:vAlign w:val="center"/>
          </w:tcPr>
          <w:p>
            <w:pPr>
              <w:pStyle w:val="TableContents"/>
              <w:bidi w:val="0"/>
              <w:spacing w:before="0" w:after="283"/>
              <w:jc w:val="right"/>
              <w:rPr/>
            </w:pPr>
            <w:r>
              <w:rPr/>
              <w:t>(525,000</w:t>
            </w:r>
          </w:p>
        </w:tc>
        <w:tc>
          <w:tcPr>
            <w:tcW w:w="95" w:type="dxa"/>
            <w:tcBorders>
              <w:bottom w:val="single" w:sz="6" w:space="0" w:color="000000"/>
            </w:tcBorders>
            <w:shd w:fill="E6EFFF" w:val="clear"/>
            <w:vAlign w:val="center"/>
          </w:tcPr>
          <w:p>
            <w:pPr>
              <w:pStyle w:val="TableContents"/>
              <w:bidi w:val="0"/>
              <w:spacing w:before="0" w:after="283"/>
              <w:jc w:val="left"/>
              <w:rPr/>
            </w:pPr>
            <w:r>
              <w:rPr/>
              <w: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935" w:type="dxa"/>
            <w:tcBorders>
              <w:bottom w:val="single" w:sz="6" w:space="0" w:color="000000"/>
            </w:tcBorders>
            <w:shd w:fill="E6EFFF" w:val="clear"/>
            <w:vAlign w:val="center"/>
          </w:tcPr>
          <w:p>
            <w:pPr>
              <w:pStyle w:val="TableContents"/>
              <w:bidi w:val="0"/>
              <w:spacing w:before="0" w:after="283"/>
              <w:jc w:val="center"/>
              <w:rPr/>
            </w:pPr>
            <w:r>
              <w:rPr/>
              <w:t>0.17</w:t>
            </w:r>
          </w:p>
        </w:tc>
        <w:tc>
          <w:tcPr>
            <w:tcW w:w="75"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3065" w:type="dxa"/>
            <w:tcBorders>
              <w:bottom w:val="single" w:sz="12" w:space="0" w:color="000000"/>
            </w:tcBorders>
            <w:vAlign w:val="center"/>
          </w:tcPr>
          <w:p>
            <w:pPr>
              <w:pStyle w:val="TableContents"/>
              <w:bidi w:val="0"/>
              <w:spacing w:before="0" w:after="0"/>
              <w:jc w:val="left"/>
              <w:rPr/>
            </w:pPr>
            <w:r>
              <w:rPr/>
              <w:t>Outstanding, May 31, 2023</w:t>
            </w:r>
          </w:p>
        </w:tc>
        <w:tc>
          <w:tcPr>
            <w:tcW w:w="60" w:type="dxa"/>
            <w:tcBorders>
              <w:bottom w:val="single" w:sz="12" w:space="0" w:color="000000"/>
            </w:tcBorders>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right"/>
              <w:rPr/>
            </w:pPr>
            <w:r>
              <w:rPr/>
              <w:t>26,596,400</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center"/>
              <w:rPr/>
            </w:pPr>
            <w:r>
              <w:rPr/>
              <w:t>0.11</w:t>
            </w:r>
          </w:p>
        </w:tc>
        <w:tc>
          <w:tcPr>
            <w:tcW w:w="75" w:type="dxa"/>
            <w:tcBorders>
              <w:bottom w:val="single" w:sz="12" w:space="0" w:color="000000"/>
            </w:tcBorders>
            <w:vAlign w:val="center"/>
          </w:tcPr>
          <w:p>
            <w:pPr>
              <w:pStyle w:val="TableContents"/>
              <w:bidi w:val="0"/>
              <w:spacing w:before="0" w:after="283"/>
              <w:jc w:val="left"/>
              <w:rPr/>
            </w:pPr>
            <w:r>
              <w:rPr/>
              <w:t> </w:t>
            </w:r>
          </w:p>
        </w:tc>
      </w:tr>
    </w:tbl>
    <w:p>
      <w:pPr>
        <w:pStyle w:val="TextBody"/>
        <w:bidi w:val="0"/>
        <w:ind w:left="360" w:right="0" w:hanging="0"/>
        <w:jc w:val="both"/>
        <w:rPr/>
      </w:pPr>
      <w:r>
        <w:rPr/>
        <w:t>Additional information regarding stock options outstanding as at May 31, 2023 is as follows:</w:t>
      </w:r>
    </w:p>
    <w:tbl>
      <w:tblPr>
        <w:tblW w:w="8374" w:type="dxa"/>
        <w:jc w:val="left"/>
        <w:tblInd w:w="360" w:type="dxa"/>
        <w:tblLayout w:type="fixed"/>
        <w:tblCellMar>
          <w:top w:w="0" w:type="dxa"/>
          <w:left w:w="0" w:type="dxa"/>
          <w:bottom w:w="0" w:type="dxa"/>
          <w:right w:w="0" w:type="dxa"/>
        </w:tblCellMar>
      </w:tblPr>
      <w:tblGrid>
        <w:gridCol w:w="1415"/>
        <w:gridCol w:w="1805"/>
        <w:gridCol w:w="1055"/>
        <w:gridCol w:w="1310"/>
        <w:gridCol w:w="60"/>
        <w:gridCol w:w="1355"/>
        <w:gridCol w:w="1374"/>
      </w:tblGrid>
      <w:tr>
        <w:trPr/>
        <w:tc>
          <w:tcPr>
            <w:tcW w:w="1415" w:type="dxa"/>
            <w:tcBorders/>
            <w:vAlign w:val="center"/>
          </w:tcPr>
          <w:p>
            <w:pPr>
              <w:pStyle w:val="TableContents"/>
              <w:bidi w:val="0"/>
              <w:spacing w:before="0" w:after="283"/>
              <w:jc w:val="center"/>
              <w:rPr/>
            </w:pPr>
            <w:r>
              <w:rPr/>
              <w:t> </w:t>
            </w:r>
          </w:p>
        </w:tc>
        <w:tc>
          <w:tcPr>
            <w:tcW w:w="4170" w:type="dxa"/>
            <w:gridSpan w:val="3"/>
            <w:tcBorders>
              <w:bottom w:val="single" w:sz="6" w:space="0" w:color="000000"/>
            </w:tcBorders>
            <w:tcMar>
              <w:bottom w:w="28" w:type="dxa"/>
            </w:tcMar>
            <w:vAlign w:val="center"/>
          </w:tcPr>
          <w:p>
            <w:pPr>
              <w:pStyle w:val="TableContents"/>
              <w:bidi w:val="0"/>
              <w:spacing w:before="0" w:after="283"/>
              <w:jc w:val="center"/>
              <w:rPr/>
            </w:pPr>
            <w:r>
              <w:rPr/>
              <w:t>Outstanding</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29" w:type="dxa"/>
            <w:gridSpan w:val="2"/>
            <w:tcBorders>
              <w:bottom w:val="single" w:sz="6" w:space="0" w:color="000000"/>
            </w:tcBorders>
            <w:tcMar>
              <w:bottom w:w="28" w:type="dxa"/>
            </w:tcMar>
            <w:vAlign w:val="center"/>
          </w:tcPr>
          <w:p>
            <w:pPr>
              <w:pStyle w:val="TableContents"/>
              <w:bidi w:val="0"/>
              <w:spacing w:before="0" w:after="283"/>
              <w:jc w:val="center"/>
              <w:rPr/>
            </w:pPr>
            <w:r>
              <w:rPr/>
              <w:t xml:space="preserve">        </w:t>
            </w:r>
            <w:r>
              <w:rPr/>
              <w:t>Vested        Non-vested</w:t>
            </w:r>
          </w:p>
        </w:tc>
      </w:tr>
      <w:tr>
        <w:trPr/>
        <w:tc>
          <w:tcPr>
            <w:tcW w:w="1415" w:type="dxa"/>
            <w:tcBorders>
              <w:bottom w:val="single" w:sz="6" w:space="0" w:color="000000"/>
            </w:tcBorders>
            <w:tcMar>
              <w:bottom w:w="28" w:type="dxa"/>
            </w:tcMar>
            <w:vAlign w:val="center"/>
          </w:tcPr>
          <w:p>
            <w:pPr>
              <w:pStyle w:val="TableContents"/>
              <w:bidi w:val="0"/>
              <w:spacing w:before="0" w:after="283"/>
              <w:jc w:val="center"/>
              <w:rPr/>
            </w:pPr>
            <w:r>
              <w:rPr/>
              <w:t>Range of</w:t>
              <w:br/>
              <w:t>exercise prices</w:t>
              <w:br/>
              <w:t>$</w:t>
            </w:r>
          </w:p>
        </w:tc>
        <w:tc>
          <w:tcPr>
            <w:tcW w:w="180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Number of options</w:t>
              <w:br/>
              <w:t>outstanding</w:t>
            </w:r>
          </w:p>
        </w:tc>
        <w:tc>
          <w:tcPr>
            <w:tcW w:w="10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Weighted</w:t>
              <w:br/>
              <w:t>average</w:t>
              <w:br/>
              <w:t>remaining</w:t>
              <w:br/>
              <w:t>contractual</w:t>
              <w:br/>
              <w:t>life (years)</w:t>
            </w:r>
          </w:p>
        </w:tc>
        <w:tc>
          <w:tcPr>
            <w:tcW w:w="13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Weighted</w:t>
              <w:br/>
              <w:t>average</w:t>
              <w:br/>
              <w:t>exercise price</w:t>
              <w:b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3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Number of</w:t>
              <w:br/>
              <w:t>options</w:t>
              <w:br/>
              <w:t>outstanding</w:t>
            </w:r>
          </w:p>
        </w:tc>
        <w:tc>
          <w:tcPr>
            <w:tcW w:w="1374"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Number of</w:t>
              <w:br/>
              <w:t>options</w:t>
              <w:br/>
              <w:t>outstanding</w:t>
            </w:r>
          </w:p>
        </w:tc>
      </w:tr>
      <w:tr>
        <w:trPr/>
        <w:tc>
          <w:tcPr>
            <w:tcW w:w="1415" w:type="dxa"/>
            <w:tcBorders>
              <w:top w:val="single" w:sz="6" w:space="0" w:color="000000"/>
            </w:tcBorders>
            <w:tcMar>
              <w:top w:w="28" w:type="dxa"/>
            </w:tcMar>
            <w:vAlign w:val="center"/>
          </w:tcPr>
          <w:p>
            <w:pPr>
              <w:pStyle w:val="TableContents"/>
              <w:bidi w:val="0"/>
              <w:spacing w:before="0" w:after="283"/>
              <w:jc w:val="center"/>
              <w:rPr/>
            </w:pPr>
            <w:r>
              <w:rPr/>
              <w:t> </w:t>
            </w:r>
          </w:p>
        </w:tc>
        <w:tc>
          <w:tcPr>
            <w:tcW w:w="1805" w:type="dxa"/>
            <w:tcBorders>
              <w:top w:val="single" w:sz="6" w:space="0" w:color="000000"/>
            </w:tcBorders>
            <w:tcMar>
              <w:top w:w="28" w:type="dxa"/>
            </w:tcMar>
            <w:vAlign w:val="center"/>
          </w:tcPr>
          <w:p>
            <w:pPr>
              <w:pStyle w:val="TableContents"/>
              <w:bidi w:val="0"/>
              <w:spacing w:before="0" w:after="283"/>
              <w:jc w:val="right"/>
              <w:rPr/>
            </w:pPr>
            <w:r>
              <w:rPr/>
              <w:t> </w:t>
            </w:r>
          </w:p>
        </w:tc>
        <w:tc>
          <w:tcPr>
            <w:tcW w:w="1055" w:type="dxa"/>
            <w:tcBorders/>
            <w:vAlign w:val="center"/>
          </w:tcPr>
          <w:p>
            <w:pPr>
              <w:pStyle w:val="TableContents"/>
              <w:bidi w:val="0"/>
              <w:spacing w:before="0" w:after="283"/>
              <w:jc w:val="right"/>
              <w:rPr/>
            </w:pPr>
            <w:r>
              <w:rPr/>
              <w:t> </w:t>
            </w:r>
          </w:p>
        </w:tc>
        <w:tc>
          <w:tcPr>
            <w:tcW w:w="1310" w:type="dxa"/>
            <w:tcBorders>
              <w:top w:val="single" w:sz="6" w:space="0" w:color="000000"/>
            </w:tcBorders>
            <w:tcMar>
              <w:top w:w="28"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355" w:type="dxa"/>
            <w:tcBorders>
              <w:top w:val="single" w:sz="6" w:space="0" w:color="000000"/>
            </w:tcBorders>
            <w:tcMar>
              <w:top w:w="28" w:type="dxa"/>
            </w:tcMar>
            <w:vAlign w:val="center"/>
          </w:tcPr>
          <w:p>
            <w:pPr>
              <w:pStyle w:val="TableContents"/>
              <w:bidi w:val="0"/>
              <w:spacing w:before="0" w:after="283"/>
              <w:jc w:val="right"/>
              <w:rPr/>
            </w:pPr>
            <w:r>
              <w:rPr/>
              <w:t> </w:t>
            </w:r>
          </w:p>
        </w:tc>
        <w:tc>
          <w:tcPr>
            <w:tcW w:w="1374" w:type="dxa"/>
            <w:tcBorders>
              <w:top w:val="single" w:sz="6" w:space="0" w:color="000000"/>
            </w:tcBorders>
            <w:tcMar>
              <w:top w:w="28" w:type="dxa"/>
            </w:tcMar>
            <w:vAlign w:val="center"/>
          </w:tcPr>
          <w:p>
            <w:pPr>
              <w:pStyle w:val="TableContents"/>
              <w:bidi w:val="0"/>
              <w:spacing w:before="0" w:after="283"/>
              <w:jc w:val="right"/>
              <w:rPr/>
            </w:pPr>
            <w:r>
              <w:rPr/>
              <w:t> </w:t>
            </w:r>
          </w:p>
        </w:tc>
      </w:tr>
      <w:tr>
        <w:trPr/>
        <w:tc>
          <w:tcPr>
            <w:tcW w:w="1415" w:type="dxa"/>
            <w:tcBorders/>
            <w:shd w:fill="E6EFFF" w:val="clear"/>
            <w:vAlign w:val="center"/>
          </w:tcPr>
          <w:p>
            <w:pPr>
              <w:pStyle w:val="TableContents"/>
              <w:bidi w:val="0"/>
              <w:spacing w:before="0" w:after="283"/>
              <w:jc w:val="center"/>
              <w:rPr/>
            </w:pPr>
            <w:r>
              <w:rPr/>
              <w:t>0.0175</w:t>
            </w:r>
          </w:p>
        </w:tc>
        <w:tc>
          <w:tcPr>
            <w:tcW w:w="1805" w:type="dxa"/>
            <w:tcBorders/>
            <w:shd w:fill="E6EFFF" w:val="clear"/>
            <w:vAlign w:val="center"/>
          </w:tcPr>
          <w:p>
            <w:pPr>
              <w:pStyle w:val="TableContents"/>
              <w:bidi w:val="0"/>
              <w:spacing w:before="0" w:after="283"/>
              <w:jc w:val="right"/>
              <w:rPr/>
            </w:pPr>
            <w:r>
              <w:rPr/>
              <w:t>9,160,100</w:t>
            </w:r>
          </w:p>
        </w:tc>
        <w:tc>
          <w:tcPr>
            <w:tcW w:w="1055" w:type="dxa"/>
            <w:tcBorders/>
            <w:shd w:fill="E6EFFF" w:val="clear"/>
            <w:vAlign w:val="center"/>
          </w:tcPr>
          <w:p>
            <w:pPr>
              <w:pStyle w:val="TableContents"/>
              <w:bidi w:val="0"/>
              <w:spacing w:before="0" w:after="283"/>
              <w:jc w:val="center"/>
              <w:rPr/>
            </w:pPr>
            <w:r>
              <w:rPr/>
              <w:t>7.6</w:t>
            </w:r>
          </w:p>
        </w:tc>
        <w:tc>
          <w:tcPr>
            <w:tcW w:w="1310" w:type="dxa"/>
            <w:tcBorders/>
            <w:shd w:fill="E6EFFF" w:val="clear"/>
            <w:vAlign w:val="center"/>
          </w:tcPr>
          <w:p>
            <w:pPr>
              <w:pStyle w:val="TableContents"/>
              <w:bidi w:val="0"/>
              <w:spacing w:before="0" w:after="283"/>
              <w:jc w:val="center"/>
              <w:rPr/>
            </w:pPr>
            <w:r>
              <w:rPr/>
              <w:t>0.0175</w:t>
            </w:r>
          </w:p>
        </w:tc>
        <w:tc>
          <w:tcPr>
            <w:tcW w:w="60" w:type="dxa"/>
            <w:tcBorders/>
            <w:shd w:fill="E6EFFF" w:val="clear"/>
            <w:vAlign w:val="center"/>
          </w:tcPr>
          <w:p>
            <w:pPr>
              <w:pStyle w:val="TableContents"/>
              <w:bidi w:val="0"/>
              <w:spacing w:before="0" w:after="283"/>
              <w:jc w:val="left"/>
              <w:rPr/>
            </w:pPr>
            <w:r>
              <w:rPr/>
              <w:t> </w:t>
            </w:r>
          </w:p>
        </w:tc>
        <w:tc>
          <w:tcPr>
            <w:tcW w:w="1355" w:type="dxa"/>
            <w:tcBorders/>
            <w:shd w:fill="E6EFFF" w:val="clear"/>
            <w:vAlign w:val="center"/>
          </w:tcPr>
          <w:p>
            <w:pPr>
              <w:pStyle w:val="TableContents"/>
              <w:bidi w:val="0"/>
              <w:spacing w:before="0" w:after="283"/>
              <w:jc w:val="right"/>
              <w:rPr/>
            </w:pPr>
            <w:r>
              <w:rPr/>
              <w:t>9,160,100</w:t>
            </w:r>
          </w:p>
        </w:tc>
        <w:tc>
          <w:tcPr>
            <w:tcW w:w="1374" w:type="dxa"/>
            <w:tcBorders/>
            <w:shd w:fill="E6EFFF" w:val="clear"/>
            <w:vAlign w:val="center"/>
          </w:tcPr>
          <w:p>
            <w:pPr>
              <w:pStyle w:val="TableContents"/>
              <w:bidi w:val="0"/>
              <w:spacing w:before="0" w:after="283"/>
              <w:jc w:val="right"/>
              <w:rPr/>
            </w:pPr>
            <w:r>
              <w:rPr/>
              <w:t>-</w:t>
            </w:r>
          </w:p>
        </w:tc>
      </w:tr>
      <w:tr>
        <w:trPr/>
        <w:tc>
          <w:tcPr>
            <w:tcW w:w="1415" w:type="dxa"/>
            <w:tcBorders/>
            <w:vAlign w:val="center"/>
          </w:tcPr>
          <w:p>
            <w:pPr>
              <w:pStyle w:val="TableContents"/>
              <w:bidi w:val="0"/>
              <w:spacing w:before="0" w:after="283"/>
              <w:jc w:val="center"/>
              <w:rPr/>
            </w:pPr>
            <w:r>
              <w:rPr/>
              <w:t>0.0035</w:t>
            </w:r>
          </w:p>
        </w:tc>
        <w:tc>
          <w:tcPr>
            <w:tcW w:w="1805" w:type="dxa"/>
            <w:tcBorders/>
            <w:vAlign w:val="center"/>
          </w:tcPr>
          <w:p>
            <w:pPr>
              <w:pStyle w:val="TableContents"/>
              <w:bidi w:val="0"/>
              <w:spacing w:before="0" w:after="283"/>
              <w:jc w:val="right"/>
              <w:rPr/>
            </w:pPr>
            <w:r>
              <w:rPr/>
              <w:t>2,891,300</w:t>
            </w:r>
          </w:p>
        </w:tc>
        <w:tc>
          <w:tcPr>
            <w:tcW w:w="1055" w:type="dxa"/>
            <w:tcBorders/>
            <w:vAlign w:val="center"/>
          </w:tcPr>
          <w:p>
            <w:pPr>
              <w:pStyle w:val="TableContents"/>
              <w:bidi w:val="0"/>
              <w:spacing w:before="0" w:after="283"/>
              <w:jc w:val="center"/>
              <w:rPr/>
            </w:pPr>
            <w:r>
              <w:rPr/>
              <w:t>6.9</w:t>
            </w:r>
          </w:p>
        </w:tc>
        <w:tc>
          <w:tcPr>
            <w:tcW w:w="1310" w:type="dxa"/>
            <w:tcBorders/>
            <w:vAlign w:val="center"/>
          </w:tcPr>
          <w:p>
            <w:pPr>
              <w:pStyle w:val="TableContents"/>
              <w:bidi w:val="0"/>
              <w:spacing w:before="0" w:after="283"/>
              <w:jc w:val="center"/>
              <w:rPr/>
            </w:pPr>
            <w:r>
              <w:rPr/>
              <w:t>0.0035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2,891,300</w:t>
            </w:r>
          </w:p>
        </w:tc>
        <w:tc>
          <w:tcPr>
            <w:tcW w:w="1374" w:type="dxa"/>
            <w:tcBorders/>
            <w:vAlign w:val="center"/>
          </w:tcPr>
          <w:p>
            <w:pPr>
              <w:pStyle w:val="TableContents"/>
              <w:bidi w:val="0"/>
              <w:spacing w:before="0" w:after="283"/>
              <w:jc w:val="right"/>
              <w:rPr/>
            </w:pPr>
            <w:r>
              <w:rPr/>
              <w:t>-</w:t>
            </w:r>
          </w:p>
        </w:tc>
      </w:tr>
      <w:tr>
        <w:trPr/>
        <w:tc>
          <w:tcPr>
            <w:tcW w:w="1415" w:type="dxa"/>
            <w:tcBorders/>
            <w:shd w:fill="E6EFFF" w:val="clear"/>
            <w:vAlign w:val="center"/>
          </w:tcPr>
          <w:p>
            <w:pPr>
              <w:pStyle w:val="TableContents"/>
              <w:bidi w:val="0"/>
              <w:spacing w:before="0" w:after="283"/>
              <w:jc w:val="center"/>
              <w:rPr/>
            </w:pPr>
            <w:r>
              <w:rPr/>
              <w:t>0.49</w:t>
            </w:r>
          </w:p>
        </w:tc>
        <w:tc>
          <w:tcPr>
            <w:tcW w:w="1805" w:type="dxa"/>
            <w:tcBorders/>
            <w:shd w:fill="E6EFFF" w:val="clear"/>
            <w:vAlign w:val="center"/>
          </w:tcPr>
          <w:p>
            <w:pPr>
              <w:pStyle w:val="TableContents"/>
              <w:bidi w:val="0"/>
              <w:spacing w:before="0" w:after="283"/>
              <w:jc w:val="right"/>
              <w:rPr/>
            </w:pPr>
            <w:r>
              <w:rPr/>
              <w:t>1,090,000</w:t>
            </w:r>
          </w:p>
        </w:tc>
        <w:tc>
          <w:tcPr>
            <w:tcW w:w="1055" w:type="dxa"/>
            <w:tcBorders/>
            <w:shd w:fill="E6EFFF" w:val="clear"/>
            <w:vAlign w:val="center"/>
          </w:tcPr>
          <w:p>
            <w:pPr>
              <w:pStyle w:val="TableContents"/>
              <w:bidi w:val="0"/>
              <w:spacing w:before="0" w:after="283"/>
              <w:jc w:val="center"/>
              <w:rPr/>
            </w:pPr>
            <w:r>
              <w:rPr/>
              <w:t>8.2</w:t>
            </w:r>
          </w:p>
        </w:tc>
        <w:tc>
          <w:tcPr>
            <w:tcW w:w="1310" w:type="dxa"/>
            <w:tcBorders/>
            <w:shd w:fill="E6EFFF" w:val="clear"/>
            <w:vAlign w:val="center"/>
          </w:tcPr>
          <w:p>
            <w:pPr>
              <w:pStyle w:val="TableContents"/>
              <w:bidi w:val="0"/>
              <w:spacing w:before="0" w:after="283"/>
              <w:jc w:val="center"/>
              <w:rPr/>
            </w:pPr>
            <w:r>
              <w:rPr/>
              <w:t>0.49</w:t>
            </w:r>
          </w:p>
        </w:tc>
        <w:tc>
          <w:tcPr>
            <w:tcW w:w="60" w:type="dxa"/>
            <w:tcBorders/>
            <w:shd w:fill="E6EFFF" w:val="clear"/>
            <w:vAlign w:val="center"/>
          </w:tcPr>
          <w:p>
            <w:pPr>
              <w:pStyle w:val="TableContents"/>
              <w:bidi w:val="0"/>
              <w:spacing w:before="0" w:after="283"/>
              <w:jc w:val="left"/>
              <w:rPr/>
            </w:pPr>
            <w:r>
              <w:rPr/>
              <w:t> </w:t>
            </w:r>
          </w:p>
        </w:tc>
        <w:tc>
          <w:tcPr>
            <w:tcW w:w="1355" w:type="dxa"/>
            <w:tcBorders/>
            <w:shd w:fill="E6EFFF" w:val="clear"/>
            <w:vAlign w:val="center"/>
          </w:tcPr>
          <w:p>
            <w:pPr>
              <w:pStyle w:val="TableContents"/>
              <w:bidi w:val="0"/>
              <w:spacing w:before="0" w:after="283"/>
              <w:jc w:val="right"/>
              <w:rPr/>
            </w:pPr>
            <w:r>
              <w:rPr/>
              <w:t>1,090,000</w:t>
            </w:r>
          </w:p>
        </w:tc>
        <w:tc>
          <w:tcPr>
            <w:tcW w:w="1374" w:type="dxa"/>
            <w:tcBorders/>
            <w:shd w:fill="E6EFFF" w:val="clear"/>
            <w:vAlign w:val="center"/>
          </w:tcPr>
          <w:p>
            <w:pPr>
              <w:pStyle w:val="TableContents"/>
              <w:bidi w:val="0"/>
              <w:spacing w:before="0" w:after="283"/>
              <w:jc w:val="right"/>
              <w:rPr/>
            </w:pPr>
            <w:r>
              <w:rPr/>
              <w:t>-</w:t>
            </w:r>
          </w:p>
        </w:tc>
      </w:tr>
      <w:tr>
        <w:trPr/>
        <w:tc>
          <w:tcPr>
            <w:tcW w:w="1415" w:type="dxa"/>
            <w:tcBorders/>
            <w:vAlign w:val="center"/>
          </w:tcPr>
          <w:p>
            <w:pPr>
              <w:pStyle w:val="TableContents"/>
              <w:bidi w:val="0"/>
              <w:spacing w:before="0" w:after="283"/>
              <w:jc w:val="center"/>
              <w:rPr/>
            </w:pPr>
            <w:r>
              <w:rPr/>
              <w:t>0.40</w:t>
            </w:r>
          </w:p>
        </w:tc>
        <w:tc>
          <w:tcPr>
            <w:tcW w:w="1805" w:type="dxa"/>
            <w:tcBorders/>
            <w:vAlign w:val="center"/>
          </w:tcPr>
          <w:p>
            <w:pPr>
              <w:pStyle w:val="TableContents"/>
              <w:bidi w:val="0"/>
              <w:spacing w:before="0" w:after="283"/>
              <w:jc w:val="right"/>
              <w:rPr/>
            </w:pPr>
            <w:r>
              <w:rPr/>
              <w:t>150,000</w:t>
            </w:r>
          </w:p>
        </w:tc>
        <w:tc>
          <w:tcPr>
            <w:tcW w:w="1055" w:type="dxa"/>
            <w:tcBorders/>
            <w:vAlign w:val="center"/>
          </w:tcPr>
          <w:p>
            <w:pPr>
              <w:pStyle w:val="TableContents"/>
              <w:bidi w:val="0"/>
              <w:spacing w:before="0" w:after="283"/>
              <w:jc w:val="center"/>
              <w:rPr/>
            </w:pPr>
            <w:r>
              <w:rPr/>
              <w:t>8.2</w:t>
            </w:r>
          </w:p>
        </w:tc>
        <w:tc>
          <w:tcPr>
            <w:tcW w:w="1310" w:type="dxa"/>
            <w:tcBorders/>
            <w:vAlign w:val="center"/>
          </w:tcPr>
          <w:p>
            <w:pPr>
              <w:pStyle w:val="TableContents"/>
              <w:bidi w:val="0"/>
              <w:spacing w:before="0" w:after="283"/>
              <w:jc w:val="center"/>
              <w:rPr/>
            </w:pPr>
            <w:r>
              <w:rPr/>
              <w:t>0.40</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150,000</w:t>
            </w:r>
          </w:p>
        </w:tc>
        <w:tc>
          <w:tcPr>
            <w:tcW w:w="1374" w:type="dxa"/>
            <w:tcBorders/>
            <w:vAlign w:val="center"/>
          </w:tcPr>
          <w:p>
            <w:pPr>
              <w:pStyle w:val="TableContents"/>
              <w:bidi w:val="0"/>
              <w:spacing w:before="0" w:after="283"/>
              <w:jc w:val="right"/>
              <w:rPr/>
            </w:pPr>
            <w:r>
              <w:rPr/>
              <w:t>-</w:t>
            </w:r>
          </w:p>
        </w:tc>
      </w:tr>
      <w:tr>
        <w:trPr/>
        <w:tc>
          <w:tcPr>
            <w:tcW w:w="1415" w:type="dxa"/>
            <w:tcBorders/>
            <w:shd w:fill="E6EFFF" w:val="clear"/>
            <w:vAlign w:val="center"/>
          </w:tcPr>
          <w:p>
            <w:pPr>
              <w:pStyle w:val="TableContents"/>
              <w:bidi w:val="0"/>
              <w:spacing w:before="0" w:after="283"/>
              <w:jc w:val="center"/>
              <w:rPr/>
            </w:pPr>
            <w:r>
              <w:rPr/>
              <w:t>0.435</w:t>
            </w:r>
          </w:p>
        </w:tc>
        <w:tc>
          <w:tcPr>
            <w:tcW w:w="1805" w:type="dxa"/>
            <w:tcBorders/>
            <w:shd w:fill="E6EFFF" w:val="clear"/>
            <w:vAlign w:val="center"/>
          </w:tcPr>
          <w:p>
            <w:pPr>
              <w:pStyle w:val="TableContents"/>
              <w:bidi w:val="0"/>
              <w:spacing w:before="0" w:after="283"/>
              <w:jc w:val="right"/>
              <w:rPr/>
            </w:pPr>
            <w:r>
              <w:rPr/>
              <w:t>30,000</w:t>
            </w:r>
          </w:p>
        </w:tc>
        <w:tc>
          <w:tcPr>
            <w:tcW w:w="1055" w:type="dxa"/>
            <w:tcBorders/>
            <w:shd w:fill="E6EFFF" w:val="clear"/>
            <w:vAlign w:val="center"/>
          </w:tcPr>
          <w:p>
            <w:pPr>
              <w:pStyle w:val="TableContents"/>
              <w:bidi w:val="0"/>
              <w:spacing w:before="0" w:after="283"/>
              <w:jc w:val="center"/>
              <w:rPr/>
            </w:pPr>
            <w:r>
              <w:rPr/>
              <w:t>8.5</w:t>
            </w:r>
          </w:p>
        </w:tc>
        <w:tc>
          <w:tcPr>
            <w:tcW w:w="1310" w:type="dxa"/>
            <w:tcBorders/>
            <w:shd w:fill="E6EFFF" w:val="clear"/>
            <w:vAlign w:val="center"/>
          </w:tcPr>
          <w:p>
            <w:pPr>
              <w:pStyle w:val="TableContents"/>
              <w:bidi w:val="0"/>
              <w:spacing w:before="0" w:after="283"/>
              <w:jc w:val="center"/>
              <w:rPr/>
            </w:pPr>
            <w:r>
              <w:rPr/>
              <w:t>0.435</w:t>
            </w:r>
          </w:p>
        </w:tc>
        <w:tc>
          <w:tcPr>
            <w:tcW w:w="60" w:type="dxa"/>
            <w:tcBorders/>
            <w:shd w:fill="E6EFFF" w:val="clear"/>
            <w:vAlign w:val="center"/>
          </w:tcPr>
          <w:p>
            <w:pPr>
              <w:pStyle w:val="TableContents"/>
              <w:bidi w:val="0"/>
              <w:spacing w:before="0" w:after="283"/>
              <w:jc w:val="left"/>
              <w:rPr/>
            </w:pPr>
            <w:r>
              <w:rPr/>
              <w:t> </w:t>
            </w:r>
          </w:p>
        </w:tc>
        <w:tc>
          <w:tcPr>
            <w:tcW w:w="1355" w:type="dxa"/>
            <w:tcBorders/>
            <w:shd w:fill="E6EFFF" w:val="clear"/>
            <w:vAlign w:val="center"/>
          </w:tcPr>
          <w:p>
            <w:pPr>
              <w:pStyle w:val="TableContents"/>
              <w:bidi w:val="0"/>
              <w:spacing w:before="0" w:after="283"/>
              <w:jc w:val="right"/>
              <w:rPr/>
            </w:pPr>
            <w:r>
              <w:rPr/>
              <w:t>30,000</w:t>
            </w:r>
          </w:p>
        </w:tc>
        <w:tc>
          <w:tcPr>
            <w:tcW w:w="1374" w:type="dxa"/>
            <w:tcBorders/>
            <w:shd w:fill="E6EFFF" w:val="clear"/>
            <w:vAlign w:val="center"/>
          </w:tcPr>
          <w:p>
            <w:pPr>
              <w:pStyle w:val="TableContents"/>
              <w:bidi w:val="0"/>
              <w:spacing w:before="0" w:after="283"/>
              <w:jc w:val="right"/>
              <w:rPr/>
            </w:pPr>
            <w:r>
              <w:rPr/>
              <w:t>-</w:t>
            </w:r>
          </w:p>
        </w:tc>
      </w:tr>
      <w:tr>
        <w:trPr/>
        <w:tc>
          <w:tcPr>
            <w:tcW w:w="1415" w:type="dxa"/>
            <w:tcBorders/>
            <w:vAlign w:val="center"/>
          </w:tcPr>
          <w:p>
            <w:pPr>
              <w:pStyle w:val="TableContents"/>
              <w:bidi w:val="0"/>
              <w:spacing w:before="0" w:after="283"/>
              <w:jc w:val="center"/>
              <w:rPr/>
            </w:pPr>
            <w:r>
              <w:rPr/>
              <w:t>0.245</w:t>
            </w:r>
          </w:p>
        </w:tc>
        <w:tc>
          <w:tcPr>
            <w:tcW w:w="1805" w:type="dxa"/>
            <w:tcBorders/>
            <w:vAlign w:val="center"/>
          </w:tcPr>
          <w:p>
            <w:pPr>
              <w:pStyle w:val="TableContents"/>
              <w:bidi w:val="0"/>
              <w:spacing w:before="0" w:after="283"/>
              <w:jc w:val="right"/>
              <w:rPr/>
            </w:pPr>
            <w:r>
              <w:rPr/>
              <w:t>1,437,500</w:t>
            </w:r>
          </w:p>
        </w:tc>
        <w:tc>
          <w:tcPr>
            <w:tcW w:w="1055" w:type="dxa"/>
            <w:tcBorders/>
            <w:vAlign w:val="center"/>
          </w:tcPr>
          <w:p>
            <w:pPr>
              <w:pStyle w:val="TableContents"/>
              <w:bidi w:val="0"/>
              <w:spacing w:before="0" w:after="283"/>
              <w:jc w:val="center"/>
              <w:rPr/>
            </w:pPr>
            <w:r>
              <w:rPr/>
              <w:t>8.7</w:t>
            </w:r>
          </w:p>
        </w:tc>
        <w:tc>
          <w:tcPr>
            <w:tcW w:w="1310" w:type="dxa"/>
            <w:tcBorders/>
            <w:vAlign w:val="center"/>
          </w:tcPr>
          <w:p>
            <w:pPr>
              <w:pStyle w:val="TableContents"/>
              <w:bidi w:val="0"/>
              <w:spacing w:before="0" w:after="283"/>
              <w:jc w:val="center"/>
              <w:rPr/>
            </w:pPr>
            <w:r>
              <w:rPr/>
              <w:t>0.245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387,500</w:t>
            </w:r>
          </w:p>
        </w:tc>
        <w:tc>
          <w:tcPr>
            <w:tcW w:w="1374" w:type="dxa"/>
            <w:tcBorders/>
            <w:vAlign w:val="center"/>
          </w:tcPr>
          <w:p>
            <w:pPr>
              <w:pStyle w:val="TableContents"/>
              <w:bidi w:val="0"/>
              <w:spacing w:before="0" w:after="283"/>
              <w:jc w:val="right"/>
              <w:rPr/>
            </w:pPr>
            <w:r>
              <w:rPr/>
              <w:t>1,050,000</w:t>
            </w:r>
          </w:p>
        </w:tc>
      </w:tr>
      <w:tr>
        <w:trPr/>
        <w:tc>
          <w:tcPr>
            <w:tcW w:w="1415" w:type="dxa"/>
            <w:tcBorders/>
            <w:shd w:fill="E6EFFF" w:val="clear"/>
            <w:vAlign w:val="center"/>
          </w:tcPr>
          <w:p>
            <w:pPr>
              <w:pStyle w:val="TableContents"/>
              <w:bidi w:val="0"/>
              <w:spacing w:before="0" w:after="283"/>
              <w:jc w:val="center"/>
              <w:rPr/>
            </w:pPr>
            <w:r>
              <w:rPr/>
              <w:t>0.30</w:t>
            </w:r>
          </w:p>
        </w:tc>
        <w:tc>
          <w:tcPr>
            <w:tcW w:w="1805" w:type="dxa"/>
            <w:tcBorders/>
            <w:shd w:fill="E6EFFF" w:val="clear"/>
            <w:vAlign w:val="center"/>
          </w:tcPr>
          <w:p>
            <w:pPr>
              <w:pStyle w:val="TableContents"/>
              <w:bidi w:val="0"/>
              <w:spacing w:before="0" w:after="283"/>
              <w:jc w:val="right"/>
              <w:rPr/>
            </w:pPr>
            <w:r>
              <w:rPr/>
              <w:t>1,075,000</w:t>
            </w:r>
          </w:p>
        </w:tc>
        <w:tc>
          <w:tcPr>
            <w:tcW w:w="1055" w:type="dxa"/>
            <w:tcBorders/>
            <w:shd w:fill="E6EFFF" w:val="clear"/>
            <w:vAlign w:val="center"/>
          </w:tcPr>
          <w:p>
            <w:pPr>
              <w:pStyle w:val="TableContents"/>
              <w:bidi w:val="0"/>
              <w:spacing w:before="0" w:after="283"/>
              <w:jc w:val="center"/>
              <w:rPr/>
            </w:pPr>
            <w:r>
              <w:rPr/>
              <w:t>8.8</w:t>
            </w:r>
          </w:p>
        </w:tc>
        <w:tc>
          <w:tcPr>
            <w:tcW w:w="1310" w:type="dxa"/>
            <w:tcBorders/>
            <w:shd w:fill="E6EFFF" w:val="clear"/>
            <w:vAlign w:val="center"/>
          </w:tcPr>
          <w:p>
            <w:pPr>
              <w:pStyle w:val="TableContents"/>
              <w:bidi w:val="0"/>
              <w:spacing w:before="0" w:after="283"/>
              <w:jc w:val="center"/>
              <w:rPr/>
            </w:pPr>
            <w:r>
              <w:rPr/>
              <w:t>0.30</w:t>
            </w:r>
          </w:p>
        </w:tc>
        <w:tc>
          <w:tcPr>
            <w:tcW w:w="60" w:type="dxa"/>
            <w:tcBorders/>
            <w:shd w:fill="E6EFFF" w:val="clear"/>
            <w:vAlign w:val="center"/>
          </w:tcPr>
          <w:p>
            <w:pPr>
              <w:pStyle w:val="TableContents"/>
              <w:bidi w:val="0"/>
              <w:spacing w:before="0" w:after="283"/>
              <w:jc w:val="left"/>
              <w:rPr/>
            </w:pPr>
            <w:r>
              <w:rPr/>
              <w:t> </w:t>
            </w:r>
          </w:p>
        </w:tc>
        <w:tc>
          <w:tcPr>
            <w:tcW w:w="1355" w:type="dxa"/>
            <w:tcBorders/>
            <w:shd w:fill="E6EFFF" w:val="clear"/>
            <w:vAlign w:val="center"/>
          </w:tcPr>
          <w:p>
            <w:pPr>
              <w:pStyle w:val="TableContents"/>
              <w:bidi w:val="0"/>
              <w:spacing w:before="0" w:after="283"/>
              <w:jc w:val="right"/>
              <w:rPr/>
            </w:pPr>
            <w:r>
              <w:rPr/>
              <w:t>268,750</w:t>
            </w:r>
          </w:p>
        </w:tc>
        <w:tc>
          <w:tcPr>
            <w:tcW w:w="1374" w:type="dxa"/>
            <w:tcBorders/>
            <w:shd w:fill="E6EFFF" w:val="clear"/>
            <w:vAlign w:val="center"/>
          </w:tcPr>
          <w:p>
            <w:pPr>
              <w:pStyle w:val="TableContents"/>
              <w:bidi w:val="0"/>
              <w:spacing w:before="0" w:after="283"/>
              <w:jc w:val="right"/>
              <w:rPr/>
            </w:pPr>
            <w:r>
              <w:rPr/>
              <w:t>806,250</w:t>
            </w:r>
          </w:p>
        </w:tc>
      </w:tr>
      <w:tr>
        <w:trPr/>
        <w:tc>
          <w:tcPr>
            <w:tcW w:w="1415" w:type="dxa"/>
            <w:tcBorders/>
            <w:vAlign w:val="center"/>
          </w:tcPr>
          <w:p>
            <w:pPr>
              <w:pStyle w:val="TableContents"/>
              <w:bidi w:val="0"/>
              <w:spacing w:before="0" w:after="283"/>
              <w:jc w:val="center"/>
              <w:rPr/>
            </w:pPr>
            <w:r>
              <w:rPr/>
              <w:t>0.175</w:t>
            </w:r>
          </w:p>
        </w:tc>
        <w:tc>
          <w:tcPr>
            <w:tcW w:w="1805" w:type="dxa"/>
            <w:tcBorders/>
            <w:vAlign w:val="center"/>
          </w:tcPr>
          <w:p>
            <w:pPr>
              <w:pStyle w:val="TableContents"/>
              <w:bidi w:val="0"/>
              <w:spacing w:before="0" w:after="283"/>
              <w:jc w:val="right"/>
              <w:rPr/>
            </w:pPr>
            <w:r>
              <w:rPr/>
              <w:t>6,300,000</w:t>
            </w:r>
          </w:p>
        </w:tc>
        <w:tc>
          <w:tcPr>
            <w:tcW w:w="1055" w:type="dxa"/>
            <w:tcBorders/>
            <w:vAlign w:val="center"/>
          </w:tcPr>
          <w:p>
            <w:pPr>
              <w:pStyle w:val="TableContents"/>
              <w:bidi w:val="0"/>
              <w:spacing w:before="0" w:after="283"/>
              <w:jc w:val="center"/>
              <w:rPr/>
            </w:pPr>
            <w:r>
              <w:rPr/>
              <w:t>9.0</w:t>
            </w:r>
          </w:p>
        </w:tc>
        <w:tc>
          <w:tcPr>
            <w:tcW w:w="1310" w:type="dxa"/>
            <w:tcBorders/>
            <w:vAlign w:val="center"/>
          </w:tcPr>
          <w:p>
            <w:pPr>
              <w:pStyle w:val="TableContents"/>
              <w:bidi w:val="0"/>
              <w:spacing w:before="0" w:after="283"/>
              <w:jc w:val="center"/>
              <w:rPr/>
            </w:pPr>
            <w:r>
              <w:rPr/>
              <w:t>0.175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6,300,000</w:t>
            </w:r>
          </w:p>
        </w:tc>
        <w:tc>
          <w:tcPr>
            <w:tcW w:w="1374" w:type="dxa"/>
            <w:tcBorders/>
            <w:vAlign w:val="center"/>
          </w:tcPr>
          <w:p>
            <w:pPr>
              <w:pStyle w:val="TableContents"/>
              <w:bidi w:val="0"/>
              <w:spacing w:before="0" w:after="283"/>
              <w:jc w:val="right"/>
              <w:rPr/>
            </w:pPr>
            <w:r>
              <w:rPr/>
              <w:t>-</w:t>
            </w:r>
          </w:p>
        </w:tc>
      </w:tr>
      <w:tr>
        <w:trPr/>
        <w:tc>
          <w:tcPr>
            <w:tcW w:w="1415" w:type="dxa"/>
            <w:tcBorders/>
            <w:shd w:fill="E6EFFF" w:val="clear"/>
            <w:vAlign w:val="center"/>
          </w:tcPr>
          <w:p>
            <w:pPr>
              <w:pStyle w:val="TableContents"/>
              <w:bidi w:val="0"/>
              <w:spacing w:before="0" w:after="283"/>
              <w:jc w:val="center"/>
              <w:rPr/>
            </w:pPr>
            <w:r>
              <w:rPr/>
              <w:t>0.105</w:t>
            </w:r>
          </w:p>
        </w:tc>
        <w:tc>
          <w:tcPr>
            <w:tcW w:w="1805" w:type="dxa"/>
            <w:tcBorders/>
            <w:shd w:fill="E6EFFF" w:val="clear"/>
            <w:vAlign w:val="center"/>
          </w:tcPr>
          <w:p>
            <w:pPr>
              <w:pStyle w:val="TableContents"/>
              <w:bidi w:val="0"/>
              <w:spacing w:before="0" w:after="283"/>
              <w:jc w:val="right"/>
              <w:rPr/>
            </w:pPr>
            <w:r>
              <w:rPr/>
              <w:t>1,000,000</w:t>
            </w:r>
          </w:p>
        </w:tc>
        <w:tc>
          <w:tcPr>
            <w:tcW w:w="1055" w:type="dxa"/>
            <w:tcBorders/>
            <w:shd w:fill="E6EFFF" w:val="clear"/>
            <w:vAlign w:val="center"/>
          </w:tcPr>
          <w:p>
            <w:pPr>
              <w:pStyle w:val="TableContents"/>
              <w:bidi w:val="0"/>
              <w:spacing w:before="0" w:after="283"/>
              <w:jc w:val="center"/>
              <w:rPr/>
            </w:pPr>
            <w:r>
              <w:rPr/>
              <w:t>9.1</w:t>
            </w:r>
          </w:p>
        </w:tc>
        <w:tc>
          <w:tcPr>
            <w:tcW w:w="1310" w:type="dxa"/>
            <w:tcBorders/>
            <w:shd w:fill="E6EFFF" w:val="clear"/>
            <w:vAlign w:val="center"/>
          </w:tcPr>
          <w:p>
            <w:pPr>
              <w:pStyle w:val="TableContents"/>
              <w:bidi w:val="0"/>
              <w:spacing w:before="0" w:after="283"/>
              <w:jc w:val="center"/>
              <w:rPr/>
            </w:pPr>
            <w:r>
              <w:rPr/>
              <w:t>0.105</w:t>
            </w:r>
          </w:p>
        </w:tc>
        <w:tc>
          <w:tcPr>
            <w:tcW w:w="60" w:type="dxa"/>
            <w:tcBorders/>
            <w:shd w:fill="E6EFFF" w:val="clear"/>
            <w:vAlign w:val="center"/>
          </w:tcPr>
          <w:p>
            <w:pPr>
              <w:pStyle w:val="TableContents"/>
              <w:bidi w:val="0"/>
              <w:spacing w:before="0" w:after="283"/>
              <w:jc w:val="left"/>
              <w:rPr/>
            </w:pPr>
            <w:r>
              <w:rPr/>
              <w:t> </w:t>
            </w:r>
          </w:p>
        </w:tc>
        <w:tc>
          <w:tcPr>
            <w:tcW w:w="1355" w:type="dxa"/>
            <w:tcBorders/>
            <w:shd w:fill="E6EFFF" w:val="clear"/>
            <w:vAlign w:val="center"/>
          </w:tcPr>
          <w:p>
            <w:pPr>
              <w:pStyle w:val="TableContents"/>
              <w:bidi w:val="0"/>
              <w:spacing w:before="0" w:after="283"/>
              <w:jc w:val="right"/>
              <w:rPr/>
            </w:pPr>
            <w:r>
              <w:rPr/>
              <w:t>1,000,000</w:t>
            </w:r>
          </w:p>
        </w:tc>
        <w:tc>
          <w:tcPr>
            <w:tcW w:w="1374" w:type="dxa"/>
            <w:tcBorders/>
            <w:shd w:fill="E6EFFF" w:val="clear"/>
            <w:vAlign w:val="center"/>
          </w:tcPr>
          <w:p>
            <w:pPr>
              <w:pStyle w:val="TableContents"/>
              <w:bidi w:val="0"/>
              <w:spacing w:before="0" w:after="283"/>
              <w:jc w:val="right"/>
              <w:rPr/>
            </w:pPr>
            <w:r>
              <w:rPr/>
              <w:t>-</w:t>
            </w:r>
          </w:p>
        </w:tc>
      </w:tr>
      <w:tr>
        <w:trPr/>
        <w:tc>
          <w:tcPr>
            <w:tcW w:w="1415" w:type="dxa"/>
            <w:tcBorders>
              <w:bottom w:val="single" w:sz="6" w:space="0" w:color="000000"/>
            </w:tcBorders>
            <w:tcMar>
              <w:bottom w:w="28" w:type="dxa"/>
            </w:tcMar>
            <w:vAlign w:val="center"/>
          </w:tcPr>
          <w:p>
            <w:pPr>
              <w:pStyle w:val="TableContents"/>
              <w:bidi w:val="0"/>
              <w:spacing w:before="0" w:after="283"/>
              <w:jc w:val="center"/>
              <w:rPr/>
            </w:pPr>
            <w:r>
              <w:rPr/>
              <w:t>0.09</w:t>
            </w:r>
          </w:p>
        </w:tc>
        <w:tc>
          <w:tcPr>
            <w:tcW w:w="1805" w:type="dxa"/>
            <w:tcBorders>
              <w:bottom w:val="single" w:sz="6" w:space="0" w:color="000000"/>
            </w:tcBorders>
            <w:tcMar>
              <w:bottom w:w="28" w:type="dxa"/>
            </w:tcMar>
            <w:vAlign w:val="center"/>
          </w:tcPr>
          <w:p>
            <w:pPr>
              <w:pStyle w:val="TableContents"/>
              <w:bidi w:val="0"/>
              <w:spacing w:before="0" w:after="283"/>
              <w:jc w:val="right"/>
              <w:rPr/>
            </w:pPr>
            <w:r>
              <w:rPr/>
              <w:t>3,462,500</w:t>
            </w:r>
          </w:p>
        </w:tc>
        <w:tc>
          <w:tcPr>
            <w:tcW w:w="1055" w:type="dxa"/>
            <w:tcBorders>
              <w:bottom w:val="single" w:sz="6" w:space="0" w:color="000000"/>
            </w:tcBorders>
            <w:tcMar>
              <w:bottom w:w="28" w:type="dxa"/>
            </w:tcMar>
            <w:vAlign w:val="center"/>
          </w:tcPr>
          <w:p>
            <w:pPr>
              <w:pStyle w:val="TableContents"/>
              <w:bidi w:val="0"/>
              <w:spacing w:before="0" w:after="283"/>
              <w:jc w:val="center"/>
              <w:rPr/>
            </w:pPr>
            <w:r>
              <w:rPr/>
              <w:t>9.8</w:t>
            </w:r>
          </w:p>
        </w:tc>
        <w:tc>
          <w:tcPr>
            <w:tcW w:w="1310" w:type="dxa"/>
            <w:tcBorders>
              <w:bottom w:val="single" w:sz="6" w:space="0" w:color="000000"/>
            </w:tcBorders>
            <w:tcMar>
              <w:bottom w:w="28" w:type="dxa"/>
            </w:tcMar>
            <w:vAlign w:val="center"/>
          </w:tcPr>
          <w:p>
            <w:pPr>
              <w:pStyle w:val="TableContents"/>
              <w:bidi w:val="0"/>
              <w:spacing w:before="0" w:after="283"/>
              <w:jc w:val="center"/>
              <w:rPr/>
            </w:pPr>
            <w:r>
              <w:rPr/>
              <w:t>0.09</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55" w:type="dxa"/>
            <w:tcBorders>
              <w:bottom w:val="single" w:sz="6" w:space="0" w:color="000000"/>
            </w:tcBorders>
            <w:tcMar>
              <w:bottom w:w="28" w:type="dxa"/>
            </w:tcMar>
            <w:vAlign w:val="center"/>
          </w:tcPr>
          <w:p>
            <w:pPr>
              <w:pStyle w:val="TableContents"/>
              <w:bidi w:val="0"/>
              <w:spacing w:before="0" w:after="283"/>
              <w:jc w:val="right"/>
              <w:rPr/>
            </w:pPr>
            <w:r>
              <w:rPr/>
              <w:t>731,250</w:t>
            </w:r>
          </w:p>
        </w:tc>
        <w:tc>
          <w:tcPr>
            <w:tcW w:w="1374" w:type="dxa"/>
            <w:tcBorders>
              <w:bottom w:val="single" w:sz="6" w:space="0" w:color="000000"/>
            </w:tcBorders>
            <w:tcMar>
              <w:bottom w:w="28" w:type="dxa"/>
            </w:tcMar>
            <w:vAlign w:val="center"/>
          </w:tcPr>
          <w:p>
            <w:pPr>
              <w:pStyle w:val="TableContents"/>
              <w:bidi w:val="0"/>
              <w:spacing w:before="0" w:after="283"/>
              <w:jc w:val="right"/>
              <w:rPr/>
            </w:pPr>
            <w:r>
              <w:rPr/>
              <w:t>2,731,250</w:t>
            </w:r>
          </w:p>
        </w:tc>
      </w:tr>
      <w:tr>
        <w:trPr/>
        <w:tc>
          <w:tcPr>
            <w:tcW w:w="1415" w:type="dxa"/>
            <w:tcBorders>
              <w:bottom w:val="single" w:sz="12" w:space="0" w:color="000000"/>
            </w:tcBorders>
            <w:shd w:fill="E6EFFF" w:val="clear"/>
            <w:tcMar>
              <w:bottom w:w="28" w:type="dxa"/>
            </w:tcMar>
            <w:vAlign w:val="center"/>
          </w:tcPr>
          <w:p>
            <w:pPr>
              <w:pStyle w:val="TableContents"/>
              <w:bidi w:val="0"/>
              <w:spacing w:before="0" w:after="283"/>
              <w:jc w:val="center"/>
              <w:rPr/>
            </w:pPr>
            <w:r>
              <w:rPr/>
              <w:t> </w:t>
            </w:r>
          </w:p>
        </w:tc>
        <w:tc>
          <w:tcPr>
            <w:tcW w:w="1805" w:type="dxa"/>
            <w:tcBorders>
              <w:bottom w:val="single" w:sz="12" w:space="0" w:color="000000"/>
            </w:tcBorders>
            <w:shd w:fill="E6EFFF" w:val="clear"/>
            <w:tcMar>
              <w:bottom w:w="28" w:type="dxa"/>
            </w:tcMar>
            <w:vAlign w:val="center"/>
          </w:tcPr>
          <w:p>
            <w:pPr>
              <w:pStyle w:val="TableContents"/>
              <w:bidi w:val="0"/>
              <w:spacing w:before="0" w:after="283"/>
              <w:jc w:val="right"/>
              <w:rPr/>
            </w:pPr>
            <w:r>
              <w:rPr/>
              <w:t>26,596,400</w:t>
            </w:r>
          </w:p>
        </w:tc>
        <w:tc>
          <w:tcPr>
            <w:tcW w:w="1055" w:type="dxa"/>
            <w:tcBorders>
              <w:bottom w:val="single" w:sz="12" w:space="0" w:color="000000"/>
            </w:tcBorders>
            <w:shd w:fill="E6EFFF" w:val="clear"/>
            <w:tcMar>
              <w:bottom w:w="28" w:type="dxa"/>
            </w:tcMar>
            <w:vAlign w:val="center"/>
          </w:tcPr>
          <w:p>
            <w:pPr>
              <w:pStyle w:val="TableContents"/>
              <w:bidi w:val="0"/>
              <w:spacing w:before="0" w:after="283"/>
              <w:jc w:val="center"/>
              <w:rPr/>
            </w:pPr>
            <w:r>
              <w:rPr/>
              <w:t>8.3</w:t>
            </w:r>
          </w:p>
        </w:tc>
        <w:tc>
          <w:tcPr>
            <w:tcW w:w="1310" w:type="dxa"/>
            <w:tcBorders>
              <w:bottom w:val="single" w:sz="12" w:space="0" w:color="000000"/>
            </w:tcBorders>
            <w:shd w:fill="E6EFFF" w:val="clear"/>
            <w:tcMar>
              <w:bottom w:w="28" w:type="dxa"/>
            </w:tcMar>
            <w:vAlign w:val="center"/>
          </w:tcPr>
          <w:p>
            <w:pPr>
              <w:pStyle w:val="TableContents"/>
              <w:bidi w:val="0"/>
              <w:spacing w:before="0" w:after="283"/>
              <w:jc w:val="center"/>
              <w:rPr/>
            </w:pPr>
            <w:r>
              <w:rPr/>
              <w:t>0.11</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E6EFFF" w:val="clear"/>
            <w:tcMar>
              <w:bottom w:w="28" w:type="dxa"/>
            </w:tcMar>
            <w:vAlign w:val="center"/>
          </w:tcPr>
          <w:p>
            <w:pPr>
              <w:pStyle w:val="TableContents"/>
              <w:bidi w:val="0"/>
              <w:spacing w:before="0" w:after="283"/>
              <w:jc w:val="right"/>
              <w:rPr/>
            </w:pPr>
            <w:r>
              <w:rPr/>
              <w:t>22,008,900</w:t>
            </w:r>
          </w:p>
        </w:tc>
        <w:tc>
          <w:tcPr>
            <w:tcW w:w="1374" w:type="dxa"/>
            <w:tcBorders>
              <w:bottom w:val="single" w:sz="12" w:space="0" w:color="000000"/>
            </w:tcBorders>
            <w:shd w:fill="E6EFFF" w:val="clear"/>
            <w:tcMar>
              <w:bottom w:w="28" w:type="dxa"/>
            </w:tcMar>
            <w:vAlign w:val="center"/>
          </w:tcPr>
          <w:p>
            <w:pPr>
              <w:pStyle w:val="TableContents"/>
              <w:bidi w:val="0"/>
              <w:spacing w:before="0" w:after="283"/>
              <w:jc w:val="right"/>
              <w:rPr/>
            </w:pPr>
            <w:r>
              <w:rPr/>
              <w:t>4,587,500</w:t>
            </w:r>
          </w:p>
        </w:tc>
      </w:tr>
    </w:tbl>
    <w:p>
      <w:pPr>
        <w:pStyle w:val="TextBody"/>
        <w:bidi w:val="0"/>
        <w:ind w:left="36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6" w:name="footer_page_13"/>
      <w:bookmarkEnd w:id="56"/>
      <w:r>
        <w:rPr/>
        <w:t>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57" w:name="header_page_14"/>
      <w:bookmarkStart w:id="58" w:name="header_page_14"/>
      <w:bookmarkEnd w:id="58"/>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9. Stock Options </w:t>
      </w:r>
      <w:r>
        <w:rPr/>
        <w:t>(continued)</w:t>
      </w:r>
    </w:p>
    <w:p>
      <w:pPr>
        <w:pStyle w:val="TextBody"/>
        <w:bidi w:val="0"/>
        <w:ind w:left="360" w:right="0" w:hanging="0"/>
        <w:jc w:val="both"/>
        <w:rPr/>
      </w:pPr>
      <w:r>
        <w:rPr/>
        <w:t>Additional information regarding stock options outstanding as at February 28, 2023 is as follows:</w:t>
      </w:r>
    </w:p>
    <w:tbl>
      <w:tblPr>
        <w:tblW w:w="8374" w:type="dxa"/>
        <w:jc w:val="left"/>
        <w:tblInd w:w="360" w:type="dxa"/>
        <w:tblLayout w:type="fixed"/>
        <w:tblCellMar>
          <w:top w:w="0" w:type="dxa"/>
          <w:left w:w="0" w:type="dxa"/>
          <w:bottom w:w="0" w:type="dxa"/>
          <w:right w:w="0" w:type="dxa"/>
        </w:tblCellMar>
      </w:tblPr>
      <w:tblGrid>
        <w:gridCol w:w="1415"/>
        <w:gridCol w:w="1805"/>
        <w:gridCol w:w="1055"/>
        <w:gridCol w:w="1310"/>
        <w:gridCol w:w="60"/>
        <w:gridCol w:w="1355"/>
        <w:gridCol w:w="1374"/>
      </w:tblGrid>
      <w:tr>
        <w:trPr/>
        <w:tc>
          <w:tcPr>
            <w:tcW w:w="1415" w:type="dxa"/>
            <w:tcBorders/>
            <w:vAlign w:val="center"/>
          </w:tcPr>
          <w:p>
            <w:pPr>
              <w:pStyle w:val="TableContents"/>
              <w:bidi w:val="0"/>
              <w:spacing w:before="0" w:after="283"/>
              <w:jc w:val="center"/>
              <w:rPr/>
            </w:pPr>
            <w:r>
              <w:rPr/>
              <w:t> </w:t>
            </w:r>
          </w:p>
        </w:tc>
        <w:tc>
          <w:tcPr>
            <w:tcW w:w="4170" w:type="dxa"/>
            <w:gridSpan w:val="3"/>
            <w:tcBorders>
              <w:bottom w:val="single" w:sz="6" w:space="0" w:color="000000"/>
            </w:tcBorders>
            <w:tcMar>
              <w:bottom w:w="28" w:type="dxa"/>
            </w:tcMar>
            <w:vAlign w:val="center"/>
          </w:tcPr>
          <w:p>
            <w:pPr>
              <w:pStyle w:val="TableContents"/>
              <w:bidi w:val="0"/>
              <w:spacing w:before="0" w:after="283"/>
              <w:jc w:val="center"/>
              <w:rPr/>
            </w:pPr>
            <w:r>
              <w:rPr/>
              <w:t>Outstanding</w:t>
            </w:r>
          </w:p>
        </w:tc>
        <w:tc>
          <w:tcPr>
            <w:tcW w:w="60" w:type="dxa"/>
            <w:tcBorders/>
            <w:vAlign w:val="center"/>
          </w:tcPr>
          <w:p>
            <w:pPr>
              <w:pStyle w:val="TableContents"/>
              <w:bidi w:val="0"/>
              <w:spacing w:before="0" w:after="283"/>
              <w:jc w:val="center"/>
              <w:rPr/>
            </w:pPr>
            <w:r>
              <w:rPr/>
              <w:t> </w:t>
            </w:r>
          </w:p>
        </w:tc>
        <w:tc>
          <w:tcPr>
            <w:tcW w:w="2729" w:type="dxa"/>
            <w:gridSpan w:val="2"/>
            <w:tcBorders>
              <w:bottom w:val="single" w:sz="6" w:space="0" w:color="000000"/>
            </w:tcBorders>
            <w:tcMar>
              <w:bottom w:w="28" w:type="dxa"/>
            </w:tcMar>
            <w:vAlign w:val="center"/>
          </w:tcPr>
          <w:p>
            <w:pPr>
              <w:pStyle w:val="TableContents"/>
              <w:bidi w:val="0"/>
              <w:spacing w:before="0" w:after="283"/>
              <w:jc w:val="center"/>
              <w:rPr/>
            </w:pPr>
            <w:r>
              <w:rPr/>
              <w:t xml:space="preserve">        </w:t>
            </w:r>
            <w:r>
              <w:rPr/>
              <w:t>Vested        Non-vested</w:t>
            </w:r>
          </w:p>
        </w:tc>
      </w:tr>
      <w:tr>
        <w:trPr/>
        <w:tc>
          <w:tcPr>
            <w:tcW w:w="1415" w:type="dxa"/>
            <w:tcBorders>
              <w:bottom w:val="single" w:sz="6" w:space="0" w:color="000000"/>
            </w:tcBorders>
            <w:tcMar>
              <w:bottom w:w="28" w:type="dxa"/>
            </w:tcMar>
            <w:vAlign w:val="center"/>
          </w:tcPr>
          <w:p>
            <w:pPr>
              <w:pStyle w:val="TableContents"/>
              <w:bidi w:val="0"/>
              <w:spacing w:before="0" w:after="283"/>
              <w:jc w:val="center"/>
              <w:rPr/>
            </w:pPr>
            <w:r>
              <w:rPr/>
              <w:t>Range of</w:t>
              <w:br/>
              <w:t>exercise prices</w:t>
              <w:br/>
              <w:t>$</w:t>
            </w:r>
          </w:p>
        </w:tc>
        <w:tc>
          <w:tcPr>
            <w:tcW w:w="180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Number of options</w:t>
              <w:br/>
              <w:t>outstanding</w:t>
            </w:r>
          </w:p>
        </w:tc>
        <w:tc>
          <w:tcPr>
            <w:tcW w:w="10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Weighted</w:t>
              <w:br/>
              <w:t>average</w:t>
              <w:br/>
              <w:t>remaining</w:t>
              <w:br/>
              <w:t>contractual</w:t>
              <w:br/>
              <w:t>life (years)</w:t>
            </w:r>
          </w:p>
        </w:tc>
        <w:tc>
          <w:tcPr>
            <w:tcW w:w="13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Weighted</w:t>
              <w:br/>
              <w:t>average</w:t>
              <w:br/>
              <w:t>exercise price</w:t>
              <w:br/>
              <w:t>$</w:t>
            </w:r>
          </w:p>
        </w:tc>
        <w:tc>
          <w:tcPr>
            <w:tcW w:w="60" w:type="dxa"/>
            <w:tcBorders/>
            <w:vAlign w:val="center"/>
          </w:tcPr>
          <w:p>
            <w:pPr>
              <w:pStyle w:val="TableContents"/>
              <w:bidi w:val="0"/>
              <w:spacing w:before="0" w:after="283"/>
              <w:jc w:val="center"/>
              <w:rPr/>
            </w:pPr>
            <w:r>
              <w:rPr/>
              <w:t> </w:t>
            </w:r>
          </w:p>
        </w:tc>
        <w:tc>
          <w:tcPr>
            <w:tcW w:w="13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Number of</w:t>
              <w:br/>
              <w:t>options</w:t>
              <w:br/>
              <w:t>outstanding</w:t>
            </w:r>
          </w:p>
        </w:tc>
        <w:tc>
          <w:tcPr>
            <w:tcW w:w="1374"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Number of</w:t>
              <w:br/>
              <w:t>options</w:t>
              <w:br/>
              <w:t>outstanding</w:t>
            </w:r>
          </w:p>
        </w:tc>
      </w:tr>
      <w:tr>
        <w:trPr/>
        <w:tc>
          <w:tcPr>
            <w:tcW w:w="1415" w:type="dxa"/>
            <w:tcBorders>
              <w:top w:val="single" w:sz="6" w:space="0" w:color="000000"/>
            </w:tcBorders>
            <w:tcMar>
              <w:top w:w="28" w:type="dxa"/>
            </w:tcMar>
            <w:vAlign w:val="center"/>
          </w:tcPr>
          <w:p>
            <w:pPr>
              <w:pStyle w:val="TableContents"/>
              <w:bidi w:val="0"/>
              <w:spacing w:before="0" w:after="283"/>
              <w:jc w:val="center"/>
              <w:rPr/>
            </w:pPr>
            <w:r>
              <w:rPr/>
              <w:t> </w:t>
            </w:r>
          </w:p>
        </w:tc>
        <w:tc>
          <w:tcPr>
            <w:tcW w:w="1805" w:type="dxa"/>
            <w:tcBorders>
              <w:top w:val="single" w:sz="6" w:space="0" w:color="000000"/>
            </w:tcBorders>
            <w:tcMar>
              <w:top w:w="28" w:type="dxa"/>
            </w:tcMar>
            <w:vAlign w:val="center"/>
          </w:tcPr>
          <w:p>
            <w:pPr>
              <w:pStyle w:val="TableContents"/>
              <w:bidi w:val="0"/>
              <w:spacing w:before="0" w:after="283"/>
              <w:jc w:val="right"/>
              <w:rPr/>
            </w:pPr>
            <w:r>
              <w:rPr/>
              <w:t> </w:t>
            </w:r>
          </w:p>
        </w:tc>
        <w:tc>
          <w:tcPr>
            <w:tcW w:w="1055" w:type="dxa"/>
            <w:tcBorders/>
            <w:vAlign w:val="center"/>
          </w:tcPr>
          <w:p>
            <w:pPr>
              <w:pStyle w:val="TableContents"/>
              <w:bidi w:val="0"/>
              <w:spacing w:before="0" w:after="283"/>
              <w:jc w:val="right"/>
              <w:rPr/>
            </w:pPr>
            <w:r>
              <w:rPr/>
              <w:t> </w:t>
            </w:r>
          </w:p>
        </w:tc>
        <w:tc>
          <w:tcPr>
            <w:tcW w:w="1310" w:type="dxa"/>
            <w:tcBorders>
              <w:top w:val="single" w:sz="6" w:space="0" w:color="000000"/>
            </w:tcBorders>
            <w:tcMar>
              <w:top w:w="28"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tcMar>
            <w:vAlign w:val="center"/>
          </w:tcPr>
          <w:p>
            <w:pPr>
              <w:pStyle w:val="TableContents"/>
              <w:bidi w:val="0"/>
              <w:spacing w:before="0" w:after="283"/>
              <w:jc w:val="right"/>
              <w:rPr/>
            </w:pPr>
            <w:r>
              <w:rPr/>
              <w:t> </w:t>
            </w:r>
          </w:p>
        </w:tc>
        <w:tc>
          <w:tcPr>
            <w:tcW w:w="1355" w:type="dxa"/>
            <w:tcBorders>
              <w:top w:val="single" w:sz="6" w:space="0" w:color="000000"/>
            </w:tcBorders>
            <w:tcMar>
              <w:top w:w="28" w:type="dxa"/>
            </w:tcMar>
            <w:vAlign w:val="center"/>
          </w:tcPr>
          <w:p>
            <w:pPr>
              <w:pStyle w:val="TableContents"/>
              <w:bidi w:val="0"/>
              <w:spacing w:before="0" w:after="283"/>
              <w:jc w:val="right"/>
              <w:rPr/>
            </w:pPr>
            <w:r>
              <w:rPr/>
              <w:t> </w:t>
            </w:r>
          </w:p>
        </w:tc>
        <w:tc>
          <w:tcPr>
            <w:tcW w:w="1374" w:type="dxa"/>
            <w:tcBorders>
              <w:top w:val="single" w:sz="6" w:space="0" w:color="000000"/>
            </w:tcBorders>
            <w:tcMar>
              <w:top w:w="28" w:type="dxa"/>
            </w:tcMar>
            <w:vAlign w:val="center"/>
          </w:tcPr>
          <w:p>
            <w:pPr>
              <w:pStyle w:val="TableContents"/>
              <w:bidi w:val="0"/>
              <w:spacing w:before="0" w:after="283"/>
              <w:jc w:val="right"/>
              <w:rPr/>
            </w:pPr>
            <w:r>
              <w:rPr/>
              <w:t> </w:t>
            </w:r>
          </w:p>
        </w:tc>
      </w:tr>
      <w:tr>
        <w:trPr/>
        <w:tc>
          <w:tcPr>
            <w:tcW w:w="1415" w:type="dxa"/>
            <w:tcBorders/>
            <w:shd w:fill="E6EFFF" w:val="clear"/>
            <w:vAlign w:val="center"/>
          </w:tcPr>
          <w:p>
            <w:pPr>
              <w:pStyle w:val="TableContents"/>
              <w:bidi w:val="0"/>
              <w:spacing w:before="0" w:after="283"/>
              <w:jc w:val="center"/>
              <w:rPr/>
            </w:pPr>
            <w:r>
              <w:rPr/>
              <w:t>0.0175</w:t>
            </w:r>
          </w:p>
        </w:tc>
        <w:tc>
          <w:tcPr>
            <w:tcW w:w="1805" w:type="dxa"/>
            <w:tcBorders/>
            <w:shd w:fill="E6EFFF" w:val="clear"/>
            <w:vAlign w:val="center"/>
          </w:tcPr>
          <w:p>
            <w:pPr>
              <w:pStyle w:val="TableContents"/>
              <w:bidi w:val="0"/>
              <w:spacing w:before="0" w:after="283"/>
              <w:jc w:val="right"/>
              <w:rPr/>
            </w:pPr>
            <w:r>
              <w:rPr/>
              <w:t>9,160,100</w:t>
            </w:r>
          </w:p>
        </w:tc>
        <w:tc>
          <w:tcPr>
            <w:tcW w:w="1055" w:type="dxa"/>
            <w:tcBorders/>
            <w:shd w:fill="E6EFFF" w:val="clear"/>
            <w:vAlign w:val="center"/>
          </w:tcPr>
          <w:p>
            <w:pPr>
              <w:pStyle w:val="TableContents"/>
              <w:bidi w:val="0"/>
              <w:spacing w:before="0" w:after="283"/>
              <w:jc w:val="center"/>
              <w:rPr/>
            </w:pPr>
            <w:r>
              <w:rPr/>
              <w:t>7.8</w:t>
            </w:r>
          </w:p>
        </w:tc>
        <w:tc>
          <w:tcPr>
            <w:tcW w:w="1310" w:type="dxa"/>
            <w:tcBorders/>
            <w:shd w:fill="E6EFFF" w:val="clear"/>
            <w:vAlign w:val="center"/>
          </w:tcPr>
          <w:p>
            <w:pPr>
              <w:pStyle w:val="TableContents"/>
              <w:bidi w:val="0"/>
              <w:spacing w:before="0" w:after="283"/>
              <w:jc w:val="center"/>
              <w:rPr/>
            </w:pPr>
            <w:r>
              <w:rPr/>
              <w:t>0.0175</w:t>
            </w:r>
          </w:p>
        </w:tc>
        <w:tc>
          <w:tcPr>
            <w:tcW w:w="60" w:type="dxa"/>
            <w:tcBorders/>
            <w:shd w:fill="E6EFFF" w:val="clear"/>
            <w:vAlign w:val="center"/>
          </w:tcPr>
          <w:p>
            <w:pPr>
              <w:pStyle w:val="TableContents"/>
              <w:bidi w:val="0"/>
              <w:spacing w:before="0" w:after="283"/>
              <w:jc w:val="right"/>
              <w:rPr/>
            </w:pPr>
            <w:r>
              <w:rPr/>
              <w:t> </w:t>
            </w:r>
          </w:p>
        </w:tc>
        <w:tc>
          <w:tcPr>
            <w:tcW w:w="1355" w:type="dxa"/>
            <w:tcBorders/>
            <w:shd w:fill="E6EFFF" w:val="clear"/>
            <w:vAlign w:val="center"/>
          </w:tcPr>
          <w:p>
            <w:pPr>
              <w:pStyle w:val="TableContents"/>
              <w:bidi w:val="0"/>
              <w:spacing w:before="0" w:after="283"/>
              <w:jc w:val="right"/>
              <w:rPr/>
            </w:pPr>
            <w:r>
              <w:rPr/>
              <w:t>9,160,100</w:t>
            </w:r>
          </w:p>
        </w:tc>
        <w:tc>
          <w:tcPr>
            <w:tcW w:w="1374" w:type="dxa"/>
            <w:tcBorders/>
            <w:shd w:fill="E6EFFF" w:val="clear"/>
            <w:vAlign w:val="center"/>
          </w:tcPr>
          <w:p>
            <w:pPr>
              <w:pStyle w:val="TableContents"/>
              <w:bidi w:val="0"/>
              <w:spacing w:before="0" w:after="283"/>
              <w:jc w:val="right"/>
              <w:rPr/>
            </w:pPr>
            <w:r>
              <w:rPr/>
              <w:t>-</w:t>
            </w:r>
          </w:p>
        </w:tc>
      </w:tr>
      <w:tr>
        <w:trPr/>
        <w:tc>
          <w:tcPr>
            <w:tcW w:w="1415" w:type="dxa"/>
            <w:tcBorders/>
            <w:vAlign w:val="center"/>
          </w:tcPr>
          <w:p>
            <w:pPr>
              <w:pStyle w:val="TableContents"/>
              <w:bidi w:val="0"/>
              <w:spacing w:before="0" w:after="283"/>
              <w:jc w:val="center"/>
              <w:rPr/>
            </w:pPr>
            <w:r>
              <w:rPr/>
              <w:t>0.0035</w:t>
            </w:r>
          </w:p>
        </w:tc>
        <w:tc>
          <w:tcPr>
            <w:tcW w:w="1805" w:type="dxa"/>
            <w:tcBorders/>
            <w:vAlign w:val="center"/>
          </w:tcPr>
          <w:p>
            <w:pPr>
              <w:pStyle w:val="TableContents"/>
              <w:bidi w:val="0"/>
              <w:spacing w:before="0" w:after="283"/>
              <w:jc w:val="right"/>
              <w:rPr/>
            </w:pPr>
            <w:r>
              <w:rPr/>
              <w:t>2,891,300</w:t>
            </w:r>
          </w:p>
        </w:tc>
        <w:tc>
          <w:tcPr>
            <w:tcW w:w="1055" w:type="dxa"/>
            <w:tcBorders/>
            <w:vAlign w:val="center"/>
          </w:tcPr>
          <w:p>
            <w:pPr>
              <w:pStyle w:val="TableContents"/>
              <w:bidi w:val="0"/>
              <w:spacing w:before="0" w:after="283"/>
              <w:jc w:val="center"/>
              <w:rPr/>
            </w:pPr>
            <w:r>
              <w:rPr/>
              <w:t>7.1</w:t>
            </w:r>
          </w:p>
        </w:tc>
        <w:tc>
          <w:tcPr>
            <w:tcW w:w="1310" w:type="dxa"/>
            <w:tcBorders/>
            <w:vAlign w:val="center"/>
          </w:tcPr>
          <w:p>
            <w:pPr>
              <w:pStyle w:val="TableContents"/>
              <w:bidi w:val="0"/>
              <w:spacing w:before="0" w:after="283"/>
              <w:jc w:val="center"/>
              <w:rPr/>
            </w:pPr>
            <w:r>
              <w:rPr/>
              <w:t>0.0035</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pPr>
            <w:r>
              <w:rPr/>
              <w:t>2,891,300</w:t>
            </w:r>
          </w:p>
        </w:tc>
        <w:tc>
          <w:tcPr>
            <w:tcW w:w="1374" w:type="dxa"/>
            <w:tcBorders/>
            <w:vAlign w:val="center"/>
          </w:tcPr>
          <w:p>
            <w:pPr>
              <w:pStyle w:val="TableContents"/>
              <w:bidi w:val="0"/>
              <w:spacing w:before="0" w:after="283"/>
              <w:jc w:val="right"/>
              <w:rPr/>
            </w:pPr>
            <w:r>
              <w:rPr/>
              <w:t>-</w:t>
            </w:r>
          </w:p>
        </w:tc>
      </w:tr>
      <w:tr>
        <w:trPr/>
        <w:tc>
          <w:tcPr>
            <w:tcW w:w="1415" w:type="dxa"/>
            <w:tcBorders/>
            <w:shd w:fill="E6EFFF" w:val="clear"/>
            <w:vAlign w:val="center"/>
          </w:tcPr>
          <w:p>
            <w:pPr>
              <w:pStyle w:val="TableContents"/>
              <w:bidi w:val="0"/>
              <w:spacing w:before="0" w:after="283"/>
              <w:jc w:val="center"/>
              <w:rPr/>
            </w:pPr>
            <w:r>
              <w:rPr/>
              <w:t>0.49</w:t>
            </w:r>
          </w:p>
        </w:tc>
        <w:tc>
          <w:tcPr>
            <w:tcW w:w="1805" w:type="dxa"/>
            <w:tcBorders/>
            <w:shd w:fill="E6EFFF" w:val="clear"/>
            <w:vAlign w:val="center"/>
          </w:tcPr>
          <w:p>
            <w:pPr>
              <w:pStyle w:val="TableContents"/>
              <w:bidi w:val="0"/>
              <w:spacing w:before="0" w:after="283"/>
              <w:jc w:val="right"/>
              <w:rPr/>
            </w:pPr>
            <w:r>
              <w:rPr/>
              <w:t>1,090,000</w:t>
            </w:r>
          </w:p>
        </w:tc>
        <w:tc>
          <w:tcPr>
            <w:tcW w:w="1055" w:type="dxa"/>
            <w:tcBorders/>
            <w:shd w:fill="E6EFFF" w:val="clear"/>
            <w:vAlign w:val="center"/>
          </w:tcPr>
          <w:p>
            <w:pPr>
              <w:pStyle w:val="TableContents"/>
              <w:bidi w:val="0"/>
              <w:spacing w:before="0" w:after="283"/>
              <w:jc w:val="center"/>
              <w:rPr/>
            </w:pPr>
            <w:r>
              <w:rPr/>
              <w:t>8.4</w:t>
            </w:r>
          </w:p>
        </w:tc>
        <w:tc>
          <w:tcPr>
            <w:tcW w:w="1310" w:type="dxa"/>
            <w:tcBorders/>
            <w:shd w:fill="E6EFFF" w:val="clear"/>
            <w:vAlign w:val="center"/>
          </w:tcPr>
          <w:p>
            <w:pPr>
              <w:pStyle w:val="TableContents"/>
              <w:bidi w:val="0"/>
              <w:spacing w:before="0" w:after="283"/>
              <w:jc w:val="center"/>
              <w:rPr/>
            </w:pPr>
            <w:r>
              <w:rPr/>
              <w:t>0.49</w:t>
            </w:r>
          </w:p>
        </w:tc>
        <w:tc>
          <w:tcPr>
            <w:tcW w:w="60" w:type="dxa"/>
            <w:tcBorders/>
            <w:shd w:fill="E6EFFF" w:val="clear"/>
            <w:vAlign w:val="center"/>
          </w:tcPr>
          <w:p>
            <w:pPr>
              <w:pStyle w:val="TableContents"/>
              <w:bidi w:val="0"/>
              <w:spacing w:before="0" w:after="283"/>
              <w:jc w:val="right"/>
              <w:rPr/>
            </w:pPr>
            <w:r>
              <w:rPr/>
              <w:t> </w:t>
            </w:r>
          </w:p>
        </w:tc>
        <w:tc>
          <w:tcPr>
            <w:tcW w:w="1355" w:type="dxa"/>
            <w:tcBorders/>
            <w:shd w:fill="E6EFFF" w:val="clear"/>
            <w:vAlign w:val="center"/>
          </w:tcPr>
          <w:p>
            <w:pPr>
              <w:pStyle w:val="TableContents"/>
              <w:bidi w:val="0"/>
              <w:spacing w:before="0" w:after="283"/>
              <w:jc w:val="right"/>
              <w:rPr/>
            </w:pPr>
            <w:r>
              <w:rPr/>
              <w:t>1,090,000</w:t>
            </w:r>
          </w:p>
        </w:tc>
        <w:tc>
          <w:tcPr>
            <w:tcW w:w="1374" w:type="dxa"/>
            <w:tcBorders/>
            <w:shd w:fill="E6EFFF" w:val="clear"/>
            <w:vAlign w:val="center"/>
          </w:tcPr>
          <w:p>
            <w:pPr>
              <w:pStyle w:val="TableContents"/>
              <w:bidi w:val="0"/>
              <w:spacing w:before="0" w:after="283"/>
              <w:jc w:val="right"/>
              <w:rPr/>
            </w:pPr>
            <w:r>
              <w:rPr/>
              <w:t>-</w:t>
            </w:r>
          </w:p>
        </w:tc>
      </w:tr>
      <w:tr>
        <w:trPr/>
        <w:tc>
          <w:tcPr>
            <w:tcW w:w="1415" w:type="dxa"/>
            <w:tcBorders/>
            <w:vAlign w:val="center"/>
          </w:tcPr>
          <w:p>
            <w:pPr>
              <w:pStyle w:val="TableContents"/>
              <w:bidi w:val="0"/>
              <w:spacing w:before="0" w:after="283"/>
              <w:jc w:val="center"/>
              <w:rPr/>
            </w:pPr>
            <w:r>
              <w:rPr/>
              <w:t>0.40</w:t>
            </w:r>
          </w:p>
        </w:tc>
        <w:tc>
          <w:tcPr>
            <w:tcW w:w="1805" w:type="dxa"/>
            <w:tcBorders/>
            <w:vAlign w:val="center"/>
          </w:tcPr>
          <w:p>
            <w:pPr>
              <w:pStyle w:val="TableContents"/>
              <w:bidi w:val="0"/>
              <w:spacing w:before="0" w:after="283"/>
              <w:jc w:val="right"/>
              <w:rPr/>
            </w:pPr>
            <w:r>
              <w:rPr/>
              <w:t>150,000</w:t>
            </w:r>
          </w:p>
        </w:tc>
        <w:tc>
          <w:tcPr>
            <w:tcW w:w="1055" w:type="dxa"/>
            <w:tcBorders/>
            <w:vAlign w:val="center"/>
          </w:tcPr>
          <w:p>
            <w:pPr>
              <w:pStyle w:val="TableContents"/>
              <w:bidi w:val="0"/>
              <w:spacing w:before="0" w:after="283"/>
              <w:jc w:val="center"/>
              <w:rPr/>
            </w:pPr>
            <w:r>
              <w:rPr/>
              <w:t>8.5</w:t>
            </w:r>
          </w:p>
        </w:tc>
        <w:tc>
          <w:tcPr>
            <w:tcW w:w="1310" w:type="dxa"/>
            <w:tcBorders/>
            <w:vAlign w:val="center"/>
          </w:tcPr>
          <w:p>
            <w:pPr>
              <w:pStyle w:val="TableContents"/>
              <w:bidi w:val="0"/>
              <w:spacing w:before="0" w:after="283"/>
              <w:jc w:val="center"/>
              <w:rPr/>
            </w:pPr>
            <w:r>
              <w:rPr/>
              <w:t>0.40</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pPr>
            <w:r>
              <w:rPr/>
              <w:t>150,000</w:t>
            </w:r>
          </w:p>
        </w:tc>
        <w:tc>
          <w:tcPr>
            <w:tcW w:w="1374" w:type="dxa"/>
            <w:tcBorders/>
            <w:vAlign w:val="center"/>
          </w:tcPr>
          <w:p>
            <w:pPr>
              <w:pStyle w:val="TableContents"/>
              <w:bidi w:val="0"/>
              <w:spacing w:before="0" w:after="283"/>
              <w:jc w:val="right"/>
              <w:rPr/>
            </w:pPr>
            <w:r>
              <w:rPr/>
              <w:t>-</w:t>
            </w:r>
          </w:p>
        </w:tc>
      </w:tr>
      <w:tr>
        <w:trPr/>
        <w:tc>
          <w:tcPr>
            <w:tcW w:w="1415" w:type="dxa"/>
            <w:tcBorders/>
            <w:shd w:fill="E6EFFF" w:val="clear"/>
            <w:vAlign w:val="center"/>
          </w:tcPr>
          <w:p>
            <w:pPr>
              <w:pStyle w:val="TableContents"/>
              <w:bidi w:val="0"/>
              <w:spacing w:before="0" w:after="283"/>
              <w:jc w:val="center"/>
              <w:rPr/>
            </w:pPr>
            <w:r>
              <w:rPr/>
              <w:t>0.435</w:t>
            </w:r>
          </w:p>
        </w:tc>
        <w:tc>
          <w:tcPr>
            <w:tcW w:w="1805" w:type="dxa"/>
            <w:tcBorders/>
            <w:shd w:fill="E6EFFF" w:val="clear"/>
            <w:vAlign w:val="center"/>
          </w:tcPr>
          <w:p>
            <w:pPr>
              <w:pStyle w:val="TableContents"/>
              <w:bidi w:val="0"/>
              <w:spacing w:before="0" w:after="283"/>
              <w:jc w:val="right"/>
              <w:rPr/>
            </w:pPr>
            <w:r>
              <w:rPr/>
              <w:t>30,000</w:t>
            </w:r>
          </w:p>
        </w:tc>
        <w:tc>
          <w:tcPr>
            <w:tcW w:w="1055" w:type="dxa"/>
            <w:tcBorders/>
            <w:shd w:fill="E6EFFF" w:val="clear"/>
            <w:vAlign w:val="center"/>
          </w:tcPr>
          <w:p>
            <w:pPr>
              <w:pStyle w:val="TableContents"/>
              <w:bidi w:val="0"/>
              <w:spacing w:before="0" w:after="283"/>
              <w:jc w:val="center"/>
              <w:rPr/>
            </w:pPr>
            <w:r>
              <w:rPr/>
              <w:t>8.7</w:t>
            </w:r>
          </w:p>
        </w:tc>
        <w:tc>
          <w:tcPr>
            <w:tcW w:w="1310" w:type="dxa"/>
            <w:tcBorders/>
            <w:shd w:fill="E6EFFF" w:val="clear"/>
            <w:vAlign w:val="center"/>
          </w:tcPr>
          <w:p>
            <w:pPr>
              <w:pStyle w:val="TableContents"/>
              <w:bidi w:val="0"/>
              <w:spacing w:before="0" w:after="283"/>
              <w:jc w:val="center"/>
              <w:rPr/>
            </w:pPr>
            <w:r>
              <w:rPr/>
              <w:t>0.435</w:t>
            </w:r>
          </w:p>
        </w:tc>
        <w:tc>
          <w:tcPr>
            <w:tcW w:w="60" w:type="dxa"/>
            <w:tcBorders/>
            <w:shd w:fill="E6EFFF" w:val="clear"/>
            <w:vAlign w:val="center"/>
          </w:tcPr>
          <w:p>
            <w:pPr>
              <w:pStyle w:val="TableContents"/>
              <w:bidi w:val="0"/>
              <w:spacing w:before="0" w:after="283"/>
              <w:jc w:val="right"/>
              <w:rPr/>
            </w:pPr>
            <w:r>
              <w:rPr/>
              <w:t> </w:t>
            </w:r>
          </w:p>
        </w:tc>
        <w:tc>
          <w:tcPr>
            <w:tcW w:w="1355" w:type="dxa"/>
            <w:tcBorders/>
            <w:shd w:fill="E6EFFF" w:val="clear"/>
            <w:vAlign w:val="center"/>
          </w:tcPr>
          <w:p>
            <w:pPr>
              <w:pStyle w:val="TableContents"/>
              <w:bidi w:val="0"/>
              <w:spacing w:before="0" w:after="283"/>
              <w:jc w:val="right"/>
              <w:rPr/>
            </w:pPr>
            <w:r>
              <w:rPr/>
              <w:t>30,000</w:t>
            </w:r>
          </w:p>
        </w:tc>
        <w:tc>
          <w:tcPr>
            <w:tcW w:w="1374" w:type="dxa"/>
            <w:tcBorders/>
            <w:shd w:fill="E6EFFF" w:val="clear"/>
            <w:vAlign w:val="center"/>
          </w:tcPr>
          <w:p>
            <w:pPr>
              <w:pStyle w:val="TableContents"/>
              <w:bidi w:val="0"/>
              <w:spacing w:before="0" w:after="283"/>
              <w:jc w:val="right"/>
              <w:rPr/>
            </w:pPr>
            <w:r>
              <w:rPr/>
              <w:t>-</w:t>
            </w:r>
          </w:p>
        </w:tc>
      </w:tr>
      <w:tr>
        <w:trPr/>
        <w:tc>
          <w:tcPr>
            <w:tcW w:w="1415" w:type="dxa"/>
            <w:tcBorders/>
            <w:vAlign w:val="center"/>
          </w:tcPr>
          <w:p>
            <w:pPr>
              <w:pStyle w:val="TableContents"/>
              <w:bidi w:val="0"/>
              <w:spacing w:before="0" w:after="283"/>
              <w:jc w:val="center"/>
              <w:rPr/>
            </w:pPr>
            <w:r>
              <w:rPr/>
              <w:t>0.245</w:t>
            </w:r>
          </w:p>
        </w:tc>
        <w:tc>
          <w:tcPr>
            <w:tcW w:w="1805" w:type="dxa"/>
            <w:tcBorders/>
            <w:vAlign w:val="center"/>
          </w:tcPr>
          <w:p>
            <w:pPr>
              <w:pStyle w:val="TableContents"/>
              <w:bidi w:val="0"/>
              <w:spacing w:before="0" w:after="283"/>
              <w:jc w:val="right"/>
              <w:rPr/>
            </w:pPr>
            <w:r>
              <w:rPr/>
              <w:t>1,700,000</w:t>
            </w:r>
          </w:p>
        </w:tc>
        <w:tc>
          <w:tcPr>
            <w:tcW w:w="1055" w:type="dxa"/>
            <w:tcBorders/>
            <w:vAlign w:val="center"/>
          </w:tcPr>
          <w:p>
            <w:pPr>
              <w:pStyle w:val="TableContents"/>
              <w:bidi w:val="0"/>
              <w:spacing w:before="0" w:after="283"/>
              <w:jc w:val="center"/>
              <w:rPr/>
            </w:pPr>
            <w:r>
              <w:rPr/>
              <w:t>8.9</w:t>
            </w:r>
          </w:p>
        </w:tc>
        <w:tc>
          <w:tcPr>
            <w:tcW w:w="1310" w:type="dxa"/>
            <w:tcBorders/>
            <w:vAlign w:val="center"/>
          </w:tcPr>
          <w:p>
            <w:pPr>
              <w:pStyle w:val="TableContents"/>
              <w:bidi w:val="0"/>
              <w:spacing w:before="0" w:after="283"/>
              <w:jc w:val="center"/>
              <w:rPr/>
            </w:pPr>
            <w:r>
              <w:rPr/>
              <w:t>0.245</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pPr>
            <w:r>
              <w:rPr/>
              <w:t>212,500</w:t>
            </w:r>
          </w:p>
        </w:tc>
        <w:tc>
          <w:tcPr>
            <w:tcW w:w="1374" w:type="dxa"/>
            <w:tcBorders/>
            <w:vAlign w:val="center"/>
          </w:tcPr>
          <w:p>
            <w:pPr>
              <w:pStyle w:val="TableContents"/>
              <w:bidi w:val="0"/>
              <w:spacing w:before="0" w:after="283"/>
              <w:jc w:val="right"/>
              <w:rPr/>
            </w:pPr>
            <w:r>
              <w:rPr/>
              <w:t>1,487,500</w:t>
            </w:r>
          </w:p>
        </w:tc>
      </w:tr>
      <w:tr>
        <w:trPr/>
        <w:tc>
          <w:tcPr>
            <w:tcW w:w="1415" w:type="dxa"/>
            <w:tcBorders/>
            <w:shd w:fill="E6EFFF" w:val="clear"/>
            <w:vAlign w:val="center"/>
          </w:tcPr>
          <w:p>
            <w:pPr>
              <w:pStyle w:val="TableContents"/>
              <w:bidi w:val="0"/>
              <w:spacing w:before="0" w:after="283"/>
              <w:jc w:val="center"/>
              <w:rPr/>
            </w:pPr>
            <w:r>
              <w:rPr/>
              <w:t>0.30</w:t>
            </w:r>
          </w:p>
        </w:tc>
        <w:tc>
          <w:tcPr>
            <w:tcW w:w="1805" w:type="dxa"/>
            <w:tcBorders/>
            <w:shd w:fill="E6EFFF" w:val="clear"/>
            <w:vAlign w:val="center"/>
          </w:tcPr>
          <w:p>
            <w:pPr>
              <w:pStyle w:val="TableContents"/>
              <w:bidi w:val="0"/>
              <w:spacing w:before="0" w:after="283"/>
              <w:jc w:val="right"/>
              <w:rPr/>
            </w:pPr>
            <w:r>
              <w:rPr/>
              <w:t>1,075,000</w:t>
            </w:r>
          </w:p>
        </w:tc>
        <w:tc>
          <w:tcPr>
            <w:tcW w:w="1055" w:type="dxa"/>
            <w:tcBorders/>
            <w:shd w:fill="E6EFFF" w:val="clear"/>
            <w:vAlign w:val="center"/>
          </w:tcPr>
          <w:p>
            <w:pPr>
              <w:pStyle w:val="TableContents"/>
              <w:bidi w:val="0"/>
              <w:spacing w:before="0" w:after="283"/>
              <w:jc w:val="center"/>
              <w:rPr/>
            </w:pPr>
            <w:r>
              <w:rPr/>
              <w:t>9.0</w:t>
            </w:r>
          </w:p>
        </w:tc>
        <w:tc>
          <w:tcPr>
            <w:tcW w:w="1310" w:type="dxa"/>
            <w:tcBorders/>
            <w:shd w:fill="E6EFFF" w:val="clear"/>
            <w:vAlign w:val="center"/>
          </w:tcPr>
          <w:p>
            <w:pPr>
              <w:pStyle w:val="TableContents"/>
              <w:bidi w:val="0"/>
              <w:spacing w:before="0" w:after="283"/>
              <w:jc w:val="center"/>
              <w:rPr/>
            </w:pPr>
            <w:r>
              <w:rPr/>
              <w:t>0.30</w:t>
            </w:r>
          </w:p>
        </w:tc>
        <w:tc>
          <w:tcPr>
            <w:tcW w:w="60" w:type="dxa"/>
            <w:tcBorders/>
            <w:shd w:fill="E6EFFF" w:val="clear"/>
            <w:vAlign w:val="center"/>
          </w:tcPr>
          <w:p>
            <w:pPr>
              <w:pStyle w:val="TableContents"/>
              <w:bidi w:val="0"/>
              <w:spacing w:before="0" w:after="283"/>
              <w:jc w:val="right"/>
              <w:rPr/>
            </w:pPr>
            <w:r>
              <w:rPr/>
              <w:t> </w:t>
            </w:r>
          </w:p>
        </w:tc>
        <w:tc>
          <w:tcPr>
            <w:tcW w:w="1355" w:type="dxa"/>
            <w:tcBorders/>
            <w:shd w:fill="E6EFFF" w:val="clear"/>
            <w:vAlign w:val="center"/>
          </w:tcPr>
          <w:p>
            <w:pPr>
              <w:pStyle w:val="TableContents"/>
              <w:bidi w:val="0"/>
              <w:spacing w:before="0" w:after="283"/>
              <w:jc w:val="right"/>
              <w:rPr/>
            </w:pPr>
            <w:r>
              <w:rPr/>
              <w:t>134,375</w:t>
            </w:r>
          </w:p>
        </w:tc>
        <w:tc>
          <w:tcPr>
            <w:tcW w:w="1374" w:type="dxa"/>
            <w:tcBorders/>
            <w:shd w:fill="E6EFFF" w:val="clear"/>
            <w:vAlign w:val="center"/>
          </w:tcPr>
          <w:p>
            <w:pPr>
              <w:pStyle w:val="TableContents"/>
              <w:bidi w:val="0"/>
              <w:spacing w:before="0" w:after="283"/>
              <w:jc w:val="right"/>
              <w:rPr/>
            </w:pPr>
            <w:r>
              <w:rPr/>
              <w:t>940,625</w:t>
            </w:r>
          </w:p>
        </w:tc>
      </w:tr>
      <w:tr>
        <w:trPr/>
        <w:tc>
          <w:tcPr>
            <w:tcW w:w="1415" w:type="dxa"/>
            <w:tcBorders/>
            <w:vAlign w:val="center"/>
          </w:tcPr>
          <w:p>
            <w:pPr>
              <w:pStyle w:val="TableContents"/>
              <w:bidi w:val="0"/>
              <w:spacing w:before="0" w:after="283"/>
              <w:jc w:val="center"/>
              <w:rPr/>
            </w:pPr>
            <w:r>
              <w:rPr/>
              <w:t>0.175</w:t>
            </w:r>
          </w:p>
        </w:tc>
        <w:tc>
          <w:tcPr>
            <w:tcW w:w="1805" w:type="dxa"/>
            <w:tcBorders/>
            <w:vAlign w:val="center"/>
          </w:tcPr>
          <w:p>
            <w:pPr>
              <w:pStyle w:val="TableContents"/>
              <w:bidi w:val="0"/>
              <w:spacing w:before="0" w:after="283"/>
              <w:jc w:val="right"/>
              <w:rPr/>
            </w:pPr>
            <w:r>
              <w:rPr/>
              <w:t>6,300,000</w:t>
            </w:r>
          </w:p>
        </w:tc>
        <w:tc>
          <w:tcPr>
            <w:tcW w:w="1055" w:type="dxa"/>
            <w:tcBorders/>
            <w:vAlign w:val="center"/>
          </w:tcPr>
          <w:p>
            <w:pPr>
              <w:pStyle w:val="TableContents"/>
              <w:bidi w:val="0"/>
              <w:spacing w:before="0" w:after="283"/>
              <w:jc w:val="center"/>
              <w:rPr/>
            </w:pPr>
            <w:r>
              <w:rPr/>
              <w:t>9.3</w:t>
            </w:r>
          </w:p>
        </w:tc>
        <w:tc>
          <w:tcPr>
            <w:tcW w:w="1310" w:type="dxa"/>
            <w:tcBorders/>
            <w:vAlign w:val="center"/>
          </w:tcPr>
          <w:p>
            <w:pPr>
              <w:pStyle w:val="TableContents"/>
              <w:bidi w:val="0"/>
              <w:spacing w:before="0" w:after="283"/>
              <w:jc w:val="center"/>
              <w:rPr/>
            </w:pPr>
            <w:r>
              <w:rPr/>
              <w:t>0.175</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pPr>
            <w:r>
              <w:rPr/>
              <w:t>6,300,000</w:t>
            </w:r>
          </w:p>
        </w:tc>
        <w:tc>
          <w:tcPr>
            <w:tcW w:w="1374" w:type="dxa"/>
            <w:tcBorders/>
            <w:vAlign w:val="center"/>
          </w:tcPr>
          <w:p>
            <w:pPr>
              <w:pStyle w:val="TableContents"/>
              <w:bidi w:val="0"/>
              <w:spacing w:before="0" w:after="283"/>
              <w:jc w:val="right"/>
              <w:rPr/>
            </w:pPr>
            <w:r>
              <w:rPr/>
              <w:t>-</w:t>
            </w:r>
          </w:p>
        </w:tc>
      </w:tr>
      <w:tr>
        <w:trPr/>
        <w:tc>
          <w:tcPr>
            <w:tcW w:w="1415" w:type="dxa"/>
            <w:tcBorders>
              <w:bottom w:val="single" w:sz="6" w:space="0" w:color="000000"/>
            </w:tcBorders>
            <w:shd w:fill="E6EFFF" w:val="clear"/>
            <w:tcMar>
              <w:bottom w:w="28" w:type="dxa"/>
            </w:tcMar>
            <w:vAlign w:val="center"/>
          </w:tcPr>
          <w:p>
            <w:pPr>
              <w:pStyle w:val="TableContents"/>
              <w:bidi w:val="0"/>
              <w:spacing w:before="0" w:after="283"/>
              <w:jc w:val="center"/>
              <w:rPr/>
            </w:pPr>
            <w:r>
              <w:rPr/>
              <w:t>0.105</w:t>
            </w:r>
          </w:p>
        </w:tc>
        <w:tc>
          <w:tcPr>
            <w:tcW w:w="1805" w:type="dxa"/>
            <w:tcBorders>
              <w:bottom w:val="single" w:sz="6" w:space="0" w:color="000000"/>
            </w:tcBorders>
            <w:shd w:fill="E6EFFF" w:val="clear"/>
            <w:tcMar>
              <w:bottom w:w="28" w:type="dxa"/>
            </w:tcMar>
            <w:vAlign w:val="center"/>
          </w:tcPr>
          <w:p>
            <w:pPr>
              <w:pStyle w:val="TableContents"/>
              <w:bidi w:val="0"/>
              <w:spacing w:before="0" w:after="283"/>
              <w:jc w:val="right"/>
              <w:rPr/>
            </w:pPr>
            <w:r>
              <w:rPr/>
              <w:t>1,000,000</w:t>
            </w:r>
          </w:p>
        </w:tc>
        <w:tc>
          <w:tcPr>
            <w:tcW w:w="1055" w:type="dxa"/>
            <w:tcBorders>
              <w:bottom w:val="single" w:sz="6" w:space="0" w:color="000000"/>
            </w:tcBorders>
            <w:shd w:fill="E6EFFF" w:val="clear"/>
            <w:tcMar>
              <w:bottom w:w="28" w:type="dxa"/>
            </w:tcMar>
            <w:vAlign w:val="center"/>
          </w:tcPr>
          <w:p>
            <w:pPr>
              <w:pStyle w:val="TableContents"/>
              <w:bidi w:val="0"/>
              <w:spacing w:before="0" w:after="283"/>
              <w:jc w:val="center"/>
              <w:rPr/>
            </w:pPr>
            <w:r>
              <w:rPr/>
              <w:t>9.4</w:t>
            </w:r>
          </w:p>
        </w:tc>
        <w:tc>
          <w:tcPr>
            <w:tcW w:w="1310" w:type="dxa"/>
            <w:tcBorders>
              <w:bottom w:val="single" w:sz="6" w:space="0" w:color="000000"/>
            </w:tcBorders>
            <w:shd w:fill="E6EFFF" w:val="clear"/>
            <w:tcMar>
              <w:bottom w:w="28" w:type="dxa"/>
            </w:tcMar>
            <w:vAlign w:val="center"/>
          </w:tcPr>
          <w:p>
            <w:pPr>
              <w:pStyle w:val="TableContents"/>
              <w:bidi w:val="0"/>
              <w:spacing w:before="0" w:after="283"/>
              <w:jc w:val="center"/>
              <w:rPr/>
            </w:pPr>
            <w:r>
              <w:rPr/>
              <w:t>0.105</w:t>
            </w:r>
          </w:p>
        </w:tc>
        <w:tc>
          <w:tcPr>
            <w:tcW w:w="60" w:type="dxa"/>
            <w:tcBorders>
              <w:bottom w:val="single" w:sz="6" w:space="0" w:color="000000"/>
            </w:tcBorders>
            <w:shd w:fill="E6EFFF" w:val="clear"/>
            <w:tcMar>
              <w:bottom w:w="28" w:type="dxa"/>
            </w:tcMar>
            <w:vAlign w:val="center"/>
          </w:tcPr>
          <w:p>
            <w:pPr>
              <w:pStyle w:val="TableContents"/>
              <w:bidi w:val="0"/>
              <w:spacing w:before="0" w:after="283"/>
              <w:jc w:val="right"/>
              <w:rPr/>
            </w:pPr>
            <w:r>
              <w:rPr/>
              <w:t> </w:t>
            </w:r>
          </w:p>
        </w:tc>
        <w:tc>
          <w:tcPr>
            <w:tcW w:w="1355" w:type="dxa"/>
            <w:tcBorders>
              <w:bottom w:val="single" w:sz="6" w:space="0" w:color="000000"/>
            </w:tcBorders>
            <w:shd w:fill="E6EFFF" w:val="clear"/>
            <w:tcMar>
              <w:bottom w:w="28" w:type="dxa"/>
            </w:tcMar>
            <w:vAlign w:val="center"/>
          </w:tcPr>
          <w:p>
            <w:pPr>
              <w:pStyle w:val="TableContents"/>
              <w:bidi w:val="0"/>
              <w:spacing w:before="0" w:after="283"/>
              <w:jc w:val="right"/>
              <w:rPr/>
            </w:pPr>
            <w:r>
              <w:rPr/>
              <w:t>750,000</w:t>
            </w:r>
          </w:p>
        </w:tc>
        <w:tc>
          <w:tcPr>
            <w:tcW w:w="1374" w:type="dxa"/>
            <w:tcBorders>
              <w:bottom w:val="single" w:sz="6" w:space="0" w:color="000000"/>
            </w:tcBorders>
            <w:shd w:fill="E6EFFF" w:val="clear"/>
            <w:tcMar>
              <w:bottom w:w="28" w:type="dxa"/>
            </w:tcMar>
            <w:vAlign w:val="center"/>
          </w:tcPr>
          <w:p>
            <w:pPr>
              <w:pStyle w:val="TableContents"/>
              <w:bidi w:val="0"/>
              <w:spacing w:before="0" w:after="283"/>
              <w:jc w:val="right"/>
              <w:rPr/>
            </w:pPr>
            <w:r>
              <w:rPr/>
              <w:t>250,000</w:t>
            </w:r>
          </w:p>
        </w:tc>
      </w:tr>
      <w:tr>
        <w:trPr/>
        <w:tc>
          <w:tcPr>
            <w:tcW w:w="141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805" w:type="dxa"/>
            <w:tcBorders>
              <w:bottom w:val="single" w:sz="12" w:space="0" w:color="000000"/>
            </w:tcBorders>
            <w:tcMar>
              <w:bottom w:w="28" w:type="dxa"/>
            </w:tcMar>
            <w:vAlign w:val="center"/>
          </w:tcPr>
          <w:p>
            <w:pPr>
              <w:pStyle w:val="TableContents"/>
              <w:bidi w:val="0"/>
              <w:spacing w:before="0" w:after="283"/>
              <w:jc w:val="right"/>
              <w:rPr/>
            </w:pPr>
            <w:r>
              <w:rPr/>
              <w:t>23,396,400</w:t>
            </w:r>
          </w:p>
        </w:tc>
        <w:tc>
          <w:tcPr>
            <w:tcW w:w="1055" w:type="dxa"/>
            <w:tcBorders>
              <w:bottom w:val="single" w:sz="12" w:space="0" w:color="000000"/>
            </w:tcBorders>
            <w:tcMar>
              <w:bottom w:w="28" w:type="dxa"/>
            </w:tcMar>
            <w:vAlign w:val="center"/>
          </w:tcPr>
          <w:p>
            <w:pPr>
              <w:pStyle w:val="TableContents"/>
              <w:bidi w:val="0"/>
              <w:spacing w:before="0" w:after="283"/>
              <w:jc w:val="center"/>
              <w:rPr/>
            </w:pPr>
            <w:r>
              <w:rPr/>
              <w:t>8.4</w:t>
            </w:r>
          </w:p>
        </w:tc>
        <w:tc>
          <w:tcPr>
            <w:tcW w:w="1310" w:type="dxa"/>
            <w:tcBorders>
              <w:bottom w:val="single" w:sz="12" w:space="0" w:color="000000"/>
            </w:tcBorders>
            <w:tcMar>
              <w:bottom w:w="28" w:type="dxa"/>
            </w:tcMar>
            <w:vAlign w:val="center"/>
          </w:tcPr>
          <w:p>
            <w:pPr>
              <w:pStyle w:val="TableContents"/>
              <w:bidi w:val="0"/>
              <w:spacing w:before="0" w:after="283"/>
              <w:jc w:val="center"/>
              <w:rPr/>
            </w:pPr>
            <w:r>
              <w:rPr/>
              <w:t>0.12</w:t>
            </w:r>
          </w:p>
        </w:tc>
        <w:tc>
          <w:tcPr>
            <w:tcW w:w="6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355" w:type="dxa"/>
            <w:tcBorders>
              <w:bottom w:val="single" w:sz="12" w:space="0" w:color="000000"/>
            </w:tcBorders>
            <w:tcMar>
              <w:bottom w:w="28" w:type="dxa"/>
            </w:tcMar>
            <w:vAlign w:val="center"/>
          </w:tcPr>
          <w:p>
            <w:pPr>
              <w:pStyle w:val="TableContents"/>
              <w:bidi w:val="0"/>
              <w:spacing w:before="0" w:after="283"/>
              <w:jc w:val="right"/>
              <w:rPr/>
            </w:pPr>
            <w:r>
              <w:rPr/>
              <w:t>20,718,275</w:t>
            </w:r>
          </w:p>
        </w:tc>
        <w:tc>
          <w:tcPr>
            <w:tcW w:w="1374" w:type="dxa"/>
            <w:tcBorders>
              <w:bottom w:val="single" w:sz="12" w:space="0" w:color="000000"/>
            </w:tcBorders>
            <w:tcMar>
              <w:bottom w:w="28" w:type="dxa"/>
            </w:tcMar>
            <w:vAlign w:val="center"/>
          </w:tcPr>
          <w:p>
            <w:pPr>
              <w:pStyle w:val="TableContents"/>
              <w:bidi w:val="0"/>
              <w:spacing w:before="0" w:after="283"/>
              <w:jc w:val="right"/>
              <w:rPr/>
            </w:pPr>
            <w:r>
              <w:rPr/>
              <w:t>2,678,125</w:t>
            </w:r>
          </w:p>
        </w:tc>
      </w:tr>
    </w:tbl>
    <w:p>
      <w:pPr>
        <w:pStyle w:val="TextBody"/>
        <w:bidi w:val="0"/>
        <w:ind w:left="360" w:right="0" w:hanging="0"/>
        <w:jc w:val="both"/>
        <w:rPr/>
      </w:pPr>
      <w:r>
        <w:rPr/>
        <w:t>During the three months ended May 31, 2023, the Company recorded share-based payment of $115,441 (2022 - $109,598).</w:t>
      </w:r>
    </w:p>
    <w:p>
      <w:pPr>
        <w:pStyle w:val="TextBody"/>
        <w:bidi w:val="0"/>
        <w:ind w:left="357" w:right="0" w:hanging="0"/>
        <w:jc w:val="both"/>
        <w:rPr/>
      </w:pPr>
      <w:r>
        <w:rPr/>
        <w:t>The fair values for stock options granted have been estimated using the Black-Scholes option-pricing model assuming no expected dividends, no forfeitures, and the following weighted average assumptions:</w:t>
      </w:r>
    </w:p>
    <w:tbl>
      <w:tblPr>
        <w:tblW w:w="6875" w:type="dxa"/>
        <w:jc w:val="left"/>
        <w:tblInd w:w="360" w:type="dxa"/>
        <w:tblLayout w:type="fixed"/>
        <w:tblCellMar>
          <w:top w:w="0" w:type="dxa"/>
          <w:left w:w="0" w:type="dxa"/>
          <w:bottom w:w="28" w:type="dxa"/>
          <w:right w:w="0" w:type="dxa"/>
        </w:tblCellMar>
      </w:tblPr>
      <w:tblGrid>
        <w:gridCol w:w="2885"/>
        <w:gridCol w:w="1325"/>
        <w:gridCol w:w="1325"/>
        <w:gridCol w:w="1340"/>
      </w:tblGrid>
      <w:tr>
        <w:trPr/>
        <w:tc>
          <w:tcPr>
            <w:tcW w:w="2885" w:type="dxa"/>
            <w:tcBorders>
              <w:bottom w:val="single" w:sz="6" w:space="0" w:color="000000"/>
            </w:tcBorders>
            <w:vAlign w:val="center"/>
          </w:tcPr>
          <w:p>
            <w:pPr>
              <w:pStyle w:val="TableContents"/>
              <w:bidi w:val="0"/>
              <w:spacing w:before="0" w:after="283"/>
              <w:jc w:val="both"/>
              <w:rPr/>
            </w:pPr>
            <w:r>
              <w:rPr/>
              <w:t> </w:t>
            </w:r>
          </w:p>
        </w:tc>
        <w:tc>
          <w:tcPr>
            <w:tcW w:w="1325" w:type="dxa"/>
            <w:tcBorders>
              <w:bottom w:val="single" w:sz="6" w:space="0" w:color="000000"/>
            </w:tcBorders>
            <w:vAlign w:val="center"/>
          </w:tcPr>
          <w:p>
            <w:pPr>
              <w:pStyle w:val="TableContents"/>
              <w:bidi w:val="0"/>
              <w:spacing w:before="0" w:after="283"/>
              <w:jc w:val="center"/>
              <w:rPr/>
            </w:pPr>
            <w:r>
              <w:rPr/>
              <w:t>Three months</w:t>
              <w:br/>
              <w:t>ended</w:t>
              <w:br/>
              <w:t>May 31,</w:t>
              <w:br/>
              <w:t>2023</w:t>
            </w:r>
          </w:p>
        </w:tc>
        <w:tc>
          <w:tcPr>
            <w:tcW w:w="1325" w:type="dxa"/>
            <w:tcBorders>
              <w:bottom w:val="single" w:sz="6" w:space="0" w:color="000000"/>
            </w:tcBorders>
            <w:vAlign w:val="center"/>
          </w:tcPr>
          <w:p>
            <w:pPr>
              <w:pStyle w:val="TableContents"/>
              <w:bidi w:val="0"/>
              <w:spacing w:before="0" w:after="283"/>
              <w:jc w:val="center"/>
              <w:rPr/>
            </w:pPr>
            <w:r>
              <w:rPr/>
              <w:t>Three months</w:t>
              <w:br/>
              <w:t>ended</w:t>
              <w:br/>
              <w:t>May 31,</w:t>
              <w:br/>
              <w:t>2022</w:t>
            </w:r>
          </w:p>
        </w:tc>
        <w:tc>
          <w:tcPr>
            <w:tcW w:w="1340" w:type="dxa"/>
            <w:tcBorders>
              <w:bottom w:val="single" w:sz="6" w:space="0" w:color="000000"/>
            </w:tcBorders>
            <w:vAlign w:val="center"/>
          </w:tcPr>
          <w:p>
            <w:pPr>
              <w:pStyle w:val="TableContents"/>
              <w:bidi w:val="0"/>
              <w:spacing w:before="0" w:after="283"/>
              <w:jc w:val="center"/>
              <w:rPr/>
            </w:pPr>
            <w:r>
              <w:rPr/>
              <w:t>Year</w:t>
              <w:br/>
              <w:t>ended</w:t>
              <w:br/>
              <w:t>February 28,</w:t>
              <w:br/>
              <w:t>2023</w:t>
            </w:r>
          </w:p>
        </w:tc>
      </w:tr>
      <w:tr>
        <w:trPr/>
        <w:tc>
          <w:tcPr>
            <w:tcW w:w="2885" w:type="dxa"/>
            <w:tcBorders>
              <w:top w:val="single" w:sz="6" w:space="0" w:color="000000"/>
            </w:tcBorders>
            <w:tcMar>
              <w:top w:w="28" w:type="dxa"/>
              <w:bottom w:w="0" w:type="dxa"/>
            </w:tcMar>
            <w:vAlign w:val="center"/>
          </w:tcPr>
          <w:p>
            <w:pPr>
              <w:pStyle w:val="TableContents"/>
              <w:bidi w:val="0"/>
              <w:spacing w:before="0" w:after="283"/>
              <w:jc w:val="both"/>
              <w:rPr/>
            </w:pPr>
            <w:r>
              <w:rPr/>
              <w:t> </w:t>
            </w:r>
          </w:p>
        </w:tc>
        <w:tc>
          <w:tcPr>
            <w:tcW w:w="132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32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340" w:type="dxa"/>
            <w:tcBorders>
              <w:top w:val="single" w:sz="6" w:space="0" w:color="000000"/>
            </w:tcBorders>
            <w:tcMar>
              <w:top w:w="28" w:type="dxa"/>
              <w:bottom w:w="0" w:type="dxa"/>
            </w:tcMar>
            <w:vAlign w:val="center"/>
          </w:tcPr>
          <w:p>
            <w:pPr>
              <w:pStyle w:val="TableContents"/>
              <w:bidi w:val="0"/>
              <w:spacing w:before="0" w:after="283"/>
              <w:ind w:left="0" w:right="0" w:hanging="360"/>
              <w:jc w:val="center"/>
              <w:rPr/>
            </w:pPr>
            <w:r>
              <w:rPr/>
              <w:t> </w:t>
            </w:r>
          </w:p>
        </w:tc>
      </w:tr>
      <w:tr>
        <w:trPr/>
        <w:tc>
          <w:tcPr>
            <w:tcW w:w="2885" w:type="dxa"/>
            <w:tcBorders/>
            <w:shd w:fill="E6EFFF" w:val="clear"/>
            <w:tcMar>
              <w:bottom w:w="0" w:type="dxa"/>
            </w:tcMar>
            <w:vAlign w:val="center"/>
          </w:tcPr>
          <w:p>
            <w:pPr>
              <w:pStyle w:val="TableContents"/>
              <w:bidi w:val="0"/>
              <w:spacing w:before="0" w:after="283"/>
              <w:jc w:val="both"/>
              <w:rPr/>
            </w:pPr>
            <w:r>
              <w:rPr/>
              <w:t>Risk-free interest rate</w:t>
            </w:r>
          </w:p>
        </w:tc>
        <w:tc>
          <w:tcPr>
            <w:tcW w:w="1325" w:type="dxa"/>
            <w:tcBorders/>
            <w:shd w:fill="E6EFFF" w:val="clear"/>
            <w:tcMar>
              <w:bottom w:w="0" w:type="dxa"/>
            </w:tcMar>
            <w:vAlign w:val="center"/>
          </w:tcPr>
          <w:p>
            <w:pPr>
              <w:pStyle w:val="TableContents"/>
              <w:bidi w:val="0"/>
              <w:spacing w:before="0" w:after="283"/>
              <w:jc w:val="center"/>
              <w:rPr/>
            </w:pPr>
            <w:r>
              <w:rPr/>
              <w:t>4.04%</w:t>
            </w:r>
          </w:p>
        </w:tc>
        <w:tc>
          <w:tcPr>
            <w:tcW w:w="1325" w:type="dxa"/>
            <w:tcBorders/>
            <w:shd w:fill="E6EFFF" w:val="clear"/>
            <w:tcMar>
              <w:bottom w:w="0" w:type="dxa"/>
            </w:tcMar>
            <w:vAlign w:val="center"/>
          </w:tcPr>
          <w:p>
            <w:pPr>
              <w:pStyle w:val="TableContents"/>
              <w:bidi w:val="0"/>
              <w:spacing w:before="0" w:after="283"/>
              <w:jc w:val="center"/>
              <w:rPr/>
            </w:pPr>
            <w:r>
              <w:rPr/>
              <w:t>n/a</w:t>
            </w:r>
          </w:p>
        </w:tc>
        <w:tc>
          <w:tcPr>
            <w:tcW w:w="1340" w:type="dxa"/>
            <w:tcBorders/>
            <w:shd w:fill="E6EFFF" w:val="clear"/>
            <w:tcMar>
              <w:bottom w:w="0" w:type="dxa"/>
            </w:tcMar>
            <w:vAlign w:val="center"/>
          </w:tcPr>
          <w:p>
            <w:pPr>
              <w:pStyle w:val="TableContents"/>
              <w:bidi w:val="0"/>
              <w:spacing w:before="0" w:after="283"/>
              <w:ind w:left="0" w:right="0" w:hanging="360"/>
              <w:jc w:val="center"/>
              <w:rPr/>
            </w:pPr>
            <w:r>
              <w:rPr/>
              <w:t>2.48%-2.65%</w:t>
            </w:r>
          </w:p>
        </w:tc>
      </w:tr>
      <w:tr>
        <w:trPr/>
        <w:tc>
          <w:tcPr>
            <w:tcW w:w="2885" w:type="dxa"/>
            <w:tcBorders/>
            <w:tcMar>
              <w:bottom w:w="0" w:type="dxa"/>
            </w:tcMar>
            <w:vAlign w:val="center"/>
          </w:tcPr>
          <w:p>
            <w:pPr>
              <w:pStyle w:val="TableContents"/>
              <w:bidi w:val="0"/>
              <w:spacing w:before="0" w:after="283"/>
              <w:jc w:val="both"/>
              <w:rPr/>
            </w:pPr>
            <w:r>
              <w:rPr/>
              <w:t>Expected volatility</w:t>
            </w:r>
          </w:p>
        </w:tc>
        <w:tc>
          <w:tcPr>
            <w:tcW w:w="1325" w:type="dxa"/>
            <w:tcBorders/>
            <w:tcMar>
              <w:bottom w:w="0" w:type="dxa"/>
            </w:tcMar>
            <w:vAlign w:val="center"/>
          </w:tcPr>
          <w:p>
            <w:pPr>
              <w:pStyle w:val="TableContents"/>
              <w:bidi w:val="0"/>
              <w:spacing w:before="0" w:after="283"/>
              <w:jc w:val="center"/>
              <w:rPr/>
            </w:pPr>
            <w:r>
              <w:rPr/>
              <w:t>100%</w:t>
            </w:r>
          </w:p>
        </w:tc>
        <w:tc>
          <w:tcPr>
            <w:tcW w:w="1325" w:type="dxa"/>
            <w:tcBorders/>
            <w:tcMar>
              <w:bottom w:w="0" w:type="dxa"/>
            </w:tcMar>
            <w:vAlign w:val="center"/>
          </w:tcPr>
          <w:p>
            <w:pPr>
              <w:pStyle w:val="TableContents"/>
              <w:bidi w:val="0"/>
              <w:spacing w:before="0" w:after="283"/>
              <w:jc w:val="center"/>
              <w:rPr/>
            </w:pPr>
            <w:r>
              <w:rPr/>
              <w:t>n/a</w:t>
            </w:r>
          </w:p>
        </w:tc>
        <w:tc>
          <w:tcPr>
            <w:tcW w:w="1340" w:type="dxa"/>
            <w:tcBorders/>
            <w:tcMar>
              <w:bottom w:w="0" w:type="dxa"/>
            </w:tcMar>
            <w:vAlign w:val="center"/>
          </w:tcPr>
          <w:p>
            <w:pPr>
              <w:pStyle w:val="TableContents"/>
              <w:bidi w:val="0"/>
              <w:spacing w:before="0" w:after="283"/>
              <w:ind w:left="0" w:right="0" w:hanging="360"/>
              <w:jc w:val="center"/>
              <w:rPr/>
            </w:pPr>
            <w:r>
              <w:rPr/>
              <w:t>100%</w:t>
            </w:r>
          </w:p>
        </w:tc>
      </w:tr>
      <w:tr>
        <w:trPr/>
        <w:tc>
          <w:tcPr>
            <w:tcW w:w="2885" w:type="dxa"/>
            <w:tcBorders>
              <w:bottom w:val="single" w:sz="12" w:space="0" w:color="000000"/>
            </w:tcBorders>
            <w:shd w:fill="E6EFFF" w:val="clear"/>
            <w:vAlign w:val="center"/>
          </w:tcPr>
          <w:p>
            <w:pPr>
              <w:pStyle w:val="TableContents"/>
              <w:bidi w:val="0"/>
              <w:spacing w:before="0" w:after="283"/>
              <w:jc w:val="both"/>
              <w:rPr/>
            </w:pPr>
            <w:r>
              <w:rPr/>
              <w:t>Expected option life (in years)</w:t>
            </w:r>
          </w:p>
        </w:tc>
        <w:tc>
          <w:tcPr>
            <w:tcW w:w="1325" w:type="dxa"/>
            <w:tcBorders>
              <w:bottom w:val="single" w:sz="12" w:space="0" w:color="000000"/>
            </w:tcBorders>
            <w:shd w:fill="E6EFFF" w:val="clear"/>
            <w:vAlign w:val="center"/>
          </w:tcPr>
          <w:p>
            <w:pPr>
              <w:pStyle w:val="TableContents"/>
              <w:bidi w:val="0"/>
              <w:spacing w:before="0" w:after="283"/>
              <w:jc w:val="center"/>
              <w:rPr/>
            </w:pPr>
            <w:r>
              <w:rPr/>
              <w:t>5</w:t>
            </w:r>
          </w:p>
        </w:tc>
        <w:tc>
          <w:tcPr>
            <w:tcW w:w="1325" w:type="dxa"/>
            <w:tcBorders>
              <w:bottom w:val="single" w:sz="12" w:space="0" w:color="000000"/>
            </w:tcBorders>
            <w:shd w:fill="E6EFFF" w:val="clear"/>
            <w:vAlign w:val="center"/>
          </w:tcPr>
          <w:p>
            <w:pPr>
              <w:pStyle w:val="TableContents"/>
              <w:bidi w:val="0"/>
              <w:spacing w:before="0" w:after="283"/>
              <w:jc w:val="center"/>
              <w:rPr/>
            </w:pPr>
            <w:r>
              <w:rPr/>
              <w:t>n/a</w:t>
            </w:r>
          </w:p>
        </w:tc>
        <w:tc>
          <w:tcPr>
            <w:tcW w:w="1340" w:type="dxa"/>
            <w:tcBorders>
              <w:bottom w:val="single" w:sz="12" w:space="0" w:color="000000"/>
            </w:tcBorders>
            <w:shd w:fill="E6EFFF" w:val="clear"/>
            <w:vAlign w:val="center"/>
          </w:tcPr>
          <w:p>
            <w:pPr>
              <w:pStyle w:val="TableContents"/>
              <w:bidi w:val="0"/>
              <w:spacing w:before="0" w:after="283"/>
              <w:jc w:val="center"/>
              <w:rPr/>
            </w:pPr>
            <w:r>
              <w:rPr/>
              <w:t>5</w:t>
            </w:r>
          </w:p>
        </w:tc>
      </w:tr>
    </w:tbl>
    <w:p>
      <w:pPr>
        <w:pStyle w:val="TextBody"/>
        <w:bidi w:val="0"/>
        <w:ind w:left="360" w:right="0" w:hanging="0"/>
        <w:jc w:val="both"/>
        <w:rPr/>
      </w:pPr>
      <w:r>
        <w:rPr>
          <w:b/>
        </w:rPr>
        <w:t>10.</w:t>
      </w:r>
      <w:r>
        <w:rPr/>
        <w:t> </w:t>
      </w:r>
      <w:r>
        <w:rPr>
          <w:b/>
        </w:rPr>
        <w:t>Fair Value Measurements and Risk Management</w:t>
      </w:r>
    </w:p>
    <w:p>
      <w:pPr>
        <w:pStyle w:val="TextBody"/>
        <w:bidi w:val="0"/>
        <w:ind w:left="720" w:right="0" w:hanging="0"/>
        <w:jc w:val="both"/>
        <w:rPr/>
      </w:pPr>
      <w:r>
        <w:rPr>
          <w:b/>
        </w:rPr>
        <w:t>(a)</w:t>
      </w:r>
      <w:r>
        <w:rPr/>
        <w:t> </w:t>
      </w:r>
      <w:r>
        <w:rPr>
          <w:b/>
        </w:rPr>
        <w:t>Fair Values</w:t>
      </w:r>
    </w:p>
    <w:p>
      <w:pPr>
        <w:pStyle w:val="TextBody"/>
        <w:bidi w:val="0"/>
        <w:ind w:left="720" w:right="0" w:hanging="0"/>
        <w:jc w:val="both"/>
        <w:rPr/>
      </w:pPr>
      <w:r>
        <w:rPr/>
        <w:t>The fair values of the Company's financial instruments, which include cash, trade and other receivables (excluding sales tax receivables), and accounts payable, accrued liabilities and lease liabilities, approximate their carrying values due to the relatively short-term maturity of these instruments.</w:t>
      </w:r>
    </w:p>
    <w:p>
      <w:pPr>
        <w:pStyle w:val="TextBody"/>
        <w:bidi w:val="0"/>
        <w:ind w:left="720" w:right="0" w:hanging="0"/>
        <w:jc w:val="both"/>
        <w:rPr>
          <w:u w:val="single"/>
        </w:rPr>
      </w:pPr>
      <w:r>
        <w:rPr>
          <w:u w:val="single"/>
        </w:rPr>
        <w:t>Fair value hierarchy</w:t>
      </w:r>
    </w:p>
    <w:p>
      <w:pPr>
        <w:pStyle w:val="TextBody"/>
        <w:bidi w:val="0"/>
        <w:ind w:left="720" w:right="0" w:hanging="0"/>
        <w:jc w:val="both"/>
        <w:rPr/>
      </w:pPr>
      <w:r>
        <w:rPr/>
        <w:t>The following provides a description of financial instruments that are measured subsequent to initial recognition at fair value, grouped into Levels 1 to 3 based on the degree to which the fair value is observable:</w:t>
      </w:r>
    </w:p>
    <w:p>
      <w:pPr>
        <w:pStyle w:val="TextBody"/>
        <w:bidi w:val="0"/>
        <w:ind w:left="720" w:right="0" w:hanging="0"/>
        <w:jc w:val="both"/>
        <w:rPr/>
      </w:pPr>
      <w:r>
        <w:rPr/>
        <w:t>Level 1 fair value measurements are those derived from quoted prices (unadjusted) in active markets for identical assets or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9" w:name="footer_page_14"/>
      <w:bookmarkEnd w:id="59"/>
      <w:r>
        <w:rPr/>
        <w:t>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60" w:name="header_page_15"/>
      <w:bookmarkStart w:id="61" w:name="header_page_15"/>
      <w:bookmarkEnd w:id="61"/>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0" w:hanging="0"/>
        <w:jc w:val="both"/>
        <w:rPr/>
      </w:pPr>
      <w:r>
        <w:rPr>
          <w:b/>
        </w:rPr>
        <w:t>10.</w:t>
      </w:r>
      <w:r>
        <w:rPr/>
        <w:t> </w:t>
      </w:r>
      <w:r>
        <w:rPr>
          <w:b/>
        </w:rPr>
        <w:t>Fair Value Measurements and Risk Management</w:t>
      </w:r>
      <w:r>
        <w:rPr/>
        <w:t xml:space="preserve"> (continued)</w:t>
      </w:r>
    </w:p>
    <w:p>
      <w:pPr>
        <w:pStyle w:val="TextBody"/>
        <w:bidi w:val="0"/>
        <w:ind w:left="720" w:right="0" w:hanging="0"/>
        <w:jc w:val="both"/>
        <w:rPr/>
      </w:pPr>
      <w:r>
        <w:rPr/>
        <w:t>Level 2 fair value measurements are those derived from inputs other than quoted prices included within Level 1 that are observable for the asset or liability, either directly (i.e. as prices) or indirectly (i.e. derived from prices); and</w:t>
      </w:r>
    </w:p>
    <w:p>
      <w:pPr>
        <w:pStyle w:val="TextBody"/>
        <w:bidi w:val="0"/>
        <w:ind w:left="720" w:right="0" w:hanging="0"/>
        <w:jc w:val="both"/>
        <w:rPr/>
      </w:pPr>
      <w:r>
        <w:rPr/>
        <w:t>Level 3 fair value measurements are those derived from valuation techniques that include inputs for the asset or liability that are not based on observable market data (unobservable inputs).</w:t>
      </w:r>
    </w:p>
    <w:p>
      <w:pPr>
        <w:pStyle w:val="TextBody"/>
        <w:bidi w:val="0"/>
        <w:ind w:left="720" w:right="0" w:hanging="0"/>
        <w:jc w:val="both"/>
        <w:rPr/>
      </w:pPr>
      <w:r>
        <w:rPr>
          <w:b/>
        </w:rPr>
        <w:t>(b)</w:t>
      </w:r>
      <w:r>
        <w:rPr/>
        <w:t> </w:t>
      </w:r>
      <w:r>
        <w:rPr>
          <w:b/>
        </w:rPr>
        <w:t>Credit Risk</w:t>
      </w:r>
    </w:p>
    <w:p>
      <w:pPr>
        <w:pStyle w:val="TextBody"/>
        <w:bidi w:val="0"/>
        <w:ind w:left="720" w:right="0" w:hanging="0"/>
        <w:jc w:val="both"/>
        <w:rPr/>
      </w:pPr>
      <w:r>
        <w:rPr/>
        <w:t>Financial instruments that potentially subject the Company to a concentration of credit risk consist primarily of cash and trade and other receivables. The Company limits its exposure to credit loss by placing its cash with high credit quality financial institutions. For trade and other receivables, the Company limits its exposure to credit risk by dealing with what management believes to be financially sound counter parties. The carrying amount of financial assets represents the maximum credit exposure.</w:t>
      </w:r>
    </w:p>
    <w:p>
      <w:pPr>
        <w:pStyle w:val="TextBody"/>
        <w:bidi w:val="0"/>
        <w:ind w:left="709" w:right="0" w:hanging="0"/>
        <w:jc w:val="both"/>
        <w:rPr/>
      </w:pPr>
      <w:r>
        <w:rPr>
          <w:b/>
        </w:rPr>
        <w:t>(c)</w:t>
      </w:r>
      <w:r>
        <w:rPr/>
        <w:t> </w:t>
      </w:r>
      <w:r>
        <w:rPr>
          <w:b/>
        </w:rPr>
        <w:t>Foreign Exchange Rate Risk</w:t>
      </w:r>
    </w:p>
    <w:p>
      <w:pPr>
        <w:pStyle w:val="TextBody"/>
        <w:bidi w:val="0"/>
        <w:ind w:left="720" w:right="0" w:hanging="0"/>
        <w:jc w:val="both"/>
        <w:rPr/>
      </w:pPr>
      <w:r>
        <w:rPr/>
        <w:t>Foreign currency risk is the risk that the fair value of future cash flows of a financial instrument will fluctuate due to changes in foreign exchange rates. The Company is exposed to foreign currency risk to the extent that monetary assets and liabilities are denominated in a foreign currency.</w:t>
      </w:r>
    </w:p>
    <w:p>
      <w:pPr>
        <w:pStyle w:val="TextBody"/>
        <w:bidi w:val="0"/>
        <w:ind w:left="720" w:right="0" w:hanging="0"/>
        <w:jc w:val="both"/>
        <w:rPr/>
      </w:pPr>
      <w:r>
        <w:rPr/>
        <w:t>Small Pharma Ltd, the Company's operating subsidiary, operates in the UK and has certain monetary financial instruments denominated in British pound sterling. Small Pharma (US) Inc., an indirect subsidiary of the Company, operates in the US and has certain monetary financial instruments denominated in US dollars. The Company has not entered into foreign exchange rate contracts to mitigate this risk.</w:t>
      </w:r>
    </w:p>
    <w:p>
      <w:pPr>
        <w:pStyle w:val="TextBody"/>
        <w:bidi w:val="0"/>
        <w:ind w:left="720" w:right="0" w:hanging="0"/>
        <w:jc w:val="both"/>
        <w:rPr/>
      </w:pPr>
      <w:r>
        <w:rPr/>
        <w:t>The following table indicates the impact of foreign currency exchange risk on net working capital as at May 31, 2023. The table below also provides a sensitivity analysis of a 10% strengthening of the foreign currency against functional currencies identified which would have increased (decreased) the Company's comprehensive loss for the period by the amounts shown in the table below. A 10% weakening of the foreign currency against the functional currencies would have had the equal but opposite effect as at May 31, 2023 and February 28, 2023.</w:t>
      </w:r>
    </w:p>
    <w:tbl>
      <w:tblPr>
        <w:tblW w:w="9295" w:type="dxa"/>
        <w:jc w:val="left"/>
        <w:tblInd w:w="720" w:type="dxa"/>
        <w:tblLayout w:type="fixed"/>
        <w:tblCellMar>
          <w:top w:w="0" w:type="dxa"/>
          <w:left w:w="0" w:type="dxa"/>
          <w:bottom w:w="28" w:type="dxa"/>
          <w:right w:w="0" w:type="dxa"/>
        </w:tblCellMar>
      </w:tblPr>
      <w:tblGrid>
        <w:gridCol w:w="6635"/>
        <w:gridCol w:w="60"/>
        <w:gridCol w:w="1100"/>
        <w:gridCol w:w="95"/>
        <w:gridCol w:w="60"/>
        <w:gridCol w:w="1235"/>
        <w:gridCol w:w="110"/>
      </w:tblGrid>
      <w:tr>
        <w:trPr/>
        <w:tc>
          <w:tcPr>
            <w:tcW w:w="663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100" w:type="dxa"/>
            <w:tcBorders>
              <w:bottom w:val="single" w:sz="6" w:space="0" w:color="000000"/>
            </w:tcBorders>
            <w:vAlign w:val="center"/>
          </w:tcPr>
          <w:p>
            <w:pPr>
              <w:pStyle w:val="TableContents"/>
              <w:bidi w:val="0"/>
              <w:spacing w:before="0" w:after="283"/>
              <w:jc w:val="center"/>
              <w:rPr/>
            </w:pPr>
            <w:r>
              <w:rPr/>
              <w:t xml:space="preserve">May 31, </w:t>
              <w:br/>
              <w:t>2023</w:t>
              <w:br/>
              <w:t>$</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235" w:type="dxa"/>
            <w:tcBorders>
              <w:bottom w:val="single" w:sz="6" w:space="0" w:color="000000"/>
            </w:tcBorders>
            <w:vAlign w:val="center"/>
          </w:tcPr>
          <w:p>
            <w:pPr>
              <w:pStyle w:val="TableContents"/>
              <w:bidi w:val="0"/>
              <w:spacing w:before="0" w:after="283"/>
              <w:jc w:val="center"/>
              <w:rPr/>
            </w:pPr>
            <w:r>
              <w:rPr/>
              <w:t>February 28,</w:t>
              <w:br/>
              <w:t>2023</w:t>
              <w:br/>
              <w:t>$</w:t>
            </w:r>
          </w:p>
        </w:tc>
        <w:tc>
          <w:tcPr>
            <w:tcW w:w="110" w:type="dxa"/>
            <w:tcBorders>
              <w:bottom w:val="single" w:sz="6" w:space="0" w:color="000000"/>
            </w:tcBorders>
            <w:vAlign w:val="center"/>
          </w:tcPr>
          <w:p>
            <w:pPr>
              <w:pStyle w:val="TableContents"/>
              <w:bidi w:val="0"/>
              <w:spacing w:before="0" w:after="283"/>
              <w:jc w:val="center"/>
              <w:rPr/>
            </w:pPr>
            <w:r>
              <w:rPr/>
              <w:t> </w:t>
            </w:r>
          </w:p>
        </w:tc>
      </w:tr>
      <w:tr>
        <w:trPr/>
        <w:tc>
          <w:tcPr>
            <w:tcW w:w="663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10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23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10"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6635" w:type="dxa"/>
            <w:tcBorders/>
            <w:shd w:fill="E6EFFF" w:val="clear"/>
            <w:tcMar>
              <w:bottom w:w="0" w:type="dxa"/>
            </w:tcMar>
            <w:vAlign w:val="center"/>
          </w:tcPr>
          <w:p>
            <w:pPr>
              <w:pStyle w:val="TableContents"/>
              <w:bidi w:val="0"/>
              <w:spacing w:before="0" w:after="283"/>
              <w:jc w:val="left"/>
              <w:rPr/>
            </w:pPr>
            <w:r>
              <w:rPr/>
              <w:t>Cash</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00" w:type="dxa"/>
            <w:tcBorders/>
            <w:shd w:fill="E6EFFF" w:val="clear"/>
            <w:tcMar>
              <w:bottom w:w="0" w:type="dxa"/>
            </w:tcMar>
            <w:vAlign w:val="center"/>
          </w:tcPr>
          <w:p>
            <w:pPr>
              <w:pStyle w:val="TableContents"/>
              <w:bidi w:val="0"/>
              <w:spacing w:before="0" w:after="283"/>
              <w:jc w:val="right"/>
              <w:rPr/>
            </w:pPr>
            <w:r>
              <w:rPr/>
              <w:t>13,035,972</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17,724,885</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pPr>
            <w:r>
              <w:rPr/>
              <w:t>Trade and other receivables</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523,667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713,588</w:t>
            </w:r>
          </w:p>
        </w:tc>
        <w:tc>
          <w:tcPr>
            <w:tcW w:w="110" w:type="dxa"/>
            <w:tcBorders/>
            <w:tcMar>
              <w:bottom w:w="0" w:type="dxa"/>
            </w:tcMar>
            <w:vAlign w:val="center"/>
          </w:tcPr>
          <w:p>
            <w:pPr>
              <w:pStyle w:val="TableContents"/>
              <w:bidi w:val="0"/>
              <w:spacing w:before="0" w:after="283"/>
              <w:jc w:val="left"/>
              <w:rPr/>
            </w:pPr>
            <w:r>
              <w:rPr/>
              <w:t> </w:t>
            </w:r>
          </w:p>
        </w:tc>
      </w:tr>
      <w:tr>
        <w:trPr/>
        <w:tc>
          <w:tcPr>
            <w:tcW w:w="6635" w:type="dxa"/>
            <w:tcBorders/>
            <w:shd w:fill="E6EFFF" w:val="clear"/>
            <w:tcMar>
              <w:bottom w:w="0" w:type="dxa"/>
            </w:tcMar>
            <w:vAlign w:val="center"/>
          </w:tcPr>
          <w:p>
            <w:pPr>
              <w:pStyle w:val="TableContents"/>
              <w:bidi w:val="0"/>
              <w:spacing w:before="0" w:after="283"/>
              <w:jc w:val="left"/>
              <w:rPr/>
            </w:pPr>
            <w:r>
              <w:rPr/>
              <w:t>Accounts payable and accrued liabilities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00" w:type="dxa"/>
            <w:tcBorders/>
            <w:shd w:fill="E6EFFF" w:val="clear"/>
            <w:tcMar>
              <w:bottom w:w="0" w:type="dxa"/>
            </w:tcMar>
            <w:vAlign w:val="center"/>
          </w:tcPr>
          <w:p>
            <w:pPr>
              <w:pStyle w:val="TableContents"/>
              <w:bidi w:val="0"/>
              <w:spacing w:before="0" w:after="283"/>
              <w:jc w:val="right"/>
              <w:rPr/>
            </w:pPr>
            <w:r>
              <w:rPr/>
              <w:t>(1,948,104</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(2,699,903</w:t>
            </w:r>
          </w:p>
        </w:tc>
        <w:tc>
          <w:tcPr>
            <w:tcW w:w="110" w:type="dxa"/>
            <w:tcBorders/>
            <w:shd w:fill="E6EFFF" w:val="clear"/>
            <w:tcMar>
              <w:bottom w:w="0" w:type="dxa"/>
            </w:tcMar>
            <w:vAlign w:val="center"/>
          </w:tcPr>
          <w:p>
            <w:pPr>
              <w:pStyle w:val="TableContents"/>
              <w:bidi w:val="0"/>
              <w:spacing w:before="0" w:after="283"/>
              <w:jc w:val="left"/>
              <w:rPr/>
            </w:pPr>
            <w:r>
              <w:rPr/>
              <w:t>)</w:t>
            </w:r>
          </w:p>
        </w:tc>
      </w:tr>
      <w:tr>
        <w:trPr/>
        <w:tc>
          <w:tcPr>
            <w:tcW w:w="6635" w:type="dxa"/>
            <w:tcBorders>
              <w:bottom w:val="single" w:sz="6" w:space="0" w:color="000000"/>
            </w:tcBorders>
            <w:vAlign w:val="center"/>
          </w:tcPr>
          <w:p>
            <w:pPr>
              <w:pStyle w:val="TableContents"/>
              <w:bidi w:val="0"/>
              <w:spacing w:before="0" w:after="283"/>
              <w:jc w:val="left"/>
              <w:rPr/>
            </w:pPr>
            <w:r>
              <w:rPr/>
              <w:t>Lease liabilities</w:t>
            </w:r>
          </w:p>
        </w:tc>
        <w:tc>
          <w:tcPr>
            <w:tcW w:w="60" w:type="dxa"/>
            <w:tcBorders>
              <w:bottom w:val="single" w:sz="6" w:space="0" w:color="000000"/>
            </w:tcBorders>
            <w:vAlign w:val="center"/>
          </w:tcPr>
          <w:p>
            <w:pPr>
              <w:pStyle w:val="TableContents"/>
              <w:bidi w:val="0"/>
              <w:spacing w:before="0" w:after="283"/>
              <w:jc w:val="left"/>
              <w:rPr/>
            </w:pPr>
            <w:r>
              <w:rPr/>
              <w:t> </w:t>
            </w:r>
          </w:p>
        </w:tc>
        <w:tc>
          <w:tcPr>
            <w:tcW w:w="1100" w:type="dxa"/>
            <w:tcBorders>
              <w:bottom w:val="single" w:sz="6" w:space="0" w:color="000000"/>
            </w:tcBorders>
            <w:vAlign w:val="center"/>
          </w:tcPr>
          <w:p>
            <w:pPr>
              <w:pStyle w:val="TableContents"/>
              <w:bidi w:val="0"/>
              <w:spacing w:before="0" w:after="283"/>
              <w:jc w:val="right"/>
              <w:rPr/>
            </w:pPr>
            <w:r>
              <w:rPr/>
              <w:t>(548,256</w:t>
            </w:r>
          </w:p>
        </w:tc>
        <w:tc>
          <w:tcPr>
            <w:tcW w:w="95" w:type="dxa"/>
            <w:tcBorders>
              <w:bottom w:val="single" w:sz="6" w:space="0" w:color="000000"/>
            </w:tcBorders>
            <w:vAlign w:val="center"/>
          </w:tcPr>
          <w:p>
            <w:pPr>
              <w:pStyle w:val="TableContents"/>
              <w:bidi w:val="0"/>
              <w:spacing w:before="0" w:after="283"/>
              <w:jc w:val="lef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(609,553</w:t>
            </w:r>
          </w:p>
        </w:tc>
        <w:tc>
          <w:tcPr>
            <w:tcW w:w="110" w:type="dxa"/>
            <w:tcBorders>
              <w:bottom w:val="single" w:sz="6" w:space="0" w:color="000000"/>
            </w:tcBorders>
            <w:vAlign w:val="center"/>
          </w:tcPr>
          <w:p>
            <w:pPr>
              <w:pStyle w:val="TableContents"/>
              <w:bidi w:val="0"/>
              <w:spacing w:before="0" w:after="283"/>
              <w:jc w:val="left"/>
              <w:rPr/>
            </w:pPr>
            <w:r>
              <w:rPr/>
              <w:t>)</w:t>
            </w:r>
          </w:p>
        </w:tc>
      </w:tr>
      <w:tr>
        <w:trPr/>
        <w:tc>
          <w:tcPr>
            <w:tcW w:w="6635" w:type="dxa"/>
            <w:tcBorders>
              <w:bottom w:val="single" w:sz="12" w:space="0" w:color="000000"/>
            </w:tcBorders>
            <w:shd w:fill="E6EFFF" w:val="clear"/>
            <w:vAlign w:val="center"/>
          </w:tcPr>
          <w:p>
            <w:pPr>
              <w:pStyle w:val="TableContents"/>
              <w:bidi w:val="0"/>
              <w:spacing w:before="0" w:after="283"/>
              <w:jc w:val="left"/>
              <w:rPr/>
            </w:pPr>
            <w:r>
              <w:rPr/>
              <w:t>Total foreign currency financial assets and liabilities</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00" w:type="dxa"/>
            <w:tcBorders>
              <w:bottom w:val="single" w:sz="12" w:space="0" w:color="000000"/>
            </w:tcBorders>
            <w:shd w:fill="E6EFFF" w:val="clear"/>
            <w:vAlign w:val="center"/>
          </w:tcPr>
          <w:p>
            <w:pPr>
              <w:pStyle w:val="TableContents"/>
              <w:bidi w:val="0"/>
              <w:spacing w:before="0" w:after="283"/>
              <w:jc w:val="right"/>
              <w:rPr/>
            </w:pPr>
            <w:r>
              <w:rPr/>
              <w:t>11,063,279</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35" w:type="dxa"/>
            <w:tcBorders>
              <w:bottom w:val="single" w:sz="12" w:space="0" w:color="000000"/>
            </w:tcBorders>
            <w:shd w:fill="E6EFFF" w:val="clear"/>
            <w:vAlign w:val="center"/>
          </w:tcPr>
          <w:p>
            <w:pPr>
              <w:pStyle w:val="TableContents"/>
              <w:bidi w:val="0"/>
              <w:spacing w:before="0" w:after="283"/>
              <w:jc w:val="right"/>
              <w:rPr/>
            </w:pPr>
            <w:r>
              <w:rPr/>
              <w:t>15,129,017</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r>
        <w:trPr/>
        <w:tc>
          <w:tcPr>
            <w:tcW w:w="6635" w:type="dxa"/>
            <w:tcBorders>
              <w:bottom w:val="single" w:sz="12" w:space="0" w:color="000000"/>
            </w:tcBorders>
            <w:vAlign w:val="center"/>
          </w:tcPr>
          <w:p>
            <w:pPr>
              <w:pStyle w:val="TableContents"/>
              <w:bidi w:val="0"/>
              <w:spacing w:before="0" w:after="283"/>
              <w:jc w:val="left"/>
              <w:rPr/>
            </w:pPr>
            <w:r>
              <w:rPr/>
              <w:t>Impact of a 10% strengthening or weakening of foreign exchange rate</w:t>
            </w:r>
          </w:p>
        </w:tc>
        <w:tc>
          <w:tcPr>
            <w:tcW w:w="60" w:type="dxa"/>
            <w:tcBorders>
              <w:bottom w:val="single" w:sz="12" w:space="0" w:color="000000"/>
            </w:tcBorders>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right"/>
              <w:rPr/>
            </w:pPr>
            <w:r>
              <w:rPr/>
              <w:t>1,106,328</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235" w:type="dxa"/>
            <w:tcBorders>
              <w:bottom w:val="single" w:sz="12" w:space="0" w:color="000000"/>
            </w:tcBorders>
            <w:vAlign w:val="center"/>
          </w:tcPr>
          <w:p>
            <w:pPr>
              <w:pStyle w:val="TableContents"/>
              <w:bidi w:val="0"/>
              <w:spacing w:before="0" w:after="283"/>
              <w:jc w:val="right"/>
              <w:rPr/>
            </w:pPr>
            <w:r>
              <w:rPr/>
              <w:t>1,512,902</w:t>
            </w:r>
          </w:p>
        </w:tc>
        <w:tc>
          <w:tcPr>
            <w:tcW w:w="110" w:type="dxa"/>
            <w:tcBorders>
              <w:bottom w:val="single" w:sz="12" w:space="0" w:color="000000"/>
            </w:tcBorders>
            <w:vAlign w:val="center"/>
          </w:tcPr>
          <w:p>
            <w:pPr>
              <w:pStyle w:val="TableContents"/>
              <w:bidi w:val="0"/>
              <w:spacing w:before="0" w:after="283"/>
              <w:jc w:val="left"/>
              <w:rPr/>
            </w:pPr>
            <w:r>
              <w:rPr/>
              <w:t> </w:t>
            </w:r>
          </w:p>
        </w:tc>
      </w:tr>
    </w:tbl>
    <w:p>
      <w:pPr>
        <w:pStyle w:val="TextBody"/>
        <w:bidi w:val="0"/>
        <w:ind w:left="720" w:right="0" w:hanging="0"/>
        <w:jc w:val="both"/>
        <w:rPr/>
      </w:pPr>
      <w:r>
        <w:rPr>
          <w:b/>
        </w:rPr>
        <w:t>(d)</w:t>
      </w:r>
      <w:r>
        <w:rPr/>
        <w:t> </w:t>
      </w:r>
      <w:r>
        <w:rPr>
          <w:b/>
        </w:rPr>
        <w:t>Interest Rate Risk</w:t>
      </w:r>
    </w:p>
    <w:p>
      <w:pPr>
        <w:pStyle w:val="TextBody"/>
        <w:bidi w:val="0"/>
        <w:ind w:left="720" w:right="0" w:hanging="0"/>
        <w:jc w:val="both"/>
        <w:rPr/>
      </w:pPr>
      <w:r>
        <w:rPr/>
        <w:t>Interest rate risk is the risk that the fair value of future cash flows of a financial instrument will fluctuate because of changes in market interest rates. The Company is not exposed to significant interest rate risk as it does not have any liabilities with variable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62" w:name="footer_page_15"/>
      <w:bookmarkEnd w:id="62"/>
      <w:r>
        <w:rPr/>
        <w:t>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63" w:name="header_page_16"/>
      <w:bookmarkStart w:id="64" w:name="header_page_16"/>
      <w:bookmarkEnd w:id="64"/>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0" w:hanging="0"/>
        <w:jc w:val="both"/>
        <w:rPr/>
      </w:pPr>
      <w:r>
        <w:rPr>
          <w:b/>
        </w:rPr>
        <w:t>10.</w:t>
      </w:r>
      <w:r>
        <w:rPr/>
        <w:t> </w:t>
      </w:r>
      <w:r>
        <w:rPr>
          <w:b/>
        </w:rPr>
        <w:t>Fair Value Measurements and Risk Management</w:t>
      </w:r>
      <w:r>
        <w:rPr/>
        <w:t xml:space="preserve"> (continued)</w:t>
      </w:r>
    </w:p>
    <w:p>
      <w:pPr>
        <w:pStyle w:val="TextBody"/>
        <w:bidi w:val="0"/>
        <w:ind w:left="720" w:right="0" w:hanging="0"/>
        <w:jc w:val="both"/>
        <w:rPr/>
      </w:pPr>
      <w:r>
        <w:rPr>
          <w:b/>
        </w:rPr>
        <w:t>(e)</w:t>
      </w:r>
      <w:r>
        <w:rPr/>
        <w:t> </w:t>
      </w:r>
      <w:r>
        <w:rPr>
          <w:b/>
        </w:rPr>
        <w:t>Liquidity Risk</w:t>
      </w:r>
    </w:p>
    <w:p>
      <w:pPr>
        <w:pStyle w:val="TextBody"/>
        <w:bidi w:val="0"/>
        <w:ind w:left="720" w:right="0" w:hanging="0"/>
        <w:jc w:val="both"/>
        <w:rPr/>
      </w:pPr>
      <w:r>
        <w:rPr/>
        <w:t>Liquidity risk is the risk that the Company will not be able to meet its financial obligations as they fall due. The Company's objective to managing liquidity risk is to ensure that it has sufficient liquidity available to meet its liabilities when due. The Company relies on raising debt or equity financing in a timely manner.</w:t>
      </w:r>
    </w:p>
    <w:p>
      <w:pPr>
        <w:pStyle w:val="TextBody"/>
        <w:bidi w:val="0"/>
        <w:ind w:left="720" w:right="0" w:hanging="0"/>
        <w:jc w:val="both"/>
        <w:rPr/>
      </w:pPr>
      <w:r>
        <w:rPr/>
        <w:t>The following amounts are the contractual maturities of financial liabilities as at May 31, 2023 and February 28, 2023:</w:t>
      </w:r>
    </w:p>
    <w:tbl>
      <w:tblPr>
        <w:tblW w:w="7055" w:type="dxa"/>
        <w:jc w:val="left"/>
        <w:tblInd w:w="720" w:type="dxa"/>
        <w:tblLayout w:type="fixed"/>
        <w:tblCellMar>
          <w:top w:w="0" w:type="dxa"/>
          <w:left w:w="0" w:type="dxa"/>
          <w:bottom w:w="28" w:type="dxa"/>
          <w:right w:w="0" w:type="dxa"/>
        </w:tblCellMar>
      </w:tblPr>
      <w:tblGrid>
        <w:gridCol w:w="3830"/>
        <w:gridCol w:w="60"/>
        <w:gridCol w:w="980"/>
        <w:gridCol w:w="60"/>
        <w:gridCol w:w="60"/>
        <w:gridCol w:w="980"/>
        <w:gridCol w:w="60"/>
        <w:gridCol w:w="60"/>
        <w:gridCol w:w="890"/>
        <w:gridCol w:w="75"/>
      </w:tblGrid>
      <w:tr>
        <w:trPr/>
        <w:tc>
          <w:tcPr>
            <w:tcW w:w="3830" w:type="dxa"/>
            <w:tcBorders>
              <w:bottom w:val="single" w:sz="6" w:space="0" w:color="000000"/>
            </w:tcBorders>
            <w:vAlign w:val="center"/>
          </w:tcPr>
          <w:p>
            <w:pPr>
              <w:pStyle w:val="TableContents"/>
              <w:bidi w:val="0"/>
              <w:spacing w:before="0" w:after="283"/>
              <w:jc w:val="left"/>
              <w:rPr/>
            </w:pPr>
            <w:r>
              <w:rPr/>
              <w:t>As at May 31, 2023</w:t>
              <w:br/>
              <w:t> </w:t>
              <w:br/>
              <w:t> </w:t>
            </w:r>
          </w:p>
        </w:tc>
        <w:tc>
          <w:tcPr>
            <w:tcW w:w="60" w:type="dxa"/>
            <w:tcBorders>
              <w:bottom w:val="single" w:sz="6" w:space="0" w:color="000000"/>
            </w:tcBorders>
            <w:vAlign w:val="center"/>
          </w:tcPr>
          <w:p>
            <w:pPr>
              <w:pStyle w:val="TableContents"/>
              <w:bidi w:val="0"/>
              <w:spacing w:before="0" w:after="283"/>
              <w:jc w:val="center"/>
              <w:rPr/>
            </w:pPr>
            <w:r>
              <w:rPr/>
              <w:t> </w:t>
            </w:r>
          </w:p>
        </w:tc>
        <w:tc>
          <w:tcPr>
            <w:tcW w:w="980" w:type="dxa"/>
            <w:tcBorders>
              <w:bottom w:val="single" w:sz="6" w:space="0" w:color="000000"/>
            </w:tcBorders>
            <w:vAlign w:val="center"/>
          </w:tcPr>
          <w:p>
            <w:pPr>
              <w:pStyle w:val="TableContents"/>
              <w:bidi w:val="0"/>
              <w:spacing w:before="0" w:after="283"/>
              <w:jc w:val="center"/>
              <w:rPr/>
            </w:pPr>
            <w:r>
              <w:rPr/>
              <w:t>Total</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980" w:type="dxa"/>
            <w:tcBorders>
              <w:bottom w:val="single" w:sz="6" w:space="0" w:color="000000"/>
            </w:tcBorders>
            <w:vAlign w:val="center"/>
          </w:tcPr>
          <w:p>
            <w:pPr>
              <w:pStyle w:val="TableContents"/>
              <w:bidi w:val="0"/>
              <w:spacing w:before="0" w:after="283"/>
              <w:jc w:val="center"/>
              <w:rPr/>
            </w:pPr>
            <w:r>
              <w:rPr/>
              <w:t>Within</w:t>
              <w:br/>
              <w:t>1 year</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90" w:type="dxa"/>
            <w:tcBorders>
              <w:bottom w:val="single" w:sz="6" w:space="0" w:color="000000"/>
            </w:tcBorders>
            <w:vAlign w:val="center"/>
          </w:tcPr>
          <w:p>
            <w:pPr>
              <w:pStyle w:val="TableContents"/>
              <w:bidi w:val="0"/>
              <w:spacing w:before="0" w:after="283"/>
              <w:jc w:val="center"/>
              <w:rPr/>
            </w:pPr>
            <w:r>
              <w:rPr/>
              <w:t>Within</w:t>
              <w:br/>
              <w:t>2-5 years</w:t>
              <w:br/>
              <w: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383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8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8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89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75"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3830" w:type="dxa"/>
            <w:tcBorders/>
            <w:shd w:fill="E6EFFF" w:val="clear"/>
            <w:tcMar>
              <w:bottom w:w="0" w:type="dxa"/>
            </w:tcMar>
            <w:vAlign w:val="center"/>
          </w:tcPr>
          <w:p>
            <w:pPr>
              <w:pStyle w:val="TableContents"/>
              <w:bidi w:val="0"/>
              <w:spacing w:before="0" w:after="283"/>
              <w:jc w:val="left"/>
              <w:rPr/>
            </w:pPr>
            <w:r>
              <w:rPr/>
              <w:t>Accounts payable and accrued liabilities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2,686,680</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2,686,680</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890" w:type="dxa"/>
            <w:tcBorders/>
            <w:shd w:fill="E6EFFF" w:val="clear"/>
            <w:tcMar>
              <w:bottom w:w="0" w:type="dxa"/>
            </w:tcMar>
            <w:vAlign w:val="center"/>
          </w:tcPr>
          <w:p>
            <w:pPr>
              <w:pStyle w:val="TableContents"/>
              <w:bidi w:val="0"/>
              <w:spacing w:before="0" w:after="283"/>
              <w:jc w:val="right"/>
              <w:rPr/>
            </w:pPr>
            <w:r>
              <w:rPr/>
              <w:t>-</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3830" w:type="dxa"/>
            <w:tcBorders>
              <w:bottom w:val="single" w:sz="6" w:space="0" w:color="000000"/>
            </w:tcBorders>
            <w:vAlign w:val="center"/>
          </w:tcPr>
          <w:p>
            <w:pPr>
              <w:pStyle w:val="TableContents"/>
              <w:bidi w:val="0"/>
              <w:spacing w:before="0" w:after="283"/>
              <w:jc w:val="left"/>
              <w:rPr/>
            </w:pPr>
            <w:r>
              <w:rPr/>
              <w:t>Lease liabilities</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right"/>
              <w:rPr/>
            </w:pPr>
            <w:r>
              <w:rPr/>
              <w:t>573,756</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right"/>
              <w:rPr/>
            </w:pPr>
            <w:r>
              <w:rPr/>
              <w:t>335,857</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890" w:type="dxa"/>
            <w:tcBorders>
              <w:bottom w:val="single" w:sz="6" w:space="0" w:color="000000"/>
            </w:tcBorders>
            <w:vAlign w:val="center"/>
          </w:tcPr>
          <w:p>
            <w:pPr>
              <w:pStyle w:val="TableContents"/>
              <w:bidi w:val="0"/>
              <w:spacing w:before="0" w:after="283"/>
              <w:jc w:val="right"/>
              <w:rPr/>
            </w:pPr>
            <w:r>
              <w:rPr/>
              <w:t>237,899</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3830" w:type="dxa"/>
            <w:tcBorders>
              <w:bottom w:val="single" w:sz="12" w:space="0" w:color="000000"/>
            </w:tcBorders>
            <w:shd w:fill="E6EFFF" w:val="clear"/>
            <w:vAlign w:val="center"/>
          </w:tcPr>
          <w:p>
            <w:pPr>
              <w:pStyle w:val="TableContents"/>
              <w:bidi w:val="0"/>
              <w:spacing w:before="0" w:after="283"/>
              <w:jc w:val="left"/>
              <w:rPr/>
            </w:pPr>
            <w:r>
              <w:rPr/>
              <w:t>Total financial liabilities</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80" w:type="dxa"/>
            <w:tcBorders>
              <w:bottom w:val="single" w:sz="12" w:space="0" w:color="000000"/>
            </w:tcBorders>
            <w:shd w:fill="E6EFFF" w:val="clear"/>
            <w:vAlign w:val="center"/>
          </w:tcPr>
          <w:p>
            <w:pPr>
              <w:pStyle w:val="TableContents"/>
              <w:bidi w:val="0"/>
              <w:spacing w:before="0" w:after="283"/>
              <w:jc w:val="right"/>
              <w:rPr/>
            </w:pPr>
            <w:r>
              <w:rPr/>
              <w:t>3,260,436</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80" w:type="dxa"/>
            <w:tcBorders>
              <w:bottom w:val="single" w:sz="12" w:space="0" w:color="000000"/>
            </w:tcBorders>
            <w:shd w:fill="E6EFFF" w:val="clear"/>
            <w:vAlign w:val="center"/>
          </w:tcPr>
          <w:p>
            <w:pPr>
              <w:pStyle w:val="TableContents"/>
              <w:bidi w:val="0"/>
              <w:spacing w:before="0" w:after="283"/>
              <w:jc w:val="right"/>
              <w:rPr/>
            </w:pPr>
            <w:r>
              <w:rPr/>
              <w:t>3,022,537</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90" w:type="dxa"/>
            <w:tcBorders>
              <w:bottom w:val="single" w:sz="12" w:space="0" w:color="000000"/>
            </w:tcBorders>
            <w:shd w:fill="E6EFFF" w:val="clear"/>
            <w:vAlign w:val="center"/>
          </w:tcPr>
          <w:p>
            <w:pPr>
              <w:pStyle w:val="TableContents"/>
              <w:bidi w:val="0"/>
              <w:spacing w:before="0" w:after="283"/>
              <w:jc w:val="right"/>
              <w:rPr/>
            </w:pPr>
            <w:r>
              <w:rPr/>
              <w:t>237,899</w:t>
            </w:r>
          </w:p>
        </w:tc>
        <w:tc>
          <w:tcPr>
            <w:tcW w:w="75"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pPr>
      <w:r>
        <w:rPr/>
      </w:r>
    </w:p>
    <w:tbl>
      <w:tblPr>
        <w:tblW w:w="7055" w:type="dxa"/>
        <w:jc w:val="left"/>
        <w:tblInd w:w="720" w:type="dxa"/>
        <w:tblLayout w:type="fixed"/>
        <w:tblCellMar>
          <w:top w:w="0" w:type="dxa"/>
          <w:left w:w="0" w:type="dxa"/>
          <w:bottom w:w="28" w:type="dxa"/>
          <w:right w:w="0" w:type="dxa"/>
        </w:tblCellMar>
      </w:tblPr>
      <w:tblGrid>
        <w:gridCol w:w="3830"/>
        <w:gridCol w:w="60"/>
        <w:gridCol w:w="980"/>
        <w:gridCol w:w="60"/>
        <w:gridCol w:w="60"/>
        <w:gridCol w:w="980"/>
        <w:gridCol w:w="60"/>
        <w:gridCol w:w="60"/>
        <w:gridCol w:w="890"/>
        <w:gridCol w:w="75"/>
      </w:tblGrid>
      <w:tr>
        <w:trPr/>
        <w:tc>
          <w:tcPr>
            <w:tcW w:w="3830" w:type="dxa"/>
            <w:tcBorders>
              <w:bottom w:val="single" w:sz="6" w:space="0" w:color="000000"/>
            </w:tcBorders>
            <w:vAlign w:val="center"/>
          </w:tcPr>
          <w:p>
            <w:pPr>
              <w:pStyle w:val="TableContents"/>
              <w:bidi w:val="0"/>
              <w:spacing w:before="0" w:after="283"/>
              <w:jc w:val="left"/>
              <w:rPr/>
            </w:pPr>
            <w:r>
              <w:rPr/>
              <w:t>As at February 28, 2023</w:t>
              <w:br/>
              <w:t> </w:t>
              <w:br/>
              <w:t> </w:t>
            </w:r>
          </w:p>
        </w:tc>
        <w:tc>
          <w:tcPr>
            <w:tcW w:w="60" w:type="dxa"/>
            <w:tcBorders>
              <w:bottom w:val="single" w:sz="6" w:space="0" w:color="000000"/>
            </w:tcBorders>
            <w:vAlign w:val="center"/>
          </w:tcPr>
          <w:p>
            <w:pPr>
              <w:pStyle w:val="TableContents"/>
              <w:bidi w:val="0"/>
              <w:spacing w:before="0" w:after="283"/>
              <w:jc w:val="center"/>
              <w:rPr/>
            </w:pPr>
            <w:r>
              <w:rPr/>
              <w:t> </w:t>
            </w:r>
          </w:p>
        </w:tc>
        <w:tc>
          <w:tcPr>
            <w:tcW w:w="980" w:type="dxa"/>
            <w:tcBorders>
              <w:bottom w:val="single" w:sz="6" w:space="0" w:color="000000"/>
            </w:tcBorders>
            <w:vAlign w:val="center"/>
          </w:tcPr>
          <w:p>
            <w:pPr>
              <w:pStyle w:val="TableContents"/>
              <w:bidi w:val="0"/>
              <w:spacing w:before="0" w:after="283"/>
              <w:jc w:val="center"/>
              <w:rPr/>
            </w:pPr>
            <w:r>
              <w:rPr/>
              <w:t>Total</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980" w:type="dxa"/>
            <w:tcBorders>
              <w:bottom w:val="single" w:sz="6" w:space="0" w:color="000000"/>
            </w:tcBorders>
            <w:vAlign w:val="center"/>
          </w:tcPr>
          <w:p>
            <w:pPr>
              <w:pStyle w:val="TableContents"/>
              <w:bidi w:val="0"/>
              <w:spacing w:before="0" w:after="283"/>
              <w:jc w:val="center"/>
              <w:rPr/>
            </w:pPr>
            <w:r>
              <w:rPr/>
              <w:t>Within</w:t>
              <w:br/>
              <w:t>1 year</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90" w:type="dxa"/>
            <w:tcBorders>
              <w:bottom w:val="single" w:sz="6" w:space="0" w:color="000000"/>
            </w:tcBorders>
            <w:vAlign w:val="center"/>
          </w:tcPr>
          <w:p>
            <w:pPr>
              <w:pStyle w:val="TableContents"/>
              <w:bidi w:val="0"/>
              <w:spacing w:before="0" w:after="283"/>
              <w:jc w:val="center"/>
              <w:rPr/>
            </w:pPr>
            <w:r>
              <w:rPr/>
              <w:t>Within</w:t>
              <w:br/>
              <w:t>2-5 years</w:t>
              <w:br/>
              <w: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383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8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8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89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75"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3830" w:type="dxa"/>
            <w:tcBorders/>
            <w:shd w:fill="E6EFFF" w:val="clear"/>
            <w:tcMar>
              <w:bottom w:w="0" w:type="dxa"/>
            </w:tcMar>
            <w:vAlign w:val="center"/>
          </w:tcPr>
          <w:p>
            <w:pPr>
              <w:pStyle w:val="TableContents"/>
              <w:bidi w:val="0"/>
              <w:spacing w:before="0" w:after="283"/>
              <w:jc w:val="left"/>
              <w:rPr/>
            </w:pPr>
            <w:r>
              <w:rPr/>
              <w:t>Accounts payable and accrued liabilities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3,217,785</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3,217,785</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890" w:type="dxa"/>
            <w:tcBorders/>
            <w:shd w:fill="E6EFFF" w:val="clear"/>
            <w:tcMar>
              <w:bottom w:w="0" w:type="dxa"/>
            </w:tcMar>
            <w:vAlign w:val="center"/>
          </w:tcPr>
          <w:p>
            <w:pPr>
              <w:pStyle w:val="TableContents"/>
              <w:bidi w:val="0"/>
              <w:spacing w:before="0" w:after="283"/>
              <w:jc w:val="right"/>
              <w:rPr/>
            </w:pPr>
            <w:r>
              <w:rPr/>
              <w:t>-</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3830" w:type="dxa"/>
            <w:tcBorders>
              <w:bottom w:val="single" w:sz="6" w:space="0" w:color="000000"/>
            </w:tcBorders>
            <w:vAlign w:val="center"/>
          </w:tcPr>
          <w:p>
            <w:pPr>
              <w:pStyle w:val="TableContents"/>
              <w:bidi w:val="0"/>
              <w:spacing w:before="0" w:after="283"/>
              <w:jc w:val="left"/>
              <w:rPr/>
            </w:pPr>
            <w:r>
              <w:rPr/>
              <w:t>Lease liabilities</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right"/>
              <w:rPr/>
            </w:pPr>
            <w:r>
              <w:rPr/>
              <w:t>641,923</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right"/>
              <w:rPr/>
            </w:pPr>
            <w:r>
              <w:rPr/>
              <w:t>327,791</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890" w:type="dxa"/>
            <w:tcBorders>
              <w:bottom w:val="single" w:sz="6" w:space="0" w:color="000000"/>
            </w:tcBorders>
            <w:vAlign w:val="center"/>
          </w:tcPr>
          <w:p>
            <w:pPr>
              <w:pStyle w:val="TableContents"/>
              <w:bidi w:val="0"/>
              <w:spacing w:before="0" w:after="283"/>
              <w:jc w:val="right"/>
              <w:rPr/>
            </w:pPr>
            <w:r>
              <w:rPr/>
              <w:t>314,133</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3830" w:type="dxa"/>
            <w:tcBorders>
              <w:bottom w:val="single" w:sz="12" w:space="0" w:color="000000"/>
            </w:tcBorders>
            <w:shd w:fill="E6EFFF" w:val="clear"/>
            <w:vAlign w:val="center"/>
          </w:tcPr>
          <w:p>
            <w:pPr>
              <w:pStyle w:val="TableContents"/>
              <w:bidi w:val="0"/>
              <w:spacing w:before="0" w:after="283"/>
              <w:jc w:val="left"/>
              <w:rPr/>
            </w:pPr>
            <w:r>
              <w:rPr/>
              <w:t>Total financial liabilities</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80" w:type="dxa"/>
            <w:tcBorders>
              <w:bottom w:val="single" w:sz="12" w:space="0" w:color="000000"/>
            </w:tcBorders>
            <w:shd w:fill="E6EFFF" w:val="clear"/>
            <w:vAlign w:val="center"/>
          </w:tcPr>
          <w:p>
            <w:pPr>
              <w:pStyle w:val="TableContents"/>
              <w:bidi w:val="0"/>
              <w:spacing w:before="0" w:after="283"/>
              <w:jc w:val="right"/>
              <w:rPr/>
            </w:pPr>
            <w:r>
              <w:rPr/>
              <w:t>3,859,709</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80" w:type="dxa"/>
            <w:tcBorders>
              <w:bottom w:val="single" w:sz="12" w:space="0" w:color="000000"/>
            </w:tcBorders>
            <w:shd w:fill="E6EFFF" w:val="clear"/>
            <w:vAlign w:val="center"/>
          </w:tcPr>
          <w:p>
            <w:pPr>
              <w:pStyle w:val="TableContents"/>
              <w:bidi w:val="0"/>
              <w:spacing w:before="0" w:after="283"/>
              <w:jc w:val="right"/>
              <w:rPr/>
            </w:pPr>
            <w:r>
              <w:rPr/>
              <w:t>3,545,576</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90" w:type="dxa"/>
            <w:tcBorders>
              <w:bottom w:val="single" w:sz="12" w:space="0" w:color="000000"/>
            </w:tcBorders>
            <w:shd w:fill="E6EFFF" w:val="clear"/>
            <w:vAlign w:val="center"/>
          </w:tcPr>
          <w:p>
            <w:pPr>
              <w:pStyle w:val="TableContents"/>
              <w:bidi w:val="0"/>
              <w:spacing w:before="0" w:after="283"/>
              <w:jc w:val="right"/>
              <w:rPr/>
            </w:pPr>
            <w:r>
              <w:rPr/>
              <w:t>314,133</w:t>
            </w:r>
          </w:p>
        </w:tc>
        <w:tc>
          <w:tcPr>
            <w:tcW w:w="75"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jc w:val="both"/>
        <w:rPr>
          <w:b/>
        </w:rPr>
      </w:pPr>
      <w:r>
        <w:rPr>
          <w:b/>
        </w:rPr>
        <w:t>11. Commitments</w:t>
      </w:r>
    </w:p>
    <w:p>
      <w:pPr>
        <w:pStyle w:val="TextBody"/>
        <w:bidi w:val="0"/>
        <w:ind w:left="360" w:right="0" w:hanging="0"/>
        <w:jc w:val="both"/>
        <w:rPr/>
      </w:pPr>
      <w:r>
        <w:rPr/>
        <w:t>The Company has commitments primarily for contracts supporting clinical trials. The Company is subject to commitments as follows:</w:t>
      </w:r>
    </w:p>
    <w:tbl>
      <w:tblPr>
        <w:tblW w:w="3700" w:type="dxa"/>
        <w:jc w:val="left"/>
        <w:tblInd w:w="360" w:type="dxa"/>
        <w:tblLayout w:type="fixed"/>
        <w:tblCellMar>
          <w:top w:w="0" w:type="dxa"/>
          <w:left w:w="0" w:type="dxa"/>
          <w:bottom w:w="0" w:type="dxa"/>
          <w:right w:w="0" w:type="dxa"/>
        </w:tblCellMar>
      </w:tblPr>
      <w:tblGrid>
        <w:gridCol w:w="2585"/>
        <w:gridCol w:w="60"/>
        <w:gridCol w:w="980"/>
        <w:gridCol w:w="75"/>
      </w:tblGrid>
      <w:tr>
        <w:trPr/>
        <w:tc>
          <w:tcPr>
            <w:tcW w:w="2585" w:type="dxa"/>
            <w:tcBorders/>
            <w:vAlign w:val="center"/>
          </w:tcPr>
          <w:p>
            <w:pPr>
              <w:pStyle w:val="TableContents"/>
              <w:bidi w:val="0"/>
              <w:spacing w:before="0" w:after="0"/>
              <w:jc w:val="left"/>
              <w:rPr/>
            </w:pPr>
            <w:r>
              <w:rPr/>
              <w:t>As at May 31, 2023</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6" w:space="0" w:color="000000"/>
            </w:tcBorders>
            <w:tcMar>
              <w:bottom w:w="28" w:type="dxa"/>
            </w:tcMar>
            <w:vAlign w:val="center"/>
          </w:tcPr>
          <w:p>
            <w:pPr>
              <w:pStyle w:val="TableContents"/>
              <w:bidi w:val="0"/>
              <w:spacing w:before="0" w:after="283"/>
              <w:jc w:val="center"/>
              <w:rPr/>
            </w:pPr>
            <w:r>
              <w:rPr/>
              <w:t>$</w:t>
            </w:r>
          </w:p>
        </w:tc>
        <w:tc>
          <w:tcPr>
            <w:tcW w:w="75"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2585" w:type="dxa"/>
            <w:tcBorders>
              <w:top w:val="single" w:sz="6" w:space="0" w:color="000000"/>
            </w:tcBorders>
            <w:tcMar>
              <w:top w:w="28"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tcMar>
            <w:vAlign w:val="center"/>
          </w:tcPr>
          <w:p>
            <w:pPr>
              <w:pStyle w:val="TableContents"/>
              <w:bidi w:val="0"/>
              <w:spacing w:before="0" w:after="283"/>
              <w:jc w:val="right"/>
              <w:rPr/>
            </w:pPr>
            <w:r>
              <w:rPr/>
              <w:t> </w:t>
            </w:r>
          </w:p>
        </w:tc>
        <w:tc>
          <w:tcPr>
            <w:tcW w:w="980" w:type="dxa"/>
            <w:tcBorders>
              <w:top w:val="single" w:sz="6" w:space="0" w:color="000000"/>
            </w:tcBorders>
            <w:tcMar>
              <w:top w:w="28" w:type="dxa"/>
            </w:tcMar>
            <w:vAlign w:val="center"/>
          </w:tcPr>
          <w:p>
            <w:pPr>
              <w:pStyle w:val="TableContents"/>
              <w:bidi w:val="0"/>
              <w:spacing w:before="0" w:after="283"/>
              <w:jc w:val="right"/>
              <w:rPr/>
            </w:pPr>
            <w:r>
              <w:rPr/>
              <w:t> </w:t>
            </w:r>
          </w:p>
        </w:tc>
        <w:tc>
          <w:tcPr>
            <w:tcW w:w="75" w:type="dxa"/>
            <w:tcBorders>
              <w:top w:val="single" w:sz="6" w:space="0" w:color="000000"/>
            </w:tcBorders>
            <w:tcMar>
              <w:top w:w="28" w:type="dxa"/>
            </w:tcMar>
            <w:vAlign w:val="center"/>
          </w:tcPr>
          <w:p>
            <w:pPr>
              <w:pStyle w:val="TableContents"/>
              <w:bidi w:val="0"/>
              <w:spacing w:before="0" w:after="283"/>
              <w:jc w:val="right"/>
              <w:rPr/>
            </w:pPr>
            <w:r>
              <w:rPr/>
              <w:t> </w:t>
            </w:r>
          </w:p>
        </w:tc>
      </w:tr>
      <w:tr>
        <w:trPr/>
        <w:tc>
          <w:tcPr>
            <w:tcW w:w="2585" w:type="dxa"/>
            <w:tcBorders/>
            <w:shd w:fill="E6EFFF" w:val="clear"/>
            <w:vAlign w:val="center"/>
          </w:tcPr>
          <w:p>
            <w:pPr>
              <w:pStyle w:val="TableContents"/>
              <w:bidi w:val="0"/>
              <w:spacing w:before="0" w:after="283"/>
              <w:jc w:val="left"/>
              <w:rPr/>
            </w:pPr>
            <w:r>
              <w:rPr/>
              <w:t>Within one year</w:t>
            </w:r>
          </w:p>
        </w:tc>
        <w:tc>
          <w:tcPr>
            <w:tcW w:w="6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right"/>
              <w:rPr/>
            </w:pPr>
            <w:r>
              <w:rPr/>
              <w:t>3,045,963</w:t>
            </w:r>
          </w:p>
        </w:tc>
        <w:tc>
          <w:tcPr>
            <w:tcW w:w="75" w:type="dxa"/>
            <w:tcBorders/>
            <w:shd w:fill="E6EF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In the second to third years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391,247</w:t>
            </w:r>
          </w:p>
        </w:tc>
        <w:tc>
          <w:tcPr>
            <w:tcW w:w="75" w:type="dxa"/>
            <w:tcBorders/>
            <w:vAlign w:val="center"/>
          </w:tcPr>
          <w:p>
            <w:pPr>
              <w:pStyle w:val="TableContents"/>
              <w:bidi w:val="0"/>
              <w:spacing w:before="0" w:after="283"/>
              <w:jc w:val="left"/>
              <w:rPr/>
            </w:pPr>
            <w:r>
              <w:rPr/>
              <w:t> </w:t>
            </w:r>
          </w:p>
        </w:tc>
      </w:tr>
      <w:tr>
        <w:trPr/>
        <w:tc>
          <w:tcPr>
            <w:tcW w:w="2585" w:type="dxa"/>
            <w:tcBorders>
              <w:bottom w:val="single" w:sz="6" w:space="0" w:color="000000"/>
            </w:tcBorders>
            <w:shd w:fill="E6EFFF" w:val="clear"/>
            <w:tcMar>
              <w:bottom w:w="28" w:type="dxa"/>
            </w:tcMar>
            <w:vAlign w:val="center"/>
          </w:tcPr>
          <w:p>
            <w:pPr>
              <w:pStyle w:val="TableContents"/>
              <w:bidi w:val="0"/>
              <w:spacing w:before="0" w:after="283"/>
              <w:jc w:val="left"/>
              <w:rPr/>
            </w:pPr>
            <w:r>
              <w:rPr/>
              <w:t>In the fourth to fifth years</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E6EFFF" w:val="clear"/>
            <w:tcMar>
              <w:bottom w:w="28" w:type="dxa"/>
            </w:tcMar>
            <w:vAlign w:val="center"/>
          </w:tcPr>
          <w:p>
            <w:pPr>
              <w:pStyle w:val="TableContents"/>
              <w:bidi w:val="0"/>
              <w:spacing w:before="0" w:after="283"/>
              <w:jc w:val="right"/>
              <w:rPr/>
            </w:pPr>
            <w:r>
              <w:rPr/>
              <w:t>77,508</w:t>
            </w:r>
          </w:p>
        </w:tc>
        <w:tc>
          <w:tcPr>
            <w:tcW w:w="7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2585" w:type="dxa"/>
            <w:tcBorders>
              <w:bottom w:val="single" w:sz="12" w:space="0" w:color="000000"/>
            </w:tcBorders>
            <w:tcMar>
              <w:bottom w:w="28" w:type="dxa"/>
            </w:tcMar>
            <w:vAlign w:val="center"/>
          </w:tcPr>
          <w:p>
            <w:pPr>
              <w:pStyle w:val="TableContents"/>
              <w:bidi w:val="0"/>
              <w:spacing w:before="0" w:after="283"/>
              <w:jc w:val="left"/>
              <w:rPr/>
            </w:pPr>
            <w:r>
              <w:rPr/>
              <w:t>Total</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3,514,718</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ind w:left="360" w:right="0" w:hanging="0"/>
        <w:jc w:val="both"/>
        <w:rPr/>
      </w:pPr>
      <w:r>
        <w:rPr/>
        <w:t>As at May 31, 2023 there is an unprovided contingent liability of $2,156,183 in relation to officers and employee bonuses in relation to the financial year ended February 28, 2023. The board approved payment of these bonuses in the event that certain conditions are satisfied. Management's view is that it is unlikely that the conditions will be satisfied to trigger the payment of these bonuses and therefore $nil has been included in accounts payable and accrued liabilities at May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65" w:name="footer_page_16"/>
      <w:bookmarkEnd w:id="65"/>
      <w:r>
        <w:rPr/>
        <w:t>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66" w:name="header_page_17"/>
      <w:bookmarkStart w:id="67" w:name="header_page_17"/>
      <w:bookmarkEnd w:id="67"/>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12.</w:t>
      </w:r>
      <w:r>
        <w:rPr/>
        <w:t> </w:t>
      </w:r>
      <w:r>
        <w:rPr>
          <w:b/>
        </w:rPr>
        <w:t>Segmented Information</w:t>
      </w:r>
    </w:p>
    <w:p>
      <w:pPr>
        <w:pStyle w:val="TextBody"/>
        <w:bidi w:val="0"/>
        <w:ind w:left="360" w:right="0" w:hanging="0"/>
        <w:jc w:val="both"/>
        <w:rPr/>
      </w:pPr>
      <w:r>
        <w:rPr/>
        <w:t>The Company has one operating segment, research and development of psychedelic and non-psychedelic medicine. The Company's head office and operations are in the UK. Geographic information for non-current assets is as follows:</w:t>
      </w:r>
    </w:p>
    <w:tbl>
      <w:tblPr>
        <w:tblW w:w="5015" w:type="dxa"/>
        <w:jc w:val="left"/>
        <w:tblInd w:w="360" w:type="dxa"/>
        <w:tblLayout w:type="fixed"/>
        <w:tblCellMar>
          <w:top w:w="0" w:type="dxa"/>
          <w:left w:w="0" w:type="dxa"/>
          <w:bottom w:w="28" w:type="dxa"/>
          <w:right w:w="0" w:type="dxa"/>
        </w:tblCellMar>
      </w:tblPr>
      <w:tblGrid>
        <w:gridCol w:w="2300"/>
        <w:gridCol w:w="60"/>
        <w:gridCol w:w="740"/>
        <w:gridCol w:w="60"/>
        <w:gridCol w:w="60"/>
        <w:gridCol w:w="800"/>
        <w:gridCol w:w="60"/>
        <w:gridCol w:w="60"/>
        <w:gridCol w:w="800"/>
        <w:gridCol w:w="75"/>
      </w:tblGrid>
      <w:tr>
        <w:trPr/>
        <w:tc>
          <w:tcPr>
            <w:tcW w:w="2300" w:type="dxa"/>
            <w:tcBorders>
              <w:bottom w:val="single" w:sz="6" w:space="0" w:color="000000"/>
            </w:tcBorders>
            <w:vAlign w:val="center"/>
          </w:tcPr>
          <w:p>
            <w:pPr>
              <w:pStyle w:val="TableContents"/>
              <w:bidi w:val="0"/>
              <w:spacing w:before="0" w:after="0"/>
              <w:jc w:val="left"/>
              <w:rPr/>
            </w:pPr>
            <w:r>
              <w:rPr/>
              <w:t>As at May 31, 2023</w:t>
              <w:br/>
              <w:t> </w:t>
            </w:r>
          </w:p>
        </w:tc>
        <w:tc>
          <w:tcPr>
            <w:tcW w:w="60" w:type="dxa"/>
            <w:tcBorders>
              <w:bottom w:val="single" w:sz="6" w:space="0" w:color="000000"/>
            </w:tcBorders>
            <w:vAlign w:val="center"/>
          </w:tcPr>
          <w:p>
            <w:pPr>
              <w:pStyle w:val="TableContents"/>
              <w:bidi w:val="0"/>
              <w:spacing w:before="0" w:after="283"/>
              <w:jc w:val="center"/>
              <w:rPr/>
            </w:pPr>
            <w:r>
              <w:rPr/>
              <w:t> </w:t>
            </w:r>
          </w:p>
        </w:tc>
        <w:tc>
          <w:tcPr>
            <w:tcW w:w="740" w:type="dxa"/>
            <w:tcBorders>
              <w:bottom w:val="single" w:sz="6" w:space="0" w:color="000000"/>
            </w:tcBorders>
            <w:vAlign w:val="center"/>
          </w:tcPr>
          <w:p>
            <w:pPr>
              <w:pStyle w:val="TableContents"/>
              <w:bidi w:val="0"/>
              <w:spacing w:before="0" w:after="283"/>
              <w:jc w:val="center"/>
              <w:rPr/>
            </w:pPr>
            <w:r>
              <w:rPr/>
              <w:t>Canada</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00" w:type="dxa"/>
            <w:tcBorders>
              <w:bottom w:val="single" w:sz="6" w:space="0" w:color="000000"/>
            </w:tcBorders>
            <w:vAlign w:val="center"/>
          </w:tcPr>
          <w:p>
            <w:pPr>
              <w:pStyle w:val="TableContents"/>
              <w:bidi w:val="0"/>
              <w:spacing w:before="0" w:after="283"/>
              <w:jc w:val="center"/>
              <w:rPr/>
            </w:pPr>
            <w:r>
              <w:rPr/>
              <w:t>UK</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00" w:type="dxa"/>
            <w:tcBorders>
              <w:bottom w:val="single" w:sz="6" w:space="0" w:color="000000"/>
            </w:tcBorders>
            <w:vAlign w:val="center"/>
          </w:tcPr>
          <w:p>
            <w:pPr>
              <w:pStyle w:val="TableContents"/>
              <w:bidi w:val="0"/>
              <w:spacing w:before="0" w:after="283"/>
              <w:jc w:val="center"/>
              <w:rPr/>
            </w:pPr>
            <w:r>
              <w:rPr/>
              <w:t>Total</w:t>
              <w:br/>
              <w: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2300" w:type="dxa"/>
            <w:tcBorders/>
            <w:tcMar>
              <w:bottom w:w="0" w:type="dxa"/>
            </w:tcMar>
            <w:vAlign w:val="center"/>
          </w:tcPr>
          <w:p>
            <w:pPr>
              <w:pStyle w:val="TableContents"/>
              <w:bidi w:val="0"/>
              <w:spacing w:before="0" w:after="0"/>
              <w:jc w:val="lef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74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80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80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75"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2300" w:type="dxa"/>
            <w:tcBorders/>
            <w:shd w:fill="E6EFFF" w:val="clear"/>
            <w:tcMar>
              <w:bottom w:w="0" w:type="dxa"/>
            </w:tcMar>
            <w:vAlign w:val="center"/>
          </w:tcPr>
          <w:p>
            <w:pPr>
              <w:pStyle w:val="TableContents"/>
              <w:bidi w:val="0"/>
              <w:spacing w:before="0" w:after="0"/>
              <w:jc w:val="left"/>
              <w:rPr/>
            </w:pPr>
            <w:r>
              <w:rPr/>
              <w:t>Property and equipment</w:t>
            </w:r>
          </w:p>
        </w:tc>
        <w:tc>
          <w:tcPr>
            <w:tcW w:w="60" w:type="dxa"/>
            <w:tcBorders/>
            <w:shd w:fill="E6EFFF" w:val="clear"/>
            <w:tcMar>
              <w:bottom w:w="0" w:type="dxa"/>
            </w:tcMar>
            <w:vAlign w:val="center"/>
          </w:tcPr>
          <w:p>
            <w:pPr>
              <w:pStyle w:val="TableContents"/>
              <w:bidi w:val="0"/>
              <w:spacing w:before="0" w:after="283"/>
              <w:jc w:val="left"/>
              <w:rPr/>
            </w:pPr>
            <w:r>
              <w:rPr/>
              <w:t> </w:t>
            </w:r>
          </w:p>
        </w:tc>
        <w:tc>
          <w:tcPr>
            <w:tcW w:w="740" w:type="dxa"/>
            <w:tcBorders/>
            <w:shd w:fill="E6EFFF" w:val="clear"/>
            <w:tcMar>
              <w:bottom w:w="0" w:type="dxa"/>
            </w:tcMar>
            <w:vAlign w:val="center"/>
          </w:tcPr>
          <w:p>
            <w:pPr>
              <w:pStyle w:val="TableContents"/>
              <w:bidi w:val="0"/>
              <w:spacing w:before="0" w:after="283"/>
              <w:jc w:val="righ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800" w:type="dxa"/>
            <w:tcBorders/>
            <w:shd w:fill="E6EFFF" w:val="clear"/>
            <w:tcMar>
              <w:bottom w:w="0" w:type="dxa"/>
            </w:tcMar>
            <w:vAlign w:val="center"/>
          </w:tcPr>
          <w:p>
            <w:pPr>
              <w:pStyle w:val="TableContents"/>
              <w:bidi w:val="0"/>
              <w:spacing w:before="0" w:after="283"/>
              <w:jc w:val="right"/>
              <w:rPr/>
            </w:pPr>
            <w:r>
              <w:rPr/>
              <w:t>48,756</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800" w:type="dxa"/>
            <w:tcBorders/>
            <w:shd w:fill="E6EFFF" w:val="clear"/>
            <w:tcMar>
              <w:bottom w:w="0" w:type="dxa"/>
            </w:tcMar>
            <w:vAlign w:val="center"/>
          </w:tcPr>
          <w:p>
            <w:pPr>
              <w:pStyle w:val="TableContents"/>
              <w:bidi w:val="0"/>
              <w:spacing w:before="0" w:after="283"/>
              <w:jc w:val="right"/>
              <w:rPr/>
            </w:pPr>
            <w:r>
              <w:rPr/>
              <w:t>48,756</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300" w:type="dxa"/>
            <w:tcBorders>
              <w:bottom w:val="single" w:sz="6" w:space="0" w:color="000000"/>
            </w:tcBorders>
            <w:vAlign w:val="center"/>
          </w:tcPr>
          <w:p>
            <w:pPr>
              <w:pStyle w:val="TableContents"/>
              <w:bidi w:val="0"/>
              <w:spacing w:before="0" w:after="0"/>
              <w:jc w:val="left"/>
              <w:rPr/>
            </w:pPr>
            <w:r>
              <w:rPr/>
              <w:t>Right-of-use asset</w:t>
            </w:r>
          </w:p>
        </w:tc>
        <w:tc>
          <w:tcPr>
            <w:tcW w:w="60" w:type="dxa"/>
            <w:tcBorders>
              <w:bottom w:val="single" w:sz="6" w:space="0" w:color="000000"/>
            </w:tcBorders>
            <w:vAlign w:val="center"/>
          </w:tcPr>
          <w:p>
            <w:pPr>
              <w:pStyle w:val="TableContents"/>
              <w:bidi w:val="0"/>
              <w:spacing w:before="0" w:after="283"/>
              <w:jc w:val="left"/>
              <w:rPr/>
            </w:pPr>
            <w:r>
              <w:rPr/>
              <w:t> </w:t>
            </w:r>
          </w:p>
        </w:tc>
        <w:tc>
          <w:tcPr>
            <w:tcW w:w="740" w:type="dxa"/>
            <w:tcBorders>
              <w:bottom w:val="single" w:sz="6" w:space="0" w:color="000000"/>
            </w:tcBorders>
            <w:vAlign w:val="center"/>
          </w:tcPr>
          <w:p>
            <w:pPr>
              <w:pStyle w:val="TableContents"/>
              <w:bidi w:val="0"/>
              <w:spacing w:before="0" w:after="283"/>
              <w:jc w:val="righ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800" w:type="dxa"/>
            <w:tcBorders>
              <w:bottom w:val="single" w:sz="6" w:space="0" w:color="000000"/>
            </w:tcBorders>
            <w:vAlign w:val="center"/>
          </w:tcPr>
          <w:p>
            <w:pPr>
              <w:pStyle w:val="TableContents"/>
              <w:bidi w:val="0"/>
              <w:spacing w:before="0" w:after="283"/>
              <w:jc w:val="right"/>
              <w:rPr/>
            </w:pPr>
            <w:r>
              <w:rPr/>
              <w:t>540,962</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800" w:type="dxa"/>
            <w:tcBorders>
              <w:bottom w:val="single" w:sz="6" w:space="0" w:color="000000"/>
            </w:tcBorders>
            <w:vAlign w:val="center"/>
          </w:tcPr>
          <w:p>
            <w:pPr>
              <w:pStyle w:val="TableContents"/>
              <w:bidi w:val="0"/>
              <w:spacing w:before="0" w:after="283"/>
              <w:jc w:val="right"/>
              <w:rPr/>
            </w:pPr>
            <w:r>
              <w:rPr/>
              <w:t>540,962</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2300" w:type="dxa"/>
            <w:tcBorders>
              <w:bottom w:val="single" w:sz="12" w:space="0" w:color="000000"/>
            </w:tcBorders>
            <w:shd w:fill="E6EFFF" w:val="clear"/>
            <w:vAlign w:val="center"/>
          </w:tcPr>
          <w:p>
            <w:pPr>
              <w:pStyle w:val="TableContents"/>
              <w:bidi w:val="0"/>
              <w:spacing w:before="0" w:after="0"/>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740" w:type="dxa"/>
            <w:tcBorders>
              <w:bottom w:val="single" w:sz="12" w:space="0" w:color="000000"/>
            </w:tcBorders>
            <w:shd w:fill="E6EFFF" w:val="clear"/>
            <w:vAlign w:val="center"/>
          </w:tcPr>
          <w:p>
            <w:pPr>
              <w:pStyle w:val="TableContents"/>
              <w:bidi w:val="0"/>
              <w:spacing w:before="0" w:after="283"/>
              <w:jc w:val="right"/>
              <w:rPr/>
            </w:pPr>
            <w:r>
              <w:rPr/>
              <w:t>-</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00" w:type="dxa"/>
            <w:tcBorders>
              <w:bottom w:val="single" w:sz="12" w:space="0" w:color="000000"/>
            </w:tcBorders>
            <w:shd w:fill="E6EFFF" w:val="clear"/>
            <w:vAlign w:val="center"/>
          </w:tcPr>
          <w:p>
            <w:pPr>
              <w:pStyle w:val="TableContents"/>
              <w:bidi w:val="0"/>
              <w:spacing w:before="0" w:after="283"/>
              <w:jc w:val="right"/>
              <w:rPr/>
            </w:pPr>
            <w:r>
              <w:rPr/>
              <w:t>589,718</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00" w:type="dxa"/>
            <w:tcBorders>
              <w:bottom w:val="single" w:sz="12" w:space="0" w:color="000000"/>
            </w:tcBorders>
            <w:shd w:fill="E6EFFF" w:val="clear"/>
            <w:vAlign w:val="center"/>
          </w:tcPr>
          <w:p>
            <w:pPr>
              <w:pStyle w:val="TableContents"/>
              <w:bidi w:val="0"/>
              <w:spacing w:before="0" w:after="283"/>
              <w:jc w:val="right"/>
              <w:rPr/>
            </w:pPr>
            <w:r>
              <w:rPr/>
              <w:t>589,718</w:t>
            </w:r>
          </w:p>
        </w:tc>
        <w:tc>
          <w:tcPr>
            <w:tcW w:w="75"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pPr>
      <w:r>
        <w:rPr/>
      </w:r>
    </w:p>
    <w:tbl>
      <w:tblPr>
        <w:tblW w:w="5060" w:type="dxa"/>
        <w:jc w:val="left"/>
        <w:tblInd w:w="360" w:type="dxa"/>
        <w:tblLayout w:type="fixed"/>
        <w:tblCellMar>
          <w:top w:w="0" w:type="dxa"/>
          <w:left w:w="0" w:type="dxa"/>
          <w:bottom w:w="28" w:type="dxa"/>
          <w:right w:w="0" w:type="dxa"/>
        </w:tblCellMar>
      </w:tblPr>
      <w:tblGrid>
        <w:gridCol w:w="2345"/>
        <w:gridCol w:w="60"/>
        <w:gridCol w:w="740"/>
        <w:gridCol w:w="60"/>
        <w:gridCol w:w="60"/>
        <w:gridCol w:w="800"/>
        <w:gridCol w:w="60"/>
        <w:gridCol w:w="60"/>
        <w:gridCol w:w="800"/>
        <w:gridCol w:w="75"/>
      </w:tblGrid>
      <w:tr>
        <w:trPr/>
        <w:tc>
          <w:tcPr>
            <w:tcW w:w="2345" w:type="dxa"/>
            <w:tcBorders>
              <w:bottom w:val="single" w:sz="6" w:space="0" w:color="000000"/>
            </w:tcBorders>
            <w:vAlign w:val="center"/>
          </w:tcPr>
          <w:p>
            <w:pPr>
              <w:pStyle w:val="TableContents"/>
              <w:bidi w:val="0"/>
              <w:spacing w:before="0" w:after="0"/>
              <w:jc w:val="left"/>
              <w:rPr/>
            </w:pPr>
            <w:r>
              <w:rPr/>
              <w:t>As at February 28, 2023</w:t>
              <w:br/>
              <w:t> </w:t>
            </w:r>
          </w:p>
        </w:tc>
        <w:tc>
          <w:tcPr>
            <w:tcW w:w="60" w:type="dxa"/>
            <w:tcBorders>
              <w:bottom w:val="single" w:sz="6" w:space="0" w:color="000000"/>
            </w:tcBorders>
            <w:vAlign w:val="center"/>
          </w:tcPr>
          <w:p>
            <w:pPr>
              <w:pStyle w:val="TableContents"/>
              <w:bidi w:val="0"/>
              <w:spacing w:before="0" w:after="283"/>
              <w:jc w:val="center"/>
              <w:rPr/>
            </w:pPr>
            <w:r>
              <w:rPr/>
              <w:t> </w:t>
            </w:r>
          </w:p>
        </w:tc>
        <w:tc>
          <w:tcPr>
            <w:tcW w:w="740" w:type="dxa"/>
            <w:tcBorders>
              <w:bottom w:val="single" w:sz="6" w:space="0" w:color="000000"/>
            </w:tcBorders>
            <w:vAlign w:val="center"/>
          </w:tcPr>
          <w:p>
            <w:pPr>
              <w:pStyle w:val="TableContents"/>
              <w:bidi w:val="0"/>
              <w:spacing w:before="0" w:after="283"/>
              <w:jc w:val="center"/>
              <w:rPr/>
            </w:pPr>
            <w:r>
              <w:rPr/>
              <w:t>Canada</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00" w:type="dxa"/>
            <w:tcBorders>
              <w:bottom w:val="single" w:sz="6" w:space="0" w:color="000000"/>
            </w:tcBorders>
            <w:vAlign w:val="center"/>
          </w:tcPr>
          <w:p>
            <w:pPr>
              <w:pStyle w:val="TableContents"/>
              <w:bidi w:val="0"/>
              <w:spacing w:before="0" w:after="283"/>
              <w:jc w:val="center"/>
              <w:rPr/>
            </w:pPr>
            <w:r>
              <w:rPr/>
              <w:t>UK</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00" w:type="dxa"/>
            <w:tcBorders>
              <w:bottom w:val="single" w:sz="6" w:space="0" w:color="000000"/>
            </w:tcBorders>
            <w:vAlign w:val="center"/>
          </w:tcPr>
          <w:p>
            <w:pPr>
              <w:pStyle w:val="TableContents"/>
              <w:bidi w:val="0"/>
              <w:spacing w:before="0" w:after="283"/>
              <w:jc w:val="center"/>
              <w:rPr/>
            </w:pPr>
            <w:r>
              <w:rPr/>
              <w:t>Total</w:t>
              <w:br/>
              <w: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2345" w:type="dxa"/>
            <w:tcBorders/>
            <w:tcMar>
              <w:bottom w:w="0" w:type="dxa"/>
            </w:tcMar>
            <w:vAlign w:val="center"/>
          </w:tcPr>
          <w:p>
            <w:pPr>
              <w:pStyle w:val="TableContents"/>
              <w:bidi w:val="0"/>
              <w:spacing w:before="0" w:after="0"/>
              <w:jc w:val="lef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74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80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80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75"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2345" w:type="dxa"/>
            <w:tcBorders/>
            <w:shd w:fill="E6EFFF" w:val="clear"/>
            <w:tcMar>
              <w:bottom w:w="0" w:type="dxa"/>
            </w:tcMar>
            <w:vAlign w:val="center"/>
          </w:tcPr>
          <w:p>
            <w:pPr>
              <w:pStyle w:val="TableContents"/>
              <w:bidi w:val="0"/>
              <w:spacing w:before="0" w:after="0"/>
              <w:jc w:val="left"/>
              <w:rPr/>
            </w:pPr>
            <w:r>
              <w:rPr/>
              <w:t>Property and equipment</w:t>
            </w:r>
          </w:p>
        </w:tc>
        <w:tc>
          <w:tcPr>
            <w:tcW w:w="60" w:type="dxa"/>
            <w:tcBorders/>
            <w:shd w:fill="E6EFFF" w:val="clear"/>
            <w:tcMar>
              <w:bottom w:w="0" w:type="dxa"/>
            </w:tcMar>
            <w:vAlign w:val="center"/>
          </w:tcPr>
          <w:p>
            <w:pPr>
              <w:pStyle w:val="TableContents"/>
              <w:bidi w:val="0"/>
              <w:spacing w:before="0" w:after="283"/>
              <w:jc w:val="left"/>
              <w:rPr/>
            </w:pPr>
            <w:r>
              <w:rPr/>
              <w:t> </w:t>
            </w:r>
          </w:p>
        </w:tc>
        <w:tc>
          <w:tcPr>
            <w:tcW w:w="740" w:type="dxa"/>
            <w:tcBorders/>
            <w:shd w:fill="E6EFFF" w:val="clear"/>
            <w:tcMar>
              <w:bottom w:w="0" w:type="dxa"/>
            </w:tcMar>
            <w:vAlign w:val="center"/>
          </w:tcPr>
          <w:p>
            <w:pPr>
              <w:pStyle w:val="TableContents"/>
              <w:bidi w:val="0"/>
              <w:spacing w:before="0" w:after="283"/>
              <w:jc w:val="righ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800" w:type="dxa"/>
            <w:tcBorders/>
            <w:shd w:fill="E6EFFF" w:val="clear"/>
            <w:tcMar>
              <w:bottom w:w="0" w:type="dxa"/>
            </w:tcMar>
            <w:vAlign w:val="center"/>
          </w:tcPr>
          <w:p>
            <w:pPr>
              <w:pStyle w:val="TableContents"/>
              <w:bidi w:val="0"/>
              <w:spacing w:before="0" w:after="283"/>
              <w:jc w:val="right"/>
              <w:rPr/>
            </w:pPr>
            <w:r>
              <w:rPr/>
              <w:t>54,341</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800" w:type="dxa"/>
            <w:tcBorders/>
            <w:shd w:fill="E6EFFF" w:val="clear"/>
            <w:tcMar>
              <w:bottom w:w="0" w:type="dxa"/>
            </w:tcMar>
            <w:vAlign w:val="center"/>
          </w:tcPr>
          <w:p>
            <w:pPr>
              <w:pStyle w:val="TableContents"/>
              <w:bidi w:val="0"/>
              <w:spacing w:before="0" w:after="283"/>
              <w:jc w:val="right"/>
              <w:rPr/>
            </w:pPr>
            <w:r>
              <w:rPr/>
              <w:t>54,341</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345" w:type="dxa"/>
            <w:tcBorders>
              <w:bottom w:val="single" w:sz="6" w:space="0" w:color="000000"/>
            </w:tcBorders>
            <w:vAlign w:val="center"/>
          </w:tcPr>
          <w:p>
            <w:pPr>
              <w:pStyle w:val="TableContents"/>
              <w:bidi w:val="0"/>
              <w:spacing w:before="0" w:after="0"/>
              <w:jc w:val="left"/>
              <w:rPr/>
            </w:pPr>
            <w:r>
              <w:rPr/>
              <w:t>Right-of-use asset</w:t>
            </w:r>
          </w:p>
        </w:tc>
        <w:tc>
          <w:tcPr>
            <w:tcW w:w="60" w:type="dxa"/>
            <w:tcBorders>
              <w:bottom w:val="single" w:sz="6" w:space="0" w:color="000000"/>
            </w:tcBorders>
            <w:vAlign w:val="center"/>
          </w:tcPr>
          <w:p>
            <w:pPr>
              <w:pStyle w:val="TableContents"/>
              <w:bidi w:val="0"/>
              <w:spacing w:before="0" w:after="283"/>
              <w:jc w:val="left"/>
              <w:rPr/>
            </w:pPr>
            <w:r>
              <w:rPr/>
              <w:t> </w:t>
            </w:r>
          </w:p>
        </w:tc>
        <w:tc>
          <w:tcPr>
            <w:tcW w:w="740" w:type="dxa"/>
            <w:tcBorders>
              <w:bottom w:val="single" w:sz="6" w:space="0" w:color="000000"/>
            </w:tcBorders>
            <w:vAlign w:val="center"/>
          </w:tcPr>
          <w:p>
            <w:pPr>
              <w:pStyle w:val="TableContents"/>
              <w:bidi w:val="0"/>
              <w:spacing w:before="0" w:after="283"/>
              <w:jc w:val="righ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800" w:type="dxa"/>
            <w:tcBorders>
              <w:bottom w:val="single" w:sz="6" w:space="0" w:color="000000"/>
            </w:tcBorders>
            <w:vAlign w:val="center"/>
          </w:tcPr>
          <w:p>
            <w:pPr>
              <w:pStyle w:val="TableContents"/>
              <w:bidi w:val="0"/>
              <w:spacing w:before="0" w:after="283"/>
              <w:jc w:val="right"/>
              <w:rPr/>
            </w:pPr>
            <w:r>
              <w:rPr/>
              <w:t>605,233</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800" w:type="dxa"/>
            <w:tcBorders>
              <w:bottom w:val="single" w:sz="6" w:space="0" w:color="000000"/>
            </w:tcBorders>
            <w:vAlign w:val="center"/>
          </w:tcPr>
          <w:p>
            <w:pPr>
              <w:pStyle w:val="TableContents"/>
              <w:bidi w:val="0"/>
              <w:spacing w:before="0" w:after="283"/>
              <w:jc w:val="right"/>
              <w:rPr/>
            </w:pPr>
            <w:r>
              <w:rPr/>
              <w:t>605,233</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2345" w:type="dxa"/>
            <w:tcBorders>
              <w:bottom w:val="single" w:sz="12" w:space="0" w:color="000000"/>
            </w:tcBorders>
            <w:shd w:fill="E6EFFF" w:val="clear"/>
            <w:vAlign w:val="center"/>
          </w:tcPr>
          <w:p>
            <w:pPr>
              <w:pStyle w:val="TableContents"/>
              <w:bidi w:val="0"/>
              <w:spacing w:before="0" w:after="0"/>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740" w:type="dxa"/>
            <w:tcBorders>
              <w:bottom w:val="single" w:sz="12" w:space="0" w:color="000000"/>
            </w:tcBorders>
            <w:shd w:fill="E6EFFF" w:val="clear"/>
            <w:vAlign w:val="center"/>
          </w:tcPr>
          <w:p>
            <w:pPr>
              <w:pStyle w:val="TableContents"/>
              <w:bidi w:val="0"/>
              <w:spacing w:before="0" w:after="283"/>
              <w:jc w:val="right"/>
              <w:rPr/>
            </w:pPr>
            <w:r>
              <w:rPr/>
              <w:t>-</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00" w:type="dxa"/>
            <w:tcBorders>
              <w:bottom w:val="single" w:sz="12" w:space="0" w:color="000000"/>
            </w:tcBorders>
            <w:shd w:fill="E6EFFF" w:val="clear"/>
            <w:vAlign w:val="center"/>
          </w:tcPr>
          <w:p>
            <w:pPr>
              <w:pStyle w:val="TableContents"/>
              <w:bidi w:val="0"/>
              <w:spacing w:before="0" w:after="283"/>
              <w:jc w:val="right"/>
              <w:rPr/>
            </w:pPr>
            <w:r>
              <w:rPr/>
              <w:t>659,574</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00" w:type="dxa"/>
            <w:tcBorders>
              <w:bottom w:val="single" w:sz="12" w:space="0" w:color="000000"/>
            </w:tcBorders>
            <w:shd w:fill="E6EFFF" w:val="clear"/>
            <w:vAlign w:val="center"/>
          </w:tcPr>
          <w:p>
            <w:pPr>
              <w:pStyle w:val="TableContents"/>
              <w:bidi w:val="0"/>
              <w:spacing w:before="0" w:after="283"/>
              <w:jc w:val="right"/>
              <w:rPr/>
            </w:pPr>
            <w:r>
              <w:rPr/>
              <w:t>659,574</w:t>
            </w:r>
          </w:p>
        </w:tc>
        <w:tc>
          <w:tcPr>
            <w:tcW w:w="75"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ind w:left="360" w:right="0" w:hanging="0"/>
        <w:jc w:val="both"/>
        <w:rPr/>
      </w:pPr>
      <w:r>
        <w:rPr/>
        <w:t>For the three months ended May 31, 2023, the Company did not generate any revenue (May 31, 2022 - $nil).</w:t>
      </w:r>
    </w:p>
    <w:p>
      <w:pPr>
        <w:pStyle w:val="TextBody"/>
        <w:bidi w:val="0"/>
        <w:jc w:val="both"/>
        <w:rPr>
          <w:b/>
        </w:rPr>
      </w:pPr>
      <w:r>
        <w:rPr>
          <w:b/>
        </w:rPr>
        <w:t>13.  Subsequent Event</w:t>
      </w:r>
    </w:p>
    <w:p>
      <w:pPr>
        <w:pStyle w:val="TextBody"/>
        <w:bidi w:val="0"/>
        <w:ind w:left="360" w:right="0" w:hanging="0"/>
        <w:jc w:val="both"/>
        <w:rPr/>
      </w:pPr>
      <w:r>
        <w:rPr/>
        <w:t>Effective as of July 1, 2023, Mr. Peter Rands, co-founder, Chief Innovation &amp; Intellectual Property Officer and former Chief Executive Officer of the Company, left his positions as an executive officer and director of the Company and its subsidiaries. In connection with his departure, compensation payments of $275,628 were made.</w:t>
      </w:r>
    </w:p>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68" w:name="footer_page_17"/>
      <w:bookmarkEnd w:id="68"/>
      <w:r>
        <w:rPr/>
        <w:t>15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69" w:name="exhibit99-4.htm"/>
      <w:bookmarkStart w:id="70" w:name="ksexhibit994"/>
      <w:bookmarkStart w:id="71" w:name="exhibit99-4.htm"/>
      <w:bookmarkStart w:id="72" w:name="ksexhibit994"/>
      <w:bookmarkEnd w:id="71"/>
      <w:bookmarkEnd w:id="72"/>
      <w:r>
        <w:br w:type="page"/>
      </w:r>
    </w:p>
    <w:p>
      <w:pPr>
        <w:pStyle w:val="TextBody"/>
        <w:bidi w:val="0"/>
        <w:jc w:val="right"/>
        <w:rPr/>
      </w:pPr>
      <w:bookmarkStart w:id="73" w:name="page_13"/>
      <w:bookmarkEnd w:id="73"/>
      <w:r>
        <w:rPr/>
        <w:drawing>
          <wp:inline distT="0" distB="0" distL="0" distR="0">
            <wp:extent cx="1304925" cy="428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
                    <a:stretch>
                      <a:fillRect/>
                    </a:stretch>
                  </pic:blipFill>
                  <pic:spPr bwMode="auto">
                    <a:xfrm>
                      <a:off x="0" y="0"/>
                      <a:ext cx="1304925" cy="428625"/>
                    </a:xfrm>
                    <a:prstGeom prst="rect">
                      <a:avLst/>
                    </a:prstGeom>
                  </pic:spPr>
                </pic:pic>
              </a:graphicData>
            </a:graphic>
          </wp:inline>
        </w:drawing>
      </w:r>
    </w:p>
    <w:p>
      <w:pPr>
        <w:pStyle w:val="TextBody"/>
        <w:bidi w:val="0"/>
        <w:jc w:val="center"/>
        <w:rPr>
          <w:b/>
        </w:rPr>
      </w:pPr>
      <w:r>
        <w:rPr>
          <w:b/>
        </w:rPr>
        <w:t>Consent of Independent Registered Public Accounting Firm</w:t>
      </w:r>
    </w:p>
    <w:p>
      <w:pPr>
        <w:pStyle w:val="TextBody"/>
        <w:bidi w:val="0"/>
        <w:jc w:val="both"/>
        <w:rPr/>
      </w:pPr>
      <w:r>
        <w:rPr/>
        <w:t>We consent to the incorporation by reference in the Registration Statement on Form F-10 (No. 333-272706) of Cybin Inc. (the "Company") of our report dated June 28, 2023 to the shareholders of Small Pharma Inc. on the consolidated financial statements of Small Pharma Inc., which comprises of the consolidated statements of financial position as at February 28, 2023 and 2022, and the consolidated statements of operations and comprehensive loss, changes in equity (deficit), cash flows, and notes to the consolidated financial statements, including a summary of significant accounting policies, for the years then ended, as included in the Company's Business Acquisition Report Amendment No. 1 on Form 6-K/A, as filed with of the United States Securities Exchange Commission on November 13, 2023.</w:t>
      </w:r>
    </w:p>
    <w:p>
      <w:pPr>
        <w:pStyle w:val="TextBody"/>
        <w:bidi w:val="0"/>
        <w:jc w:val="both"/>
        <w:rPr>
          <w:i/>
        </w:rPr>
      </w:pPr>
      <w:r>
        <w:rPr>
          <w:i/>
        </w:rPr>
        <w:t xml:space="preserve">/s/ MNP LLP </w:t>
      </w:r>
    </w:p>
    <w:p>
      <w:pPr>
        <w:pStyle w:val="TextBody"/>
        <w:bidi w:val="0"/>
        <w:jc w:val="both"/>
        <w:rPr/>
      </w:pPr>
      <w:r>
        <w:rPr/>
        <w:t xml:space="preserve">Chartered Professional Accountants </w:t>
        <w:br/>
        <w:t>Licensed Public Accountants</w:t>
      </w:r>
    </w:p>
    <w:p>
      <w:pPr>
        <w:pStyle w:val="TextBody"/>
        <w:bidi w:val="0"/>
        <w:jc w:val="both"/>
        <w:rPr/>
      </w:pPr>
      <w:r>
        <w:rPr/>
        <w:t xml:space="preserve">Toronto, Canada </w:t>
        <w:br/>
        <w:t>November 13, 2023</w:t>
      </w:r>
    </w:p>
    <w:p>
      <w:pPr>
        <w:pStyle w:val="HorizontalLine"/>
        <w:pBdr>
          <w:bottom w:val="single" w:sz="30" w:space="0" w:color="00000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33141/000183314123000016/businessacquistionreport6-k.htm" TargetMode="External"/><Relationship Id="rId3" Type="http://schemas.openxmlformats.org/officeDocument/2006/relationships/hyperlink" Target="http://www.sec.gov/Archives/edgar/data/1833141/000106299323013734/formf10.htm" TargetMode="External"/><Relationship Id="rId4" Type="http://schemas.openxmlformats.org/officeDocument/2006/relationships/hyperlink" Target="http://www.sec.gov/Archives/edgar/data/1833141/000183314123000016/cybin-businessacquisitionr.htm" TargetMode="External"/><Relationship Id="rId5" Type="http://schemas.openxmlformats.org/officeDocument/2006/relationships/hyperlink" Target="http://www.sec.gov/Archives/edgar/data/1833141/000183314123000016/cybin-businessacquisitionr.htm" TargetMode="External"/><Relationship Id="rId6" Type="http://schemas.openxmlformats.org/officeDocument/2006/relationships/hyperlink" Target="http://www.sec.gov/Archives/edgar/data/1833141/000183314123000016/cybin-businessacquisitionr.htm"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17869</Words>
  <Characters>99635</Characters>
  <CharactersWithSpaces>118071</CharactersWithSpaces>
  <Paragraphs>5722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