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 No. 333-276333</w:t>
      </w:r>
    </w:p>
    <w:p>
      <w:pPr>
        <w:spacing w:after="0" w:line="17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August 17, 2023, as amended pursuant to amendment no. 1 to the short form base shelf prospectus dated December 22, 2023, to which it relates, and as amended pursuant to amendment no. 2 to the short form base shelf prospectus dated April 8, 2024, to which it relates, and as may be further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 regulatory authority has expressed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an opinion about these securities and it is an offence to claim otherwise.</w:t>
      </w:r>
    </w:p>
    <w:p>
      <w:pPr>
        <w:spacing w:after="0" w:line="178"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 xml:space="preserve">charge from the Secretary of Cybin Inc. at 100 King Street West, Suite 5600, Toronto, Ontario M5X 1C9, telephone 1-866-292-4601, and are also available electronically at </w:t>
      </w:r>
      <w:r>
        <w:rPr>
          <w:rFonts w:ascii="Times New Roman" w:cs="Times New Roman" w:eastAsia="Times New Roman" w:hAnsi="Times New Roman"/>
          <w:sz w:val="22"/>
          <w:szCs w:val="22"/>
          <w:i w:val="1"/>
          <w:iCs w:val="1"/>
          <w:u w:val="single" w:color="auto"/>
          <w:color w:val="auto"/>
        </w:rPr>
        <w:t>www.sedarplus.ca</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www.sec.gov/edgar</w:t>
      </w:r>
      <w:r>
        <w:rPr>
          <w:rFonts w:ascii="Times New Roman" w:cs="Times New Roman" w:eastAsia="Times New Roman" w:hAnsi="Times New Roman"/>
          <w:sz w:val="22"/>
          <w:szCs w:val="22"/>
          <w:i w:val="1"/>
          <w:iCs w:val="1"/>
          <w:color w:val="auto"/>
        </w:rPr>
        <w:t>.</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Base Shelf Prospectus dated August 17, 2023, as amended on December 22, 2023, and on April 8, 2024)</w:t>
      </w:r>
    </w:p>
    <w:p>
      <w:pPr>
        <w:spacing w:after="0" w:line="189" w:lineRule="exact"/>
        <w:rPr>
          <w:sz w:val="24"/>
          <w:szCs w:val="24"/>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i w:val="1"/>
          <w:iCs w:val="1"/>
          <w:u w:val="single" w:color="auto"/>
          <w:color w:val="auto"/>
        </w:rPr>
        <w:t>Secondary Offering</w:t>
      </w:r>
      <w:r>
        <w:rPr>
          <w:sz w:val="20"/>
          <w:szCs w:val="20"/>
          <w:color w:val="auto"/>
        </w:rPr>
        <w:tab/>
      </w:r>
      <w:r>
        <w:rPr>
          <w:rFonts w:ascii="Times New Roman" w:cs="Times New Roman" w:eastAsia="Times New Roman" w:hAnsi="Times New Roman"/>
          <w:sz w:val="18"/>
          <w:szCs w:val="18"/>
          <w:color w:val="auto"/>
        </w:rPr>
        <w:t>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309880</wp:posOffset>
            </wp:positionV>
            <wp:extent cx="177419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333,029,767 Common Shares</w:t>
      </w:r>
    </w:p>
    <w:p>
      <w:pPr>
        <w:spacing w:after="0" w:line="206" w:lineRule="exact"/>
        <w:rPr>
          <w:sz w:val="24"/>
          <w:szCs w:val="24"/>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Cybin Inc.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periodic resale of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by the Selling Shareholders (as defined under the heading </w:t>
      </w:r>
      <w:r>
        <w:rPr>
          <w:rFonts w:ascii="Times New Roman" w:cs="Times New Roman" w:eastAsia="Times New Roman" w:hAnsi="Times New Roman"/>
          <w:sz w:val="22"/>
          <w:szCs w:val="22"/>
          <w:i w:val="1"/>
          <w:iCs w:val="1"/>
          <w:color w:val="auto"/>
        </w:rPr>
        <w:t>"Selling Shareholders")</w:t>
      </w:r>
      <w:r>
        <w:rPr>
          <w:rFonts w:ascii="Times New Roman" w:cs="Times New Roman" w:eastAsia="Times New Roman" w:hAnsi="Times New Roman"/>
          <w:sz w:val="22"/>
          <w:szCs w:val="22"/>
          <w:color w:val="auto"/>
        </w:rPr>
        <w:t xml:space="preserve"> during the 25 month period that the Prospectus, including any amendments thereto, remains valid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xml:space="preserve">"). This Prospectus Supplement covers resales by the Selling Shareholders, from time to time of up to </w:t>
      </w:r>
      <w:r>
        <w:rPr>
          <w:rFonts w:ascii="Times New Roman" w:cs="Times New Roman" w:eastAsia="Times New Roman" w:hAnsi="Times New Roman"/>
          <w:sz w:val="22"/>
          <w:szCs w:val="22"/>
          <w:b w:val="1"/>
          <w:bCs w:val="1"/>
          <w:color w:val="auto"/>
        </w:rPr>
        <w:t>333,029,767</w:t>
      </w:r>
      <w:r>
        <w:rPr>
          <w:rFonts w:ascii="Times New Roman" w:cs="Times New Roman" w:eastAsia="Times New Roman" w:hAnsi="Times New Roman"/>
          <w:sz w:val="22"/>
          <w:szCs w:val="22"/>
          <w:color w:val="auto"/>
        </w:rPr>
        <w:t xml:space="preserve"> Common Shares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originally purchased by the Selling Shareholders in connection with a private placement of Common Shares completed by the Corporation on March 19, 2024 (the "</w:t>
      </w:r>
      <w:r>
        <w:rPr>
          <w:rFonts w:ascii="Times New Roman" w:cs="Times New Roman" w:eastAsia="Times New Roman" w:hAnsi="Times New Roman"/>
          <w:sz w:val="22"/>
          <w:szCs w:val="22"/>
          <w:b w:val="1"/>
          <w:bCs w:val="1"/>
          <w:color w:val="auto"/>
        </w:rPr>
        <w:t>March 2024 Private Placement</w:t>
      </w:r>
      <w:r>
        <w:rPr>
          <w:rFonts w:ascii="Times New Roman" w:cs="Times New Roman" w:eastAsia="Times New Roman" w:hAnsi="Times New Roman"/>
          <w:sz w:val="22"/>
          <w:szCs w:val="22"/>
          <w:color w:val="auto"/>
        </w:rPr>
        <w:t>"). Bloom Burton Securities Inc. acted as the lead agent for the March 2024 Private Placement, which also included Haywood Securities Inc.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The participation of any Selling Shareholder in the filing of this Prospectus Supplement is not an indication of such Selling Shareholder's intention to sell the Registrable Common Shares at any particular time or in any particular amount.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or has performed any review of, this Prospectus Supplement.</w:t>
      </w:r>
    </w:p>
    <w:p>
      <w:pPr>
        <w:spacing w:after="0" w:line="210"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April 16, 2024, the last trading day prior to the filing of this Prospectus Supplement, the closing prices of the Common Shares listed on the NEO and NYSE American were $0.53 and US$0.3796, respectively.</w:t>
      </w:r>
    </w:p>
    <w:p>
      <w:pPr>
        <w:spacing w:after="0" w:line="176"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Registrable Common Shares is highly speculative and involves significant risks that you should consider before purchasing Registrable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the Prospectus, including in the documents incorporated by reference</w:t>
      </w:r>
      <w:r>
        <w:rPr>
          <w:rFonts w:ascii="Times New Roman" w:cs="Times New Roman" w:eastAsia="Times New Roman" w:hAnsi="Times New Roman"/>
          <w:sz w:val="22"/>
          <w:szCs w:val="22"/>
          <w:color w:val="auto"/>
        </w:rPr>
        <w:t>.</w:t>
      </w:r>
    </w:p>
    <w:p>
      <w:pPr>
        <w:spacing w:after="0" w:line="171"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Selling Shareholders may, from time to time, sell, transfer or otherwise dispose of any or all of the Registrable Common Shares or interests in the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w:t>
      </w:r>
    </w:p>
    <w:p>
      <w:pPr>
        <w:spacing w:after="0" w:line="1"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Prospectus Supplement has not been filed in respect of, and will not qualify, any distribution of the Registrable Common Shares, in Ontario or in any other province or territory of Canada at any time. </w:t>
      </w:r>
      <w:r>
        <w:rPr>
          <w:rFonts w:ascii="Times New Roman" w:cs="Times New Roman" w:eastAsia="Times New Roman" w:hAnsi="Times New Roman"/>
          <w:sz w:val="22"/>
          <w:szCs w:val="22"/>
          <w:color w:val="auto"/>
        </w:rPr>
        <w:t>The Corporation will not receive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from the sale or other disposition of the Registrable Common Shares by the Selling Shareholders. The net proceeds received from the sale or other disposition of the Registrable Common Shares by the Selling Shareholders, if any, is unknown. See under the heading "Selling Shareholders" for further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3" w:right="339" w:bottom="0" w:gutter="0" w:footer="0" w:header="0"/>
        </w:sectPr>
      </w:pPr>
    </w:p>
    <w:bookmarkStart w:id="1" w:name="page2"/>
    <w:bookmarkEnd w:id="1"/>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Registrable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United States Securities and Exchange Commission's (the "SEC") independence standards.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Purchasers of Registrable Common Shares should be aware that the acquisition of Registrable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1"/>
          <w:szCs w:val="21"/>
          <w:b w:val="1"/>
          <w:bCs w:val="1"/>
          <w:i w:val="1"/>
          <w:iCs w:val="1"/>
          <w:color w:val="auto"/>
        </w:rPr>
        <w:t xml:space="preserve">"Certain Canadian Income Tax Considerations" </w:t>
      </w:r>
      <w:r>
        <w:rPr>
          <w:rFonts w:ascii="Times New Roman" w:cs="Times New Roman" w:eastAsia="Times New Roman" w:hAnsi="Times New Roman"/>
          <w:sz w:val="21"/>
          <w:szCs w:val="21"/>
          <w:b w:val="1"/>
          <w:bCs w:val="1"/>
          <w:color w:val="auto"/>
        </w:rPr>
        <w:t>and</w:t>
      </w:r>
      <w:r>
        <w:rPr>
          <w:rFonts w:ascii="Times New Roman" w:cs="Times New Roman" w:eastAsia="Times New Roman" w:hAnsi="Times New Roman"/>
          <w:sz w:val="21"/>
          <w:szCs w:val="21"/>
          <w:b w:val="1"/>
          <w:bCs w:val="1"/>
          <w:i w:val="1"/>
          <w:iCs w:val="1"/>
          <w:color w:val="auto"/>
        </w:rPr>
        <w:t xml:space="preserve"> "Certain United States Federal Income Tax Considerations"</w:t>
      </w:r>
      <w:r>
        <w:rPr>
          <w:rFonts w:ascii="Times New Roman" w:cs="Times New Roman" w:eastAsia="Times New Roman" w:hAnsi="Times New Roman"/>
          <w:sz w:val="21"/>
          <w:szCs w:val="21"/>
          <w:b w:val="1"/>
          <w:bCs w:val="1"/>
          <w:color w:val="auto"/>
        </w:rPr>
        <w:t>.</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certain of the officers and directors are not residents of the United States, some or all of the Agents or experts named in this Prospectus Supplement and in the accompanying Base Shelf Prospectus are not residents of the United States, and a substantial portion of the assets of the Corporation and said persons are located outside the United States. See </w:t>
      </w:r>
      <w:r>
        <w:rPr>
          <w:rFonts w:ascii="Times New Roman" w:cs="Times New Roman" w:eastAsia="Times New Roman" w:hAnsi="Times New Roman"/>
          <w:sz w:val="22"/>
          <w:szCs w:val="22"/>
          <w:b w:val="1"/>
          <w:bCs w:val="1"/>
          <w:i w:val="1"/>
          <w:iCs w:val="1"/>
          <w:color w:val="auto"/>
        </w:rPr>
        <w:t>"Enforcement of Civil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Liabilities by U.S. Investors"</w:t>
      </w:r>
      <w:r>
        <w:rPr>
          <w:rFonts w:ascii="Times New Roman" w:cs="Times New Roman" w:eastAsia="Times New Roman" w:hAnsi="Times New Roman"/>
          <w:sz w:val="22"/>
          <w:szCs w:val="22"/>
          <w:b w:val="1"/>
          <w:bCs w:val="1"/>
          <w:color w:val="auto"/>
        </w:rPr>
        <w: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NEITHER THE SEC NOR ANY STATE SECURITIES COMMISSION OR REGULATOR HAS APPROVED OR DISAPPROVED THE REGISTRABLE COMMON SHARES NOR PASSED UPON THE ACCURACY OR ADEQUACY OF THE PROSPECTUS. ANY REPRESENTATION TO THE CONTRARY IS A CRIMINAL OFFENCE.</w:t>
      </w:r>
    </w:p>
    <w:p>
      <w:pPr>
        <w:spacing w:after="0" w:line="1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Registrable Common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29"/>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CURRENCY AND EXCHANGE RATE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6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20" w:type="dxa"/>
            <w:vAlign w:val="bottom"/>
            <w:tcBorders>
              <w:top w:val="single" w:sz="8" w:color="EEEEEE"/>
            </w:tcBorders>
          </w:tcPr>
          <w:p>
            <w:pPr>
              <w:spacing w:after="0"/>
              <w:rPr>
                <w:sz w:val="21"/>
                <w:szCs w:val="21"/>
                <w:color w:val="auto"/>
              </w:rPr>
            </w:pPr>
          </w:p>
        </w:tc>
        <w:tc>
          <w:tcPr>
            <w:tcW w:w="140" w:type="dxa"/>
            <w:vAlign w:val="bottom"/>
            <w:tcBorders>
              <w:top w:val="single" w:sz="8" w:color="EEEEEE"/>
            </w:tcBorders>
          </w:tcPr>
          <w:p>
            <w:pPr>
              <w:spacing w:after="0"/>
              <w:rPr>
                <w:sz w:val="21"/>
                <w:szCs w:val="21"/>
                <w:color w:val="auto"/>
              </w:rPr>
            </w:pPr>
          </w:p>
        </w:tc>
        <w:tc>
          <w:tcPr>
            <w:tcW w:w="43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900" w:type="dxa"/>
            <w:vAlign w:val="bottom"/>
            <w:gridSpan w:val="29"/>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Base Shelf Prospectus</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 REGARDING FORWARD LOOKING INFORMATION AND STATEMENTS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78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430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08"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340" w:type="dxa"/>
            <w:vAlign w:val="bottom"/>
            <w:tcBorders>
              <w:top w:val="single" w:sz="8" w:color="EEEEEE"/>
            </w:tcBorders>
          </w:tcPr>
          <w:p>
            <w:pPr>
              <w:spacing w:after="0"/>
              <w:rPr>
                <w:sz w:val="18"/>
                <w:szCs w:val="18"/>
                <w:color w:val="auto"/>
              </w:rPr>
            </w:pPr>
          </w:p>
        </w:tc>
        <w:tc>
          <w:tcPr>
            <w:tcW w:w="33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700" w:type="dxa"/>
            <w:vAlign w:val="bottom"/>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5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3340" w:type="dxa"/>
            <w:vAlign w:val="bottom"/>
            <w:tcBorders>
              <w:top w:val="single" w:sz="8" w:color="EEEEEE"/>
            </w:tcBorders>
            <w:shd w:val="clear" w:color="auto" w:fill="EEEEEE"/>
          </w:tcPr>
          <w:p>
            <w:pPr>
              <w:spacing w:after="0" w:line="20" w:lineRule="exact"/>
              <w:rPr>
                <w:sz w:val="1"/>
                <w:szCs w:val="1"/>
                <w:color w:val="auto"/>
              </w:rPr>
            </w:pPr>
          </w:p>
        </w:tc>
        <w:tc>
          <w:tcPr>
            <w:tcW w:w="33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Registrable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Registrable Common Shares offered hereunder. Defined terms or abbreviations used in this Prospectus Supplement that are not defined herein shall have the meaning ascribed thereto in the Base Shelf Prospectus.</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Registrable Common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August 17, 2023, December 27, 2024, and April 9, 2024,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Jurisdictions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Corporation's Registration Statement on Form F-10 (File No. 333-276333)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filed with the SEC on December 29, 2023, and amended on a post-effective basis on April 11, 2024,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utilizing the MJDS. The Registration Statement became effective under the U.S. Securities Act on January 3, 2024.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otherwise indicated, or the context otherwise requires or indicates,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constitute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and going concern;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Registrable Common Shares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related to research and development objectives and milestones; and the Corporation's expectation that it will be a "passive foreign investment company".</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73" w:lineRule="exact"/>
        <w:rPr>
          <w:sz w:val="20"/>
          <w:szCs w:val="20"/>
          <w:color w:val="auto"/>
        </w:rPr>
      </w:pPr>
    </w:p>
    <w:p>
      <w:pPr>
        <w:ind w:left="660" w:hanging="331"/>
        <w:spacing w:after="0" w:line="258"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680" w:hanging="351"/>
        <w:spacing w:after="0"/>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spacing w:after="0" w:line="14"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69" w:lineRule="exact"/>
        <w:rPr>
          <w:sz w:val="20"/>
          <w:szCs w:val="20"/>
          <w:color w:val="auto"/>
        </w:rPr>
      </w:pPr>
    </w:p>
    <w:p>
      <w:pPr>
        <w:ind w:left="660" w:right="20" w:hanging="436"/>
        <w:spacing w:after="0" w:line="262"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436"/>
        <w:spacing w:after="0" w:line="258"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2023 and 2022, together with the auditor's report thereon;</w:t>
      </w:r>
    </w:p>
    <w:p>
      <w:pPr>
        <w:spacing w:after="0" w:line="158" w:lineRule="exact"/>
        <w:rPr>
          <w:rFonts w:ascii="Times New Roman" w:cs="Times New Roman" w:eastAsia="Times New Roman" w:hAnsi="Times New Roman"/>
          <w:sz w:val="22"/>
          <w:szCs w:val="22"/>
          <w:color w:val="auto"/>
        </w:rPr>
      </w:pPr>
    </w:p>
    <w:p>
      <w:pPr>
        <w:ind w:left="680" w:hanging="456"/>
        <w:spacing w:after="0"/>
        <w:tabs>
          <w:tab w:leader="none" w:pos="6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660" w:hanging="436"/>
        <w:spacing w:after="0" w:line="258"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660" w:right="20" w:hanging="436"/>
        <w:spacing w:after="0" w:line="258"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660" w:hanging="436"/>
        <w:spacing w:after="0" w:line="258"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660" w:hanging="436"/>
        <w:spacing w:after="0" w:line="255" w:lineRule="auto"/>
        <w:tabs>
          <w:tab w:leader="none" w:pos="68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May 31, 2023 relating to the sale of up to US$30,000,000 of Common Shares to Lincoln Park Capital Fund, LLC ("</w:t>
      </w:r>
      <w:r>
        <w:rPr>
          <w:rFonts w:ascii="Times New Roman" w:cs="Times New Roman" w:eastAsia="Times New Roman" w:hAnsi="Times New Roman"/>
          <w:sz w:val="21"/>
          <w:szCs w:val="21"/>
          <w:b w:val="1"/>
          <w:bCs w:val="1"/>
          <w:color w:val="auto"/>
        </w:rPr>
        <w:t>LPC</w:t>
      </w:r>
      <w:r>
        <w:rPr>
          <w:rFonts w:ascii="Times New Roman" w:cs="Times New Roman" w:eastAsia="Times New Roman" w:hAnsi="Times New Roman"/>
          <w:sz w:val="21"/>
          <w:szCs w:val="21"/>
          <w:color w:val="auto"/>
        </w:rPr>
        <w:t>"), upon the terms and subject to the conditions contained in the purchase agreement dated May 30, 2023 (the "</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1"/>
          <w:szCs w:val="21"/>
          <w:b w:val="1"/>
          <w:bCs w:val="1"/>
          <w:color w:val="auto"/>
        </w:rPr>
        <w:t>2021 Base Shelf Prospectus</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jc w:val="both"/>
        <w:ind w:left="660" w:hanging="436"/>
        <w:spacing w:after="0" w:line="246"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(the "</w:t>
      </w:r>
      <w:r>
        <w:rPr>
          <w:rFonts w:ascii="Times New Roman" w:cs="Times New Roman" w:eastAsia="Times New Roman" w:hAnsi="Times New Roman"/>
          <w:sz w:val="22"/>
          <w:szCs w:val="22"/>
          <w:b w:val="1"/>
          <w:bCs w:val="1"/>
          <w:color w:val="auto"/>
        </w:rPr>
        <w:t>August 2023 Unit Offering</w:t>
      </w:r>
      <w:r>
        <w:rPr>
          <w:rFonts w:ascii="Times New Roman" w:cs="Times New Roman" w:eastAsia="Times New Roman" w:hAnsi="Times New Roman"/>
          <w:sz w:val="22"/>
          <w:szCs w:val="22"/>
          <w:color w:val="auto"/>
        </w:rPr>
        <w:t>") of 24,264,706 units of the Corporation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at a price of US$0.34 per Unit for gross proceeds of US$8,250,000 pursuant to a prospectus supplement dated August 1, 2023 to the 2021 Base Shelf Prospectus;</w:t>
      </w:r>
    </w:p>
    <w:p>
      <w:pPr>
        <w:spacing w:after="0" w:line="171" w:lineRule="exact"/>
        <w:rPr>
          <w:rFonts w:ascii="Times New Roman" w:cs="Times New Roman" w:eastAsia="Times New Roman" w:hAnsi="Times New Roman"/>
          <w:sz w:val="22"/>
          <w:szCs w:val="22"/>
          <w:color w:val="auto"/>
        </w:rPr>
      </w:pPr>
    </w:p>
    <w:p>
      <w:pPr>
        <w:jc w:val="both"/>
        <w:ind w:left="660" w:hanging="436"/>
        <w:spacing w:after="0" w:line="238" w:lineRule="auto"/>
        <w:tabs>
          <w:tab w:leader="none" w:pos="68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(i)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Base Shelf Prospectus, and (ii) the requalification of the Purchase Agreement pursuant to a prospectus supplement dated August 23, 2023 to the Base Shelf Prospectus;</w:t>
      </w:r>
    </w:p>
    <w:p>
      <w:pPr>
        <w:spacing w:after="0" w:line="172" w:lineRule="exact"/>
        <w:rPr>
          <w:rFonts w:ascii="Times New Roman" w:cs="Times New Roman" w:eastAsia="Times New Roman" w:hAnsi="Times New Roman"/>
          <w:sz w:val="22"/>
          <w:szCs w:val="22"/>
          <w:color w:val="auto"/>
        </w:rPr>
      </w:pPr>
    </w:p>
    <w:p>
      <w:pPr>
        <w:jc w:val="both"/>
        <w:ind w:left="660" w:hanging="436"/>
        <w:spacing w:after="0" w:line="263" w:lineRule="auto"/>
        <w:tabs>
          <w:tab w:leader="none" w:pos="71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September 7, 2023, relating to the acquisition of Small Pharma Inc. ("</w:t>
      </w:r>
      <w:r>
        <w:rPr>
          <w:rFonts w:ascii="Times New Roman" w:cs="Times New Roman" w:eastAsia="Times New Roman" w:hAnsi="Times New Roman"/>
          <w:sz w:val="21"/>
          <w:szCs w:val="21"/>
          <w:b w:val="1"/>
          <w:bCs w:val="1"/>
          <w:color w:val="auto"/>
        </w:rPr>
        <w:t>Small Pharma</w:t>
      </w:r>
      <w:r>
        <w:rPr>
          <w:rFonts w:ascii="Times New Roman" w:cs="Times New Roman" w:eastAsia="Times New Roman" w:hAnsi="Times New Roman"/>
          <w:sz w:val="21"/>
          <w:szCs w:val="21"/>
          <w:color w:val="auto"/>
        </w:rPr>
        <w:t>") by the Corporation pursuant to the terms of a definitive agreement under which the Corporation acquired all of the issued and outstanding common shares of Small Pharma pursuant to a court-approved plan of arrangement (the "</w:t>
      </w:r>
      <w:r>
        <w:rPr>
          <w:rFonts w:ascii="Times New Roman" w:cs="Times New Roman" w:eastAsia="Times New Roman" w:hAnsi="Times New Roman"/>
          <w:sz w:val="21"/>
          <w:szCs w:val="21"/>
          <w:b w:val="1"/>
          <w:bCs w:val="1"/>
          <w:color w:val="auto"/>
        </w:rPr>
        <w:t>Arrangement</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ind w:left="700" w:hanging="476"/>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October 25, 2023, relating to the closing of the Arrangement;</w:t>
      </w:r>
    </w:p>
    <w:p>
      <w:pPr>
        <w:spacing w:after="0" w:line="202" w:lineRule="exact"/>
        <w:rPr>
          <w:rFonts w:ascii="Times New Roman" w:cs="Times New Roman" w:eastAsia="Times New Roman" w:hAnsi="Times New Roman"/>
          <w:sz w:val="22"/>
          <w:szCs w:val="22"/>
          <w:color w:val="auto"/>
        </w:rPr>
      </w:pPr>
    </w:p>
    <w:p>
      <w:pPr>
        <w:jc w:val="both"/>
        <w:ind w:left="660" w:right="20" w:hanging="436"/>
        <w:spacing w:after="0" w:line="263" w:lineRule="auto"/>
        <w:tabs>
          <w:tab w:leader="none" w:pos="70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November 20, 2023, relating to the firm commitment underwritten offering (the "</w:t>
      </w:r>
      <w:r>
        <w:rPr>
          <w:rFonts w:ascii="Times New Roman" w:cs="Times New Roman" w:eastAsia="Times New Roman" w:hAnsi="Times New Roman"/>
          <w:sz w:val="21"/>
          <w:szCs w:val="21"/>
          <w:b w:val="1"/>
          <w:bCs w:val="1"/>
          <w:color w:val="auto"/>
        </w:rPr>
        <w:t>November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2023 Unit Offering</w:t>
      </w:r>
      <w:r>
        <w:rPr>
          <w:rFonts w:ascii="Times New Roman" w:cs="Times New Roman" w:eastAsia="Times New Roman" w:hAnsi="Times New Roman"/>
          <w:sz w:val="21"/>
          <w:szCs w:val="21"/>
          <w:color w:val="auto"/>
        </w:rPr>
        <w:t>") of 66,666,667 Units at a price of US$0.45 per Unit for gross proceeds of approximately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US$30,000,000 pursuant to a prospectus supplement dated November 10, 2023, to the Base Shelf Prospectus;</w:t>
      </w:r>
    </w:p>
    <w:p>
      <w:pPr>
        <w:spacing w:after="0" w:line="155" w:lineRule="exact"/>
        <w:rPr>
          <w:rFonts w:ascii="Times New Roman" w:cs="Times New Roman" w:eastAsia="Times New Roman" w:hAnsi="Times New Roman"/>
          <w:sz w:val="21"/>
          <w:szCs w:val="21"/>
          <w:color w:val="auto"/>
        </w:rPr>
      </w:pPr>
    </w:p>
    <w:p>
      <w:pPr>
        <w:ind w:left="660" w:right="20" w:hanging="436"/>
        <w:spacing w:after="0" w:line="258" w:lineRule="auto"/>
        <w:tabs>
          <w:tab w:leader="none" w:pos="70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March 2024 Private Placement of 348,837,210 Common Shares at a price of US$0.43 per Common Share for gross proceeds of approximately US$150,000,000; and</w:t>
      </w:r>
    </w:p>
    <w:p>
      <w:pPr>
        <w:spacing w:after="0" w:line="158"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www.sec.gov/edgar.</w:t>
      </w:r>
    </w:p>
    <w:p>
      <w:pPr>
        <w:sectPr>
          <w:pgSz w:w="11900" w:h="16838" w:orient="portrait"/>
          <w:cols w:equalWidth="0" w:num="1">
            <w:col w:w="11240"/>
          </w:cols>
          <w:pgMar w:left="320" w:top="108" w:right="3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153670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the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Agents have provided or otherwise authorized any other person to provide investors with information other than that contained or incorporated by reference in this Prospectus Supplement or accompanying Base Shelf Prospectus, and neither the Corporation nor the Agents take any responsibility for other information that others may give you. If an investor is provided with different or inconsistent information, he or she should not rely on 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(iii) the consent of MNP LLP; and (iv) the consent of the Corporation's Canadian counsel, Aird &amp; Berlis LLP.</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40" w:type="dxa"/>
            <w:vAlign w:val="bottom"/>
            <w:tcBorders>
              <w:bottom w:val="single" w:sz="8" w:color="E6EFFF"/>
            </w:tcBorders>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 2024</w:t>
            </w:r>
          </w:p>
        </w:tc>
      </w:tr>
      <w:tr>
        <w:trPr>
          <w:trHeight w:val="209"/>
        </w:trPr>
        <w:tc>
          <w:tcPr>
            <w:tcW w:w="61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C$1.3875</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C$1.3128</w:t>
            </w:r>
          </w:p>
        </w:tc>
      </w:tr>
      <w:tr>
        <w:trPr>
          <w:trHeight w:val="216"/>
        </w:trPr>
        <w:tc>
          <w:tcPr>
            <w:tcW w:w="61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8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C$1.3487</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C$1.3550</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On April 16, 2024, the daily average exchange rate posted by the Bank of Canada for conversion of U.S. dollars into Canadian dollars was US$1.00 = C$1.3821 (the "</w:t>
      </w:r>
      <w:r>
        <w:rPr>
          <w:rFonts w:ascii="Times New Roman" w:cs="Times New Roman" w:eastAsia="Times New Roman" w:hAnsi="Times New Roman"/>
          <w:sz w:val="22"/>
          <w:szCs w:val="22"/>
          <w:b w:val="1"/>
          <w:bCs w:val="1"/>
          <w:color w:val="auto"/>
        </w:rPr>
        <w:t>2024 Rate</w:t>
      </w:r>
      <w:r>
        <w:rPr>
          <w:rFonts w:ascii="Times New Roman" w:cs="Times New Roman" w:eastAsia="Times New Roman" w:hAnsi="Times New Roman"/>
          <w:sz w:val="22"/>
          <w:szCs w:val="22"/>
          <w:color w:val="auto"/>
        </w:rPr>
        <w:t>"). Unless otherwise indicated, currency translation in this Prospectus Supplement reflects the 2024 Rate.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Registrable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Registrable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Common Shares. You should read the entire Prospectus Supplement, including the section entitled "Risk Factors", the Base Shelf Prospectus, and the documents incorporated by reference herein and therein, including the Annual Information Form, before making such decision.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novel formulation approaches and treatment regimens.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357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32" w:lineRule="exact"/>
        <w:rPr>
          <w:sz w:val="20"/>
          <w:szCs w:val="20"/>
          <w:color w:val="auto"/>
        </w:rPr>
      </w:pPr>
    </w:p>
    <w:p>
      <w:pPr>
        <w:jc w:val="both"/>
        <w:ind w:firstLine="8"/>
        <w:spacing w:after="0" w:line="216" w:lineRule="auto"/>
        <w:tabs>
          <w:tab w:leader="none" w:pos="164"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36" w:lineRule="auto"/>
        <w:rPr>
          <w:sz w:val="20"/>
          <w:szCs w:val="20"/>
          <w:color w:val="auto"/>
        </w:rPr>
      </w:pPr>
      <w:r>
        <w:rPr>
          <w:rFonts w:ascii="Times New Roman" w:cs="Times New Roman" w:eastAsia="Times New Roman" w:hAnsi="Times New Roman"/>
          <w:sz w:val="22"/>
          <w:szCs w:val="22"/>
          <w:color w:val="auto"/>
        </w:rPr>
        <w:t>On October 23, 2023, the Corporation completed the Arrangement pursuant to which Small Pharma became a wholly-owned subsidiary of the Corporation. Small Pharma 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 psilocybin, DMT and Lysergic acid diethylamide. Second-generation psychedelics refer to those that have been chemically modified with the aim to optimize their therapeutic benefit.</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an international, clinical-stage company with potential to transform the treatment paradigm for mental health conditions. The Corporation believes the combined development portfolios of the Corporation and Small Pharma are highly complementary and provide multiple opportunities to create operational and cost synergies.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currently has more than 50 granted patents and over 170 pending patent applications.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19"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6</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Interim MD&amp;A incorporated by reference into this Prospectus Supplement.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February 14, 2024, the date of the Corporation's most recently issued Interim Financial Statements and the Interim MD&amp;A.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March 2024 Private Placement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March 19, 2024, the Corporation completed the March 2024 Private Placement of 348,837,210 Common Shares at a price of US$0.43 per Common Share for aggregate gross proceeds of US$150,000,000, before deducting fees and expenses of the March 2024 Private Placement. The Common Shares were issued by the Corporation to certain institutional investors. Bloom Burton Securities Inc. acted as the lead agent for the March 2024 Private Placement, which also included Haywood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357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6"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See footnote 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States, the Common Shares were offered on a private placement basis pursuant to exemptions from the registration requirements of the U.S. Securities Act. The Corporation agreed to use commercially reasonable efforts to qualify the resale of the Common Shares issued in the March 2024 Private Placement by certain non-Canadian purchasers.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April 16, 2024, the Corporation announced that the United States Patent and Trademark Office had granted U.S. patent 11,958,807 in support of its CYB003 program in Major Depressive Disorder.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118110</wp:posOffset>
            </wp:positionV>
            <wp:extent cx="4354830" cy="317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5483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31" w:lineRule="exact"/>
        <w:rPr>
          <w:sz w:val="20"/>
          <w:szCs w:val="20"/>
          <w:color w:val="auto"/>
        </w:rPr>
      </w:pPr>
    </w:p>
    <w:p>
      <w:pPr>
        <w:jc w:val="both"/>
        <w:ind w:left="2240" w:right="1700" w:hanging="364"/>
        <w:spacing w:after="0" w:line="253" w:lineRule="auto"/>
        <w:tabs>
          <w:tab w:leader="none" w:pos="22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Adelia Therapeutics Inc.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hold certain non-voting securities of Cybin U.S. issued in connection with the acquisition of Adelia on December 14, 2020 (the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For additional information in respect of the Adelia Transaction, please see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Form incorporated by reference in this Prospectus Supplement.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is authorized to issue an unlimited number of Common Shares and an unlimited number of preferred shares. As at April 16, 2024, the Corporation had 759,692,495 Common Shares and nil preferred shares issued and outstanding.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Distributed - Common Shares" </w:t>
      </w:r>
      <w:r>
        <w:rPr>
          <w:rFonts w:ascii="Times New Roman" w:cs="Times New Roman" w:eastAsia="Times New Roman" w:hAnsi="Times New Roman"/>
          <w:sz w:val="22"/>
          <w:szCs w:val="22"/>
          <w:color w:val="auto"/>
        </w:rPr>
        <w:t>in the Base Shelf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Other than as outlined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 there have been no material changes in the Corporation's share or loan capitalization on a consolidated basis since the date of the Interim Financial Statements.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proceeds from the sale or other disposition of the Registrable Common Shares covered by this Prospectus Supplement are solely for the account of the Selling Shareholders. Accordingly, the Corporation will not receive any proceeds from the sale or other disposition of the Registrable Common Shares by the Selling Shareholders. The net proceeds received from the sale or other disposition of the Registrable Common Shares by the Selling Shareholders, if any, is unknown.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Registrable Common Shares covered by this Prospectus Supplement are those issued to the selling shareholders identified in the table below (the "</w:t>
      </w:r>
      <w:r>
        <w:rPr>
          <w:rFonts w:ascii="Times New Roman" w:cs="Times New Roman" w:eastAsia="Times New Roman" w:hAnsi="Times New Roman"/>
          <w:sz w:val="22"/>
          <w:szCs w:val="22"/>
          <w:b w:val="1"/>
          <w:bCs w:val="1"/>
          <w:color w:val="auto"/>
        </w:rPr>
        <w:t>Selling Shareholders</w:t>
      </w:r>
      <w:r>
        <w:rPr>
          <w:rFonts w:ascii="Times New Roman" w:cs="Times New Roman" w:eastAsia="Times New Roman" w:hAnsi="Times New Roman"/>
          <w:sz w:val="22"/>
          <w:szCs w:val="22"/>
          <w:color w:val="auto"/>
        </w:rPr>
        <w:t>") in connection with the March 2024 Private Placement. For additional information regarding the March 2024 Private Placement, see the information provided above under "</w:t>
      </w:r>
      <w:r>
        <w:rPr>
          <w:rFonts w:ascii="Times New Roman" w:cs="Times New Roman" w:eastAsia="Times New Roman" w:hAnsi="Times New Roman"/>
          <w:sz w:val="22"/>
          <w:szCs w:val="22"/>
          <w:i w:val="1"/>
          <w:iCs w:val="1"/>
          <w:color w:val="auto"/>
        </w:rPr>
        <w:t>The Corporation - Recent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Developments</w:t>
      </w:r>
      <w:r>
        <w:rPr>
          <w:rFonts w:ascii="Times New Roman" w:cs="Times New Roman" w:eastAsia="Times New Roman" w:hAnsi="Times New Roman"/>
          <w:sz w:val="22"/>
          <w:szCs w:val="22"/>
          <w:color w:val="auto"/>
        </w:rPr>
        <w:t>" and in the Corporation's material change report dated March 21, 2024 relating to the March 2024 Private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Placement, which is available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and is incorporated by reference herein.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is registering the Registrable Common Shares in order to permit the Selling Shareholders to offer the Registrable Common Shares for sale or other disposition from time to time in the United States. </w:t>
      </w:r>
      <w:r>
        <w:rPr>
          <w:rFonts w:ascii="Times New Roman" w:cs="Times New Roman" w:eastAsia="Times New Roman" w:hAnsi="Times New Roman"/>
          <w:sz w:val="22"/>
          <w:szCs w:val="22"/>
          <w:b w:val="1"/>
          <w:bCs w:val="1"/>
          <w:color w:val="auto"/>
        </w:rPr>
        <w:t>This Prospectus Supplement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has not been filed in respect of, and will not qualify, any distribution of the Registrable Common Shares, in Ontario or in any other province or territory of Canada at any time.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for the ownership of Registrable Common Shares, the Selling Shareholders have not had any material relationship with the Corporation or any associate or affiliate of a principal holder of voting securities of the Corporation within the past three years.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following table is based in part on information supplied to the Corporation by the Selling Shareholders. The table and footnote assume that the Selling Shareholders will sell all of the Registrable Common Shares listed. However, because the Selling Shareholders may sell all or some of their Registrable Common Shares under this Prospectus Supplement from time to time, or in another permitted manner, the Corporation cannot assure the actual number of Registrable Common Shares that will be sold by the Selling Shareholders or that will be held by the Selling Shareholders after completion of any sales. The Corporation does not know how long the Selling Shareholders will hold the Registrable Common Shares before selling them.</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table below identifies the Selling Shareholders and provides other information regarding the beneficial ownership of the Registrable Common Shares by the Selling Shareholders, as provided to the Corporation by the Selling Shareholders. The second and third columns list the number of Common Shares beneficially owned, controlled or directed by the applicable Selling Shareholder, on a non-diluted and fully diluted basis, as of April 16, 2024. The fifth column lists the Registrable Common Shares covered by this Prospectus Supplement that may be sold or otherwise disposed of by the Selling Shareholders.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40" w:type="dxa"/>
            <w:vAlign w:val="bottom"/>
            <w:vMerge w:val="continue"/>
          </w:tcPr>
          <w:p>
            <w:pPr>
              <w:spacing w:after="0"/>
              <w:rPr>
                <w:sz w:val="10"/>
                <w:szCs w:val="10"/>
                <w:color w:val="auto"/>
              </w:rPr>
            </w:pPr>
          </w:p>
        </w:tc>
        <w:tc>
          <w:tcPr>
            <w:tcW w:w="22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Registrable Common</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95"/>
        </w:trPr>
        <w:tc>
          <w:tcPr>
            <w:tcW w:w="23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54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on a Fully</w:t>
            </w:r>
          </w:p>
        </w:tc>
        <w:tc>
          <w:tcPr>
            <w:tcW w:w="1440" w:type="dxa"/>
            <w:vAlign w:val="bottom"/>
            <w:vMerge w:val="continue"/>
          </w:tcPr>
          <w:p>
            <w:pPr>
              <w:spacing w:after="0"/>
              <w:rPr>
                <w:sz w:val="10"/>
                <w:szCs w:val="10"/>
                <w:color w:val="auto"/>
              </w:rPr>
            </w:pPr>
          </w:p>
        </w:tc>
        <w:tc>
          <w:tcPr>
            <w:tcW w:w="22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0" w:type="dxa"/>
            <w:vAlign w:val="bottom"/>
          </w:tcPr>
          <w:p>
            <w:pPr>
              <w:spacing w:after="0"/>
              <w:rPr>
                <w:sz w:val="1"/>
                <w:szCs w:val="1"/>
                <w:color w:val="auto"/>
              </w:rPr>
            </w:pPr>
          </w:p>
        </w:tc>
      </w:tr>
      <w:tr>
        <w:trPr>
          <w:trHeight w:val="94"/>
        </w:trPr>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54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(Legal or</w:t>
            </w:r>
          </w:p>
        </w:tc>
        <w:tc>
          <w:tcPr>
            <w:tcW w:w="22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 to the</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Diluted Basis Prior</w:t>
            </w:r>
          </w:p>
        </w:tc>
        <w:tc>
          <w:tcPr>
            <w:tcW w:w="1440" w:type="dxa"/>
            <w:vAlign w:val="bottom"/>
            <w:vMerge w:val="continue"/>
          </w:tcPr>
          <w:p>
            <w:pPr>
              <w:spacing w:after="0"/>
              <w:rPr>
                <w:sz w:val="10"/>
                <w:szCs w:val="10"/>
                <w:color w:val="auto"/>
              </w:rPr>
            </w:pPr>
          </w:p>
        </w:tc>
        <w:tc>
          <w:tcPr>
            <w:tcW w:w="22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Pursuant to this</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After the</w:t>
            </w:r>
          </w:p>
        </w:tc>
        <w:tc>
          <w:tcPr>
            <w:tcW w:w="0" w:type="dxa"/>
            <w:vAlign w:val="bottom"/>
          </w:tcPr>
          <w:p>
            <w:pPr>
              <w:spacing w:after="0"/>
              <w:rPr>
                <w:sz w:val="1"/>
                <w:szCs w:val="1"/>
                <w:color w:val="auto"/>
              </w:rPr>
            </w:pPr>
          </w:p>
        </w:tc>
      </w:tr>
      <w:tr>
        <w:trPr>
          <w:trHeight w:val="98"/>
        </w:trPr>
        <w:tc>
          <w:tcPr>
            <w:tcW w:w="23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2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the Offering</w:t>
            </w:r>
          </w:p>
        </w:tc>
        <w:tc>
          <w:tcPr>
            <w:tcW w:w="1440" w:type="dxa"/>
            <w:vAlign w:val="bottom"/>
            <w:vMerge w:val="continue"/>
          </w:tcPr>
          <w:p>
            <w:pPr>
              <w:spacing w:after="0"/>
              <w:rPr>
                <w:sz w:val="12"/>
                <w:szCs w:val="12"/>
                <w:color w:val="auto"/>
              </w:rPr>
            </w:pPr>
          </w:p>
        </w:tc>
        <w:tc>
          <w:tcPr>
            <w:tcW w:w="22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60" w:type="dxa"/>
            <w:vAlign w:val="bottom"/>
            <w:vMerge w:val="restart"/>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89"/>
              </w:rPr>
              <w:t>Offering</w:t>
            </w:r>
            <w:r>
              <w:rPr>
                <w:rFonts w:ascii="Times New Roman" w:cs="Times New Roman" w:eastAsia="Times New Roman" w:hAnsi="Times New Roman"/>
                <w:sz w:val="29"/>
                <w:szCs w:val="29"/>
                <w:b w:val="1"/>
                <w:bCs w:val="1"/>
                <w:color w:val="auto"/>
                <w:w w:val="89"/>
                <w:vertAlign w:val="superscript"/>
              </w:rPr>
              <w:t>(1)(2)</w:t>
            </w:r>
          </w:p>
        </w:tc>
        <w:tc>
          <w:tcPr>
            <w:tcW w:w="0" w:type="dxa"/>
            <w:vAlign w:val="bottom"/>
          </w:tcPr>
          <w:p>
            <w:pPr>
              <w:spacing w:after="0"/>
              <w:rPr>
                <w:sz w:val="1"/>
                <w:szCs w:val="1"/>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2000" w:type="dxa"/>
            <w:vAlign w:val="bottom"/>
            <w:tcBorders>
              <w:bottom w:val="single" w:sz="8" w:color="auto"/>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vMerge w:val="continue"/>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34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7"/>
              </w:rPr>
              <w:t>Acorn Bioventures, LP</w:t>
            </w:r>
            <w:r>
              <w:rPr>
                <w:rFonts w:ascii="Times New Roman" w:cs="Times New Roman" w:eastAsia="Times New Roman" w:hAnsi="Times New Roman"/>
                <w:sz w:val="29"/>
                <w:szCs w:val="29"/>
                <w:color w:val="auto"/>
                <w:w w:val="97"/>
                <w:vertAlign w:val="superscript"/>
              </w:rPr>
              <w:t>(3)</w:t>
            </w: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11,720,930</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11,720,930</w:t>
            </w:r>
          </w:p>
        </w:tc>
        <w:tc>
          <w:tcPr>
            <w:tcW w:w="1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60" w:type="dxa"/>
            <w:vAlign w:val="bottom"/>
            <w:shd w:val="clear" w:color="auto" w:fill="E6EFFF"/>
          </w:tcPr>
          <w:p>
            <w:pPr>
              <w:jc w:val="center"/>
              <w:ind w:left="50"/>
              <w:spacing w:after="0"/>
              <w:rPr>
                <w:sz w:val="20"/>
                <w:szCs w:val="20"/>
                <w:color w:val="auto"/>
              </w:rPr>
            </w:pPr>
            <w:r>
              <w:rPr>
                <w:rFonts w:ascii="Times New Roman" w:cs="Times New Roman" w:eastAsia="Times New Roman" w:hAnsi="Times New Roman"/>
                <w:sz w:val="18"/>
                <w:szCs w:val="18"/>
                <w:color w:val="auto"/>
                <w:w w:val="98"/>
              </w:rPr>
              <w:t>11,720,930</w:t>
            </w:r>
          </w:p>
        </w:tc>
        <w:tc>
          <w:tcPr>
            <w:tcW w:w="16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364"/>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Acorn Bioventures 2, LP</w:t>
            </w:r>
            <w:r>
              <w:rPr>
                <w:rFonts w:ascii="Times New Roman" w:cs="Times New Roman" w:eastAsia="Times New Roman" w:hAnsi="Times New Roman"/>
                <w:sz w:val="29"/>
                <w:szCs w:val="29"/>
                <w:color w:val="auto"/>
                <w:w w:val="97"/>
                <w:vertAlign w:val="superscript"/>
              </w:rPr>
              <w:t>(4)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16,186,045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16,186,045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16,186,045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255"/>
        </w:trPr>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Deep Track Biotechnology</w:t>
            </w:r>
          </w:p>
        </w:tc>
        <w:tc>
          <w:tcPr>
            <w:tcW w:w="15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58,139,535</w:t>
            </w:r>
          </w:p>
        </w:tc>
        <w:tc>
          <w:tcPr>
            <w:tcW w:w="200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58,139,535</w:t>
            </w:r>
          </w:p>
        </w:tc>
        <w:tc>
          <w:tcPr>
            <w:tcW w:w="14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60" w:type="dxa"/>
            <w:vAlign w:val="bottom"/>
            <w:vMerge w:val="restart"/>
            <w:shd w:val="clear" w:color="auto" w:fill="E6EFFF"/>
          </w:tcPr>
          <w:p>
            <w:pPr>
              <w:jc w:val="center"/>
              <w:ind w:left="50"/>
              <w:spacing w:after="0"/>
              <w:rPr>
                <w:sz w:val="20"/>
                <w:szCs w:val="20"/>
                <w:color w:val="auto"/>
              </w:rPr>
            </w:pPr>
            <w:r>
              <w:rPr>
                <w:rFonts w:ascii="Times New Roman" w:cs="Times New Roman" w:eastAsia="Times New Roman" w:hAnsi="Times New Roman"/>
                <w:sz w:val="18"/>
                <w:szCs w:val="18"/>
                <w:color w:val="auto"/>
                <w:w w:val="98"/>
              </w:rPr>
              <w:t>58,139,535</w:t>
            </w:r>
          </w:p>
        </w:tc>
        <w:tc>
          <w:tcPr>
            <w:tcW w:w="16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36"/>
        </w:trPr>
        <w:tc>
          <w:tcPr>
            <w:tcW w:w="2340" w:type="dxa"/>
            <w:vAlign w:val="bottom"/>
            <w:vMerge w:val="restart"/>
            <w:shd w:val="clear" w:color="auto" w:fill="E6EFFF"/>
          </w:tcPr>
          <w:p>
            <w:pPr>
              <w:jc w:val="center"/>
              <w:spacing w:after="0" w:line="324" w:lineRule="exact"/>
              <w:rPr>
                <w:sz w:val="20"/>
                <w:szCs w:val="20"/>
                <w:color w:val="auto"/>
              </w:rPr>
            </w:pPr>
            <w:r>
              <w:rPr>
                <w:rFonts w:ascii="Times New Roman" w:cs="Times New Roman" w:eastAsia="Times New Roman" w:hAnsi="Times New Roman"/>
                <w:sz w:val="18"/>
                <w:szCs w:val="18"/>
                <w:color w:val="auto"/>
                <w:w w:val="95"/>
              </w:rPr>
              <w:t>Master Fund, Ltd.</w:t>
            </w:r>
            <w:r>
              <w:rPr>
                <w:rFonts w:ascii="Times New Roman" w:cs="Times New Roman" w:eastAsia="Times New Roman" w:hAnsi="Times New Roman"/>
                <w:sz w:val="29"/>
                <w:szCs w:val="29"/>
                <w:color w:val="auto"/>
                <w:w w:val="95"/>
                <w:vertAlign w:val="superscript"/>
              </w:rPr>
              <w:t>(5)</w:t>
            </w:r>
          </w:p>
        </w:tc>
        <w:tc>
          <w:tcPr>
            <w:tcW w:w="1540" w:type="dxa"/>
            <w:vAlign w:val="bottom"/>
            <w:vMerge w:val="continue"/>
            <w:shd w:val="clear" w:color="auto" w:fill="E6EFFF"/>
          </w:tcPr>
          <w:p>
            <w:pPr>
              <w:spacing w:after="0"/>
              <w:rPr>
                <w:sz w:val="11"/>
                <w:szCs w:val="11"/>
                <w:color w:val="auto"/>
              </w:rPr>
            </w:pPr>
          </w:p>
        </w:tc>
        <w:tc>
          <w:tcPr>
            <w:tcW w:w="2000" w:type="dxa"/>
            <w:vAlign w:val="bottom"/>
            <w:vMerge w:val="continue"/>
            <w:shd w:val="clear" w:color="auto" w:fill="E6EFFF"/>
          </w:tcPr>
          <w:p>
            <w:pPr>
              <w:spacing w:after="0"/>
              <w:rPr>
                <w:sz w:val="11"/>
                <w:szCs w:val="11"/>
                <w:color w:val="auto"/>
              </w:rPr>
            </w:pPr>
          </w:p>
        </w:tc>
        <w:tc>
          <w:tcPr>
            <w:tcW w:w="1440" w:type="dxa"/>
            <w:vAlign w:val="bottom"/>
            <w:vMerge w:val="continue"/>
            <w:shd w:val="clear" w:color="auto" w:fill="E6EFFF"/>
          </w:tcPr>
          <w:p>
            <w:pPr>
              <w:spacing w:after="0"/>
              <w:rPr>
                <w:sz w:val="11"/>
                <w:szCs w:val="11"/>
                <w:color w:val="auto"/>
              </w:rPr>
            </w:pPr>
          </w:p>
        </w:tc>
        <w:tc>
          <w:tcPr>
            <w:tcW w:w="2260" w:type="dxa"/>
            <w:vAlign w:val="bottom"/>
            <w:vMerge w:val="continue"/>
            <w:shd w:val="clear" w:color="auto" w:fill="E6EFFF"/>
          </w:tcPr>
          <w:p>
            <w:pPr>
              <w:spacing w:after="0"/>
              <w:rPr>
                <w:sz w:val="11"/>
                <w:szCs w:val="11"/>
                <w:color w:val="auto"/>
              </w:rPr>
            </w:pPr>
          </w:p>
        </w:tc>
        <w:tc>
          <w:tcPr>
            <w:tcW w:w="166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40" w:type="dxa"/>
            <w:vAlign w:val="bottom"/>
            <w:vMerge w:val="continue"/>
            <w:shd w:val="clear" w:color="auto" w:fill="E6EFFF"/>
          </w:tcPr>
          <w:p>
            <w:pPr>
              <w:spacing w:after="0"/>
              <w:rPr>
                <w:sz w:val="16"/>
                <w:szCs w:val="16"/>
                <w:color w:val="auto"/>
              </w:rPr>
            </w:pPr>
          </w:p>
        </w:tc>
        <w:tc>
          <w:tcPr>
            <w:tcW w:w="1540" w:type="dxa"/>
            <w:vAlign w:val="bottom"/>
            <w:shd w:val="clear" w:color="auto" w:fill="E6EFFF"/>
          </w:tcPr>
          <w:p>
            <w:pPr>
              <w:spacing w:after="0"/>
              <w:rPr>
                <w:sz w:val="16"/>
                <w:szCs w:val="16"/>
                <w:color w:val="auto"/>
              </w:rPr>
            </w:pPr>
          </w:p>
        </w:tc>
        <w:tc>
          <w:tcPr>
            <w:tcW w:w="2000" w:type="dxa"/>
            <w:vAlign w:val="bottom"/>
            <w:shd w:val="clear" w:color="auto" w:fill="E6EFFF"/>
          </w:tcPr>
          <w:p>
            <w:pPr>
              <w:spacing w:after="0"/>
              <w:rPr>
                <w:sz w:val="16"/>
                <w:szCs w:val="16"/>
                <w:color w:val="auto"/>
              </w:rPr>
            </w:pPr>
          </w:p>
        </w:tc>
        <w:tc>
          <w:tcPr>
            <w:tcW w:w="1440" w:type="dxa"/>
            <w:vAlign w:val="bottom"/>
            <w:shd w:val="clear" w:color="auto" w:fill="E6EFFF"/>
          </w:tcPr>
          <w:p>
            <w:pPr>
              <w:spacing w:after="0"/>
              <w:rPr>
                <w:sz w:val="16"/>
                <w:szCs w:val="16"/>
                <w:color w:val="auto"/>
              </w:rPr>
            </w:pPr>
          </w:p>
        </w:tc>
        <w:tc>
          <w:tcPr>
            <w:tcW w:w="2260" w:type="dxa"/>
            <w:vAlign w:val="bottom"/>
            <w:shd w:val="clear" w:color="auto" w:fill="E6EFFF"/>
          </w:tcPr>
          <w:p>
            <w:pPr>
              <w:spacing w:after="0"/>
              <w:rPr>
                <w:sz w:val="16"/>
                <w:szCs w:val="16"/>
                <w:color w:val="auto"/>
              </w:rPr>
            </w:pPr>
          </w:p>
        </w:tc>
        <w:tc>
          <w:tcPr>
            <w:tcW w:w="166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Altium Growth Fund, LP</w:t>
            </w:r>
            <w:r>
              <w:rPr>
                <w:rFonts w:ascii="Times New Roman" w:cs="Times New Roman" w:eastAsia="Times New Roman" w:hAnsi="Times New Roman"/>
                <w:sz w:val="29"/>
                <w:szCs w:val="29"/>
                <w:color w:val="auto"/>
                <w:w w:val="96"/>
                <w:vertAlign w:val="superscript"/>
              </w:rPr>
              <w:t>(6)</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13,953,488</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13,953,488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13,953,488</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365"/>
        </w:trPr>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Avidity Master Fund LP</w:t>
            </w:r>
            <w:r>
              <w:rPr>
                <w:rFonts w:ascii="Times New Roman" w:cs="Times New Roman" w:eastAsia="Times New Roman" w:hAnsi="Times New Roman"/>
                <w:sz w:val="29"/>
                <w:szCs w:val="29"/>
                <w:color w:val="auto"/>
                <w:w w:val="97"/>
                <w:vertAlign w:val="superscript"/>
              </w:rPr>
              <w:t>(7)</w:t>
            </w: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34,884,000</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34,884,000</w:t>
            </w:r>
          </w:p>
        </w:tc>
        <w:tc>
          <w:tcPr>
            <w:tcW w:w="14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60" w:type="dxa"/>
            <w:vAlign w:val="bottom"/>
            <w:shd w:val="clear" w:color="auto" w:fill="E6EFFF"/>
          </w:tcPr>
          <w:p>
            <w:pPr>
              <w:jc w:val="center"/>
              <w:ind w:left="50"/>
              <w:spacing w:after="0"/>
              <w:rPr>
                <w:sz w:val="20"/>
                <w:szCs w:val="20"/>
                <w:color w:val="auto"/>
              </w:rPr>
            </w:pPr>
            <w:r>
              <w:rPr>
                <w:rFonts w:ascii="Times New Roman" w:cs="Times New Roman" w:eastAsia="Times New Roman" w:hAnsi="Times New Roman"/>
                <w:sz w:val="18"/>
                <w:szCs w:val="18"/>
                <w:color w:val="auto"/>
                <w:w w:val="98"/>
              </w:rPr>
              <w:t>34,883,720</w:t>
            </w:r>
          </w:p>
        </w:tc>
        <w:tc>
          <w:tcPr>
            <w:tcW w:w="16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280 (0%)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center"/>
        <w:ind w:left="100"/>
        <w:spacing w:after="0"/>
        <w:rPr>
          <w:sz w:val="20"/>
          <w:szCs w:val="20"/>
          <w:color w:val="auto"/>
        </w:rPr>
      </w:pPr>
      <w:r>
        <w:rPr>
          <w:rFonts w:ascii="Times New Roman" w:cs="Times New Roman" w:eastAsia="Times New Roman" w:hAnsi="Times New Roman"/>
          <w:sz w:val="18"/>
          <w:szCs w:val="18"/>
          <w:color w:val="auto"/>
        </w:rPr>
        <w:t>Boothbay Absolute Return</w:t>
      </w:r>
    </w:p>
    <w:p>
      <w:pPr>
        <w:spacing w:after="0" w:line="2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Strategies, LP</w:t>
      </w:r>
      <w:r>
        <w:rPr>
          <w:rFonts w:ascii="Times New Roman" w:cs="Times New Roman" w:eastAsia="Times New Roman" w:hAnsi="Times New Roman"/>
          <w:sz w:val="29"/>
          <w:szCs w:val="29"/>
          <w:color w:val="auto"/>
          <w:vertAlign w:val="superscript"/>
        </w:rPr>
        <w:t>(8)</w:t>
      </w:r>
    </w:p>
    <w:p>
      <w:pPr>
        <w:spacing w:after="0" w:line="3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Boothbay Diversified Alpha</w:t>
      </w:r>
    </w:p>
    <w:p>
      <w:pPr>
        <w:spacing w:after="0" w:line="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9"/>
          <w:szCs w:val="29"/>
          <w:color w:val="auto"/>
          <w:vertAlign w:val="superscript"/>
        </w:rPr>
        <w:t>(8)</w:t>
      </w:r>
    </w:p>
    <w:p>
      <w:pPr>
        <w:spacing w:after="0" w:line="3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AIGH Investment Partners</w:t>
      </w:r>
    </w:p>
    <w:p>
      <w:pPr>
        <w:jc w:val="center"/>
        <w:ind w:left="100"/>
        <w:spacing w:after="0" w:line="183" w:lineRule="auto"/>
        <w:rPr>
          <w:sz w:val="20"/>
          <w:szCs w:val="20"/>
          <w:color w:val="auto"/>
        </w:rPr>
      </w:pPr>
      <w:r>
        <w:rPr>
          <w:rFonts w:ascii="Times New Roman" w:cs="Times New Roman" w:eastAsia="Times New Roman" w:hAnsi="Times New Roman"/>
          <w:sz w:val="30"/>
          <w:szCs w:val="30"/>
          <w:color w:val="auto"/>
          <w:vertAlign w:val="subscript"/>
        </w:rPr>
        <w:t>LP</w:t>
      </w:r>
      <w:r>
        <w:rPr>
          <w:rFonts w:ascii="Times New Roman" w:cs="Times New Roman" w:eastAsia="Times New Roman" w:hAnsi="Times New Roman"/>
          <w:sz w:val="14"/>
          <w:szCs w:val="14"/>
          <w:color w:val="auto"/>
        </w:rPr>
        <w:t>(9)</w:t>
      </w:r>
    </w:p>
    <w:p>
      <w:pPr>
        <w:spacing w:after="0" w:line="90" w:lineRule="exact"/>
        <w:rPr>
          <w:sz w:val="20"/>
          <w:szCs w:val="20"/>
          <w:color w:val="auto"/>
        </w:rPr>
      </w:pPr>
    </w:p>
    <w:p>
      <w:pPr>
        <w:jc w:val="center"/>
        <w:ind w:left="100"/>
        <w:spacing w:after="0" w:line="266" w:lineRule="auto"/>
        <w:rPr>
          <w:sz w:val="20"/>
          <w:szCs w:val="20"/>
          <w:color w:val="auto"/>
        </w:rPr>
      </w:pPr>
      <w:r>
        <w:rPr>
          <w:rFonts w:ascii="Times New Roman" w:cs="Times New Roman" w:eastAsia="Times New Roman" w:hAnsi="Times New Roman"/>
          <w:sz w:val="18"/>
          <w:szCs w:val="18"/>
          <w:color w:val="auto"/>
        </w:rPr>
        <w:t>WVP Emerging Manager Onshore Fund, LLC - AIGH Series</w:t>
      </w:r>
    </w:p>
    <w:p>
      <w:pPr>
        <w:spacing w:after="0" w:line="68"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WVP Emerging Manager</w:t>
      </w:r>
    </w:p>
    <w:p>
      <w:pPr>
        <w:spacing w:after="0" w:line="2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Onshore Fund , LLC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Optimized Equity Series</w:t>
      </w:r>
      <w:r>
        <w:rPr>
          <w:rFonts w:ascii="Times New Roman" w:cs="Times New Roman" w:eastAsia="Times New Roman" w:hAnsi="Times New Roman"/>
          <w:sz w:val="28"/>
          <w:szCs w:val="28"/>
          <w:color w:val="auto"/>
          <w:vertAlign w:val="superscript"/>
        </w:rPr>
        <w:t>(11)</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Hewlett Fund LP</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Ikarian Healthcare Master</w:t>
      </w:r>
    </w:p>
    <w:p>
      <w:pPr>
        <w:spacing w:after="0" w:line="2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9"/>
          <w:szCs w:val="29"/>
          <w:color w:val="auto"/>
          <w:vertAlign w:val="superscript"/>
        </w:rPr>
        <w:t>(8)</w:t>
      </w:r>
    </w:p>
    <w:p>
      <w:pPr>
        <w:spacing w:after="0" w:line="3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Logos Global Master Fund</w:t>
      </w:r>
    </w:p>
    <w:p>
      <w:pPr>
        <w:jc w:val="center"/>
        <w:ind w:left="100"/>
        <w:spacing w:after="0" w:line="183" w:lineRule="auto"/>
        <w:rPr>
          <w:sz w:val="20"/>
          <w:szCs w:val="20"/>
          <w:color w:val="auto"/>
        </w:rPr>
      </w:pPr>
      <w:r>
        <w:rPr>
          <w:rFonts w:ascii="Times New Roman" w:cs="Times New Roman" w:eastAsia="Times New Roman" w:hAnsi="Times New Roman"/>
          <w:sz w:val="30"/>
          <w:szCs w:val="30"/>
          <w:color w:val="auto"/>
          <w:vertAlign w:val="subscript"/>
        </w:rPr>
        <w:t>LP</w:t>
      </w:r>
      <w:r>
        <w:rPr>
          <w:rFonts w:ascii="Times New Roman" w:cs="Times New Roman" w:eastAsia="Times New Roman" w:hAnsi="Times New Roman"/>
          <w:sz w:val="14"/>
          <w:szCs w:val="14"/>
          <w:color w:val="auto"/>
        </w:rPr>
        <w:t>(12)</w:t>
      </w:r>
    </w:p>
    <w:p>
      <w:pPr>
        <w:spacing w:after="0" w:line="9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RA Capital Healthcare</w:t>
      </w:r>
    </w:p>
    <w:p>
      <w:pPr>
        <w:spacing w:after="0" w:line="2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9"/>
          <w:szCs w:val="29"/>
          <w:color w:val="auto"/>
          <w:vertAlign w:val="superscript"/>
        </w:rPr>
        <w:t>(13)</w:t>
      </w:r>
    </w:p>
    <w:p>
      <w:pPr>
        <w:spacing w:after="0" w:line="3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Sphera Biotech Master</w:t>
      </w:r>
    </w:p>
    <w:p>
      <w:pPr>
        <w:spacing w:after="0" w:line="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9"/>
          <w:szCs w:val="29"/>
          <w:color w:val="auto"/>
          <w:vertAlign w:val="superscript"/>
        </w:rPr>
        <w:t>(14)</w:t>
      </w:r>
    </w:p>
    <w:p>
      <w:pPr>
        <w:spacing w:after="0" w:line="3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Sphera Global Healthcare</w:t>
      </w:r>
    </w:p>
    <w:p>
      <w:pPr>
        <w:spacing w:after="0" w:line="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Master Fund</w:t>
      </w:r>
      <w:r>
        <w:rPr>
          <w:rFonts w:ascii="Times New Roman" w:cs="Times New Roman" w:eastAsia="Times New Roman" w:hAnsi="Times New Roman"/>
          <w:sz w:val="29"/>
          <w:szCs w:val="29"/>
          <w:color w:val="auto"/>
          <w:vertAlign w:val="superscript"/>
        </w:rPr>
        <w:t>(15)</w:t>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Rosalind Master Fund L.P.</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Octagon Investments</w:t>
      </w:r>
    </w:p>
    <w:p>
      <w:pPr>
        <w:spacing w:after="0" w:line="27" w:lineRule="exact"/>
        <w:rPr>
          <w:sz w:val="20"/>
          <w:szCs w:val="20"/>
          <w:color w:val="auto"/>
        </w:rPr>
      </w:pPr>
    </w:p>
    <w:p>
      <w:pPr>
        <w:jc w:val="center"/>
        <w:ind w:left="100"/>
        <w:spacing w:after="0" w:line="353" w:lineRule="auto"/>
        <w:rPr>
          <w:sz w:val="20"/>
          <w:szCs w:val="20"/>
          <w:color w:val="auto"/>
        </w:rPr>
      </w:pPr>
      <w:r>
        <w:rPr>
          <w:rFonts w:ascii="Times New Roman" w:cs="Times New Roman" w:eastAsia="Times New Roman" w:hAnsi="Times New Roman"/>
          <w:sz w:val="17"/>
          <w:szCs w:val="17"/>
          <w:color w:val="auto"/>
        </w:rPr>
        <w:t>Master Fund LP HHLR Fund, LP Empery Asset Master,</w:t>
      </w:r>
    </w:p>
    <w:p>
      <w:pPr>
        <w:ind w:left="840"/>
        <w:spacing w:after="0" w:line="185" w:lineRule="auto"/>
        <w:rPr>
          <w:sz w:val="20"/>
          <w:szCs w:val="20"/>
          <w:color w:val="auto"/>
        </w:rPr>
      </w:pPr>
      <w:r>
        <w:rPr>
          <w:rFonts w:ascii="Times New Roman" w:cs="Times New Roman" w:eastAsia="Times New Roman" w:hAnsi="Times New Roman"/>
          <w:sz w:val="29"/>
          <w:szCs w:val="29"/>
          <w:color w:val="auto"/>
          <w:vertAlign w:val="subscript"/>
        </w:rPr>
        <w:t>LTD</w:t>
      </w: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2,852,490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2,852,490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2,494,884</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357,606 (0.035%)</w:t>
            </w:r>
          </w:p>
        </w:tc>
        <w:tc>
          <w:tcPr>
            <w:tcW w:w="0" w:type="dxa"/>
            <w:vAlign w:val="bottom"/>
          </w:tcPr>
          <w:p>
            <w:pPr>
              <w:spacing w:after="0"/>
              <w:rPr>
                <w:sz w:val="1"/>
                <w:szCs w:val="1"/>
                <w:color w:val="auto"/>
              </w:rPr>
            </w:pPr>
          </w:p>
        </w:tc>
      </w:tr>
      <w:tr>
        <w:trPr>
          <w:trHeight w:val="581"/>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1,368,409</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1,368,409</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1,215,349</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153,060 (0.015%)</w:t>
            </w:r>
          </w:p>
        </w:tc>
        <w:tc>
          <w:tcPr>
            <w:tcW w:w="0" w:type="dxa"/>
            <w:vAlign w:val="bottom"/>
          </w:tcPr>
          <w:p>
            <w:pPr>
              <w:spacing w:after="0"/>
              <w:rPr>
                <w:sz w:val="1"/>
                <w:szCs w:val="1"/>
                <w:color w:val="auto"/>
              </w:rPr>
            </w:pPr>
          </w:p>
        </w:tc>
      </w:tr>
      <w:tr>
        <w:trPr>
          <w:trHeight w:val="459"/>
        </w:trPr>
        <w:tc>
          <w:tcPr>
            <w:tcW w:w="12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3,492,095</w:t>
            </w:r>
          </w:p>
        </w:tc>
        <w:tc>
          <w:tcPr>
            <w:tcW w:w="18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3,492,095</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3,492,095</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22"/>
        </w:trPr>
        <w:tc>
          <w:tcPr>
            <w:tcW w:w="12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895,815</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895,815</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895,815</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769"/>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263,255</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263,255</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263,255</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567"/>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1,162,790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1,162,790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1,162,790</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445"/>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10,243,255</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10,243,255</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10,243,255</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581"/>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40,000,000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40,000,000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40,000,000</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580"/>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58,139,535</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58,139,535</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58,139,535</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581"/>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21,744,186</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21,744,186</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21,744,186</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580"/>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3,837,209</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3,837,209</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3,837,209</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459"/>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13,960,000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13,960,000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13,960,000</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432"/>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18,604,650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18,604,650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18,604,650</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432"/>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16,279,070</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16,279,070</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16,279,070</w:t>
            </w:r>
          </w:p>
        </w:tc>
        <w:tc>
          <w:tcPr>
            <w:tcW w:w="17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445"/>
        </w:trPr>
        <w:tc>
          <w:tcPr>
            <w:tcW w:w="12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5,813,956</w:t>
            </w: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13,762,489</w:t>
            </w:r>
          </w:p>
        </w:tc>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w:t>
            </w:r>
          </w:p>
        </w:tc>
        <w:tc>
          <w:tcPr>
            <w:tcW w:w="1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5,813,956</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7,948,533 (0.79%)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-4773930</wp:posOffset>
            </wp:positionV>
            <wp:extent cx="713232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-4036695</wp:posOffset>
            </wp:positionV>
            <wp:extent cx="713232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-3051175</wp:posOffset>
            </wp:positionV>
            <wp:extent cx="71323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-2476500</wp:posOffset>
            </wp:positionV>
            <wp:extent cx="7132320"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-1739265</wp:posOffset>
            </wp:positionV>
            <wp:extent cx="7132320"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-1002665</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-453390</wp:posOffset>
            </wp:positionV>
            <wp:extent cx="71323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2160" w:space="560"/>
            <w:col w:w="8520"/>
          </w:cols>
          <w:pgMar w:left="320" w:top="418" w:right="33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40" w:hanging="432"/>
        <w:spacing w:after="0" w:line="241"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sale of all Registrable Common Shares by the Selling Shareholder during the 25-month period that the Base Shelf Prospectus, including any amendments thereto, remains effective.</w:t>
      </w:r>
    </w:p>
    <w:p>
      <w:pPr>
        <w:spacing w:after="0" w:line="1"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Also represents the number and percentage of Common Shares held on a fully diluted basis after the Offering.</w:t>
      </w:r>
    </w:p>
    <w:p>
      <w:pPr>
        <w:jc w:val="both"/>
        <w:ind w:left="440" w:hanging="432"/>
        <w:spacing w:after="0" w:line="230"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Capital Advisors, GP, LLC (“</w:t>
      </w:r>
      <w:r>
        <w:rPr>
          <w:rFonts w:ascii="Times New Roman" w:cs="Times New Roman" w:eastAsia="Times New Roman" w:hAnsi="Times New Roman"/>
          <w:sz w:val="22"/>
          <w:szCs w:val="22"/>
          <w:b w:val="1"/>
          <w:bCs w:val="1"/>
          <w:color w:val="auto"/>
        </w:rPr>
        <w:t>Acorn GP</w:t>
      </w:r>
      <w:r>
        <w:rPr>
          <w:rFonts w:ascii="Times New Roman" w:cs="Times New Roman" w:eastAsia="Times New Roman" w:hAnsi="Times New Roman"/>
          <w:sz w:val="22"/>
          <w:szCs w:val="22"/>
          <w:color w:val="auto"/>
        </w:rPr>
        <w:t>”) is the general partner of Acorn Bioventures, L.P. (“</w:t>
      </w:r>
      <w:r>
        <w:rPr>
          <w:rFonts w:ascii="Times New Roman" w:cs="Times New Roman" w:eastAsia="Times New Roman" w:hAnsi="Times New Roman"/>
          <w:sz w:val="22"/>
          <w:szCs w:val="22"/>
          <w:b w:val="1"/>
          <w:bCs w:val="1"/>
          <w:color w:val="auto"/>
        </w:rPr>
        <w:t>Acorn Bioventures</w:t>
      </w:r>
      <w:r>
        <w:rPr>
          <w:rFonts w:ascii="Times New Roman" w:cs="Times New Roman" w:eastAsia="Times New Roman" w:hAnsi="Times New Roman"/>
          <w:sz w:val="22"/>
          <w:szCs w:val="22"/>
          <w:color w:val="auto"/>
        </w:rPr>
        <w:t>”). Acorn GP has discretionary authority to vote and dispose of the Common Shares held by Acorn Bioventures and, accordingly, Acorn GP may be deemed to have beneficial ownership of such Common Shares. Anders Hoves is the manager of Acorn GP (the “</w:t>
      </w:r>
      <w:r>
        <w:rPr>
          <w:rFonts w:ascii="Times New Roman" w:cs="Times New Roman" w:eastAsia="Times New Roman" w:hAnsi="Times New Roman"/>
          <w:sz w:val="22"/>
          <w:szCs w:val="22"/>
          <w:b w:val="1"/>
          <w:bCs w:val="1"/>
          <w:color w:val="auto"/>
        </w:rPr>
        <w:t>Acorn Manager</w:t>
      </w:r>
      <w:r>
        <w:rPr>
          <w:rFonts w:ascii="Times New Roman" w:cs="Times New Roman" w:eastAsia="Times New Roman" w:hAnsi="Times New Roman"/>
          <w:sz w:val="22"/>
          <w:szCs w:val="22"/>
          <w:color w:val="auto"/>
        </w:rPr>
        <w:t>”) and, in his capacity as such, may be deemed to beneficially own the Common Shares held by Acorn Bioventures. Each of Acorn GP and the Acorn Manager disclaims beneficial ownership of such Common Shares, except to the extent of their respective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2" w:lineRule="auto"/>
        <w:tabs>
          <w:tab w:leader="none" w:pos="4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Capital Advisors GP 2, LLC (“</w:t>
      </w:r>
      <w:r>
        <w:rPr>
          <w:rFonts w:ascii="Times New Roman" w:cs="Times New Roman" w:eastAsia="Times New Roman" w:hAnsi="Times New Roman"/>
          <w:sz w:val="22"/>
          <w:szCs w:val="22"/>
          <w:b w:val="1"/>
          <w:bCs w:val="1"/>
          <w:color w:val="auto"/>
        </w:rPr>
        <w:t>Acorn GP 2</w:t>
      </w:r>
      <w:r>
        <w:rPr>
          <w:rFonts w:ascii="Times New Roman" w:cs="Times New Roman" w:eastAsia="Times New Roman" w:hAnsi="Times New Roman"/>
          <w:sz w:val="22"/>
          <w:szCs w:val="22"/>
          <w:color w:val="auto"/>
        </w:rPr>
        <w:t>”) is the general partner of Acorn Bioventures 2, L.P. (“</w:t>
      </w:r>
      <w:r>
        <w:rPr>
          <w:rFonts w:ascii="Times New Roman" w:cs="Times New Roman" w:eastAsia="Times New Roman" w:hAnsi="Times New Roman"/>
          <w:sz w:val="22"/>
          <w:szCs w:val="22"/>
          <w:b w:val="1"/>
          <w:bCs w:val="1"/>
          <w:color w:val="auto"/>
        </w:rPr>
        <w:t>Acorn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Bioventures 2</w:t>
      </w:r>
      <w:r>
        <w:rPr>
          <w:rFonts w:ascii="Times New Roman" w:cs="Times New Roman" w:eastAsia="Times New Roman" w:hAnsi="Times New Roman"/>
          <w:sz w:val="22"/>
          <w:szCs w:val="22"/>
          <w:color w:val="auto"/>
        </w:rPr>
        <w:t>”). Acorn GP 2 has discretionary authority to vote and dispose of the Common Shares held by Acorn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Bioventures 2 and, accordingly, Acorn GP 2 may be deemed to have beneficial ownership of such Common Shares. The Acorn Manager is the manager of Acorn GP 2 and, in its capacity as such, may be deemed to beneficially own the Common Shares held by Acorn Bioventures 2. Each of Acorn GP 2 and the Acorn Manager disclaims beneficial ownership of such Common Shares, except to the extent of their respective pecuniary interest therein.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5" w:name="page16"/>
    <w:bookmarkEnd w:id="15"/>
    <w:p>
      <w:pPr>
        <w:jc w:val="both"/>
        <w:ind w:left="440" w:hanging="432"/>
        <w:spacing w:after="0" w:line="235"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Deep Track Capital, L.P. is the investment manager of Deep Track Biotechnology Master Fund, Ltd. Mr. David Kroin is the managing member of Deep Track Capital GP, LLC, the general partner of Deep Track Capital, L.P., and by virtue of such status may be deemed to be the beneficial owner of the Common Shares owned by Deep Track Biotechnology Master Fund, Ltd. Deep Track Capital, L.P. and Mr. Kroin disclaim beneficial ownership of such Common Shares except to the extent of their respective pecuniary interests.</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Altium Capital Management, LP, the investment manager of Altium Growth Fund, LP, has voting and investment power over the Common Shares held by Altium Growth Fund, LP. Jacob Gottlieb is the managing member of Altium Capital Growth GP, LLC, which is the general partner of Altium Growth Fund, LP. Each of Altium Growth Fund, LP and Jacob Gottlieb disclaims beneficial ownership over the Common Shares held by Altium Growth Fund, LP. The principal address of Altium Capital Management, LP is 152 West 57th Street, 20th Floor, New York, NY 10019.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Avidity Master Fund LP, or Avidity Master, is a Cayman exempted limited partnership. The general partner of Avidity Master is Avidity Capital Partners Fund (GP) LP, a Delaware limited partnership, whose general partner is Avidity Capital Partners (GP) LLC, a Delaware limited liability company. Avidity Partners Management LP, is the investment manager of Avidity Master. Avidity Partners Management (GP) LLC is the general partner of Avidity Partners Management LP. David Witzke and Michael Gregory are the managing members of Avidity Capital Partners (GP) LLC and Avidity Partners Management (GP) LLC. Each of the entities and individuals referenced in this paragraph may be deemed to beneficially own the Common Shares held by the Avidity entities. Certain affiliates of the Avidity entities, which are not Selling Shareholders, may also own Common Shares. The address of the Selling Shareholders is 2828 N. Harwood Street, Suite 1220, Dallas, TX 75201.</w:t>
      </w:r>
    </w:p>
    <w:p>
      <w:pPr>
        <w:spacing w:after="0" w:line="5"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8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Ikarian Capital LLC acts as the investment manager to Ikarian Healthcare Master Fund LP (the “</w:t>
      </w:r>
      <w:r>
        <w:rPr>
          <w:rFonts w:ascii="Times New Roman" w:cs="Times New Roman" w:eastAsia="Times New Roman" w:hAnsi="Times New Roman"/>
          <w:sz w:val="22"/>
          <w:szCs w:val="22"/>
          <w:b w:val="1"/>
          <w:bCs w:val="1"/>
          <w:color w:val="auto"/>
        </w:rPr>
        <w:t>IH Fund</w:t>
      </w:r>
      <w:r>
        <w:rPr>
          <w:rFonts w:ascii="Times New Roman" w:cs="Times New Roman" w:eastAsia="Times New Roman" w:hAnsi="Times New Roman"/>
          <w:sz w:val="22"/>
          <w:szCs w:val="22"/>
          <w:color w:val="auto"/>
        </w:rPr>
        <w:t>”) and holds voting and investment power over the Common Shares held by the IH Fund. Additionally, Ikarian Capital LLC acts as sub-adviser to Boothbay Absolute Return Strategies LP and Boothbay Diversified Alpha Master Fund LP (together, the “</w:t>
      </w:r>
      <w:r>
        <w:rPr>
          <w:rFonts w:ascii="Times New Roman" w:cs="Times New Roman" w:eastAsia="Times New Roman" w:hAnsi="Times New Roman"/>
          <w:sz w:val="22"/>
          <w:szCs w:val="22"/>
          <w:b w:val="1"/>
          <w:bCs w:val="1"/>
          <w:color w:val="auto"/>
        </w:rPr>
        <w:t>Boothbay Funds</w:t>
      </w:r>
      <w:r>
        <w:rPr>
          <w:rFonts w:ascii="Times New Roman" w:cs="Times New Roman" w:eastAsia="Times New Roman" w:hAnsi="Times New Roman"/>
          <w:sz w:val="22"/>
          <w:szCs w:val="22"/>
          <w:color w:val="auto"/>
        </w:rPr>
        <w:t>”) and holds voting and investment power over the Registrable Common Shares held by the Boothbay Funds. Accordingly, Ikarian Capital LLC may be deemed to have beneficial ownership of the Common Shares held by the IH Fund and the Registrable Common Shares held by the Boothbay Funds. Each of Ikarian Capital, LLC, the IH Fund and the Boothbay Funds declares that neither this filing nor anything herein shall be construed as an admission that such person is, for any purpose, the beneficial owner of any securities held by the IH Fund and the Boothbay Funds covered by this filing.</w:t>
      </w:r>
    </w:p>
    <w:p>
      <w:pPr>
        <w:spacing w:after="0" w:line="5"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Capital Management, LLC, a Maryland limited liability company (“</w:t>
      </w:r>
      <w:r>
        <w:rPr>
          <w:rFonts w:ascii="Times New Roman" w:cs="Times New Roman" w:eastAsia="Times New Roman" w:hAnsi="Times New Roman"/>
          <w:sz w:val="22"/>
          <w:szCs w:val="22"/>
          <w:b w:val="1"/>
          <w:bCs w:val="1"/>
          <w:color w:val="auto"/>
        </w:rPr>
        <w:t>AIGH CM</w:t>
      </w:r>
      <w:r>
        <w:rPr>
          <w:rFonts w:ascii="Times New Roman" w:cs="Times New Roman" w:eastAsia="Times New Roman" w:hAnsi="Times New Roman"/>
          <w:sz w:val="22"/>
          <w:szCs w:val="22"/>
          <w:color w:val="auto"/>
        </w:rPr>
        <w:t>”), who is an advisor with respect to the securities held by AIGH Investment Partners, L.P. (“</w:t>
      </w:r>
      <w:r>
        <w:rPr>
          <w:rFonts w:ascii="Times New Roman" w:cs="Times New Roman" w:eastAsia="Times New Roman" w:hAnsi="Times New Roman"/>
          <w:sz w:val="22"/>
          <w:szCs w:val="22"/>
          <w:b w:val="1"/>
          <w:bCs w:val="1"/>
          <w:color w:val="auto"/>
        </w:rPr>
        <w:t>AIGH LP</w:t>
      </w:r>
      <w:r>
        <w:rPr>
          <w:rFonts w:ascii="Times New Roman" w:cs="Times New Roman" w:eastAsia="Times New Roman" w:hAnsi="Times New Roman"/>
          <w:sz w:val="22"/>
          <w:szCs w:val="22"/>
          <w:color w:val="auto"/>
        </w:rPr>
        <w:t>”). Mr. Hirschman has voting and investment control over the securities indirectly held by AIGH CM, directly held by AIGH IP and directly held by Mr. Hirschman and his family. The address for AIGH CM, AIGH LP and Mr. Hirschman is 6006 Berkeley Avenue, Baltimore, Maryland 21209.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CM, who is a sub-advisor with respect to the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Orin Hirschman is the managing member of AIGH CM, who is a sub-advisor with respect to the securities held by WVP Emerging Manager Onshore Fund, LLC - Optimized Equity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Logos GP LLC (“</w:t>
      </w:r>
      <w:r>
        <w:rPr>
          <w:rFonts w:ascii="Times New Roman" w:cs="Times New Roman" w:eastAsia="Times New Roman" w:hAnsi="Times New Roman"/>
          <w:sz w:val="22"/>
          <w:szCs w:val="22"/>
          <w:b w:val="1"/>
          <w:bCs w:val="1"/>
          <w:color w:val="auto"/>
        </w:rPr>
        <w:t>Logos GP</w:t>
      </w:r>
      <w:r>
        <w:rPr>
          <w:rFonts w:ascii="Times New Roman" w:cs="Times New Roman" w:eastAsia="Times New Roman" w:hAnsi="Times New Roman"/>
          <w:sz w:val="22"/>
          <w:szCs w:val="22"/>
          <w:color w:val="auto"/>
        </w:rPr>
        <w:t>”) is the general partner of Logos Global Master Fund LP (“</w:t>
      </w:r>
      <w:r>
        <w:rPr>
          <w:rFonts w:ascii="Times New Roman" w:cs="Times New Roman" w:eastAsia="Times New Roman" w:hAnsi="Times New Roman"/>
          <w:sz w:val="22"/>
          <w:szCs w:val="22"/>
          <w:b w:val="1"/>
          <w:bCs w:val="1"/>
          <w:color w:val="auto"/>
        </w:rPr>
        <w:t>LGMF</w:t>
      </w:r>
      <w:r>
        <w:rPr>
          <w:rFonts w:ascii="Times New Roman" w:cs="Times New Roman" w:eastAsia="Times New Roman" w:hAnsi="Times New Roman"/>
          <w:sz w:val="22"/>
          <w:szCs w:val="22"/>
          <w:color w:val="auto"/>
        </w:rPr>
        <w:t>”) and may be deemed to have beneficial ownership of the Common Shares held by LGMF. Arsani William and Graham Walmsley are the members of Logos GP. Mr. William and Mr. Walmsley each disclaim beneficial ownership of such Common Shares, except to the extent of each’s pecuniary interest in such Common Shares, if any.</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 Capital Management, L.P. is the investment manager for RA Capital Healthcare Fund, L.P. (“</w:t>
      </w:r>
      <w:r>
        <w:rPr>
          <w:rFonts w:ascii="Times New Roman" w:cs="Times New Roman" w:eastAsia="Times New Roman" w:hAnsi="Times New Roman"/>
          <w:sz w:val="22"/>
          <w:szCs w:val="22"/>
          <w:b w:val="1"/>
          <w:bCs w:val="1"/>
          <w:color w:val="auto"/>
        </w:rPr>
        <w:t>RACHF</w:t>
      </w:r>
      <w:r>
        <w:rPr>
          <w:rFonts w:ascii="Times New Roman" w:cs="Times New Roman" w:eastAsia="Times New Roman" w:hAnsi="Times New Roman"/>
          <w:sz w:val="22"/>
          <w:szCs w:val="22"/>
          <w:color w:val="auto"/>
        </w:rPr>
        <w:t>”). The general partner of RA Capital Management, L.P. is RA Capital Management GP, LLC, of which Peter Kolchinsky, Ph.D. and Rajeev Shah are the managing members. Each of RA Capital Management, L.P., RA Capital Management GP, LLC, Mr. Kolchinsky and Mr. Shah may be deemed to have voting and investment power over the securities held by RACHF. RA Capital Management, L.P., RA Capital Management GP, LLC, Mr. Kolchinsky and Mr. Shah disclaim beneficial ownership of such securities, except to the extent of any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Sphera Biotech GP LP (the “</w:t>
      </w:r>
      <w:r>
        <w:rPr>
          <w:rFonts w:ascii="Times New Roman" w:cs="Times New Roman" w:eastAsia="Times New Roman" w:hAnsi="Times New Roman"/>
          <w:sz w:val="22"/>
          <w:szCs w:val="22"/>
          <w:b w:val="1"/>
          <w:bCs w:val="1"/>
          <w:color w:val="auto"/>
        </w:rPr>
        <w:t>General Partner</w:t>
      </w:r>
      <w:r>
        <w:rPr>
          <w:rFonts w:ascii="Times New Roman" w:cs="Times New Roman" w:eastAsia="Times New Roman" w:hAnsi="Times New Roman"/>
          <w:sz w:val="22"/>
          <w:szCs w:val="22"/>
          <w:color w:val="auto"/>
        </w:rPr>
        <w:t>”) is the general partner of Sphera Biotech Master Fund LP (“</w:t>
      </w:r>
      <w:r>
        <w:rPr>
          <w:rFonts w:ascii="Times New Roman" w:cs="Times New Roman" w:eastAsia="Times New Roman" w:hAnsi="Times New Roman"/>
          <w:sz w:val="22"/>
          <w:szCs w:val="22"/>
          <w:b w:val="1"/>
          <w:bCs w:val="1"/>
          <w:color w:val="auto"/>
        </w:rPr>
        <w:t>Sphera LP</w:t>
      </w:r>
      <w:r>
        <w:rPr>
          <w:rFonts w:ascii="Times New Roman" w:cs="Times New Roman" w:eastAsia="Times New Roman" w:hAnsi="Times New Roman"/>
          <w:sz w:val="22"/>
          <w:szCs w:val="22"/>
          <w:color w:val="auto"/>
        </w:rPr>
        <w:t>”). Sphera Global Healthcare Management LP (“</w:t>
      </w:r>
      <w:r>
        <w:rPr>
          <w:rFonts w:ascii="Times New Roman" w:cs="Times New Roman" w:eastAsia="Times New Roman" w:hAnsi="Times New Roman"/>
          <w:sz w:val="22"/>
          <w:szCs w:val="22"/>
          <w:b w:val="1"/>
          <w:bCs w:val="1"/>
          <w:color w:val="auto"/>
        </w:rPr>
        <w:t>SGH Management</w:t>
      </w:r>
      <w:r>
        <w:rPr>
          <w:rFonts w:ascii="Times New Roman" w:cs="Times New Roman" w:eastAsia="Times New Roman" w:hAnsi="Times New Roman"/>
          <w:sz w:val="22"/>
          <w:szCs w:val="22"/>
          <w:color w:val="auto"/>
        </w:rPr>
        <w:t>”) is the general partner of the General Partner and acts as the Investment Manager for Sphera LP and holds voting and investment power over the Common Shares held by Sphera LP. Accordingly, SGH Management may be deemed to have beneficial ownership of the Common Shares held by Sphera LP. SGH Management disclaims beneficial ownership of such Common Shares, except to the extent of its pecuniary interest therein.</w:t>
      </w:r>
    </w:p>
    <w:p>
      <w:pPr>
        <w:spacing w:after="0" w:line="3"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SGH Management acts as the Investment Manager for Sphera Global Healthcare Master Fund (“</w:t>
      </w:r>
      <w:r>
        <w:rPr>
          <w:rFonts w:ascii="Times New Roman" w:cs="Times New Roman" w:eastAsia="Times New Roman" w:hAnsi="Times New Roman"/>
          <w:sz w:val="22"/>
          <w:szCs w:val="22"/>
          <w:b w:val="1"/>
          <w:bCs w:val="1"/>
          <w:color w:val="auto"/>
        </w:rPr>
        <w:t>SGH Fund</w:t>
      </w:r>
      <w:r>
        <w:rPr>
          <w:rFonts w:ascii="Times New Roman" w:cs="Times New Roman" w:eastAsia="Times New Roman" w:hAnsi="Times New Roman"/>
          <w:sz w:val="22"/>
          <w:szCs w:val="22"/>
          <w:color w:val="auto"/>
        </w:rPr>
        <w:t>”) and holds voting and investment power over the Common Shares held by SGH Fund. Accordingly, SGH Management may be deemed to have beneficial ownership of the Common Shares held by SGH Fund. SGH Management disclaims beneficial ownership of such Common Shares, except to the extent of its pecuniary interest therein.</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3" w:lineRule="auto"/>
        <w:tabs>
          <w:tab w:leader="none" w:pos="50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Empery Asset Management LP (“</w:t>
      </w:r>
      <w:r>
        <w:rPr>
          <w:rFonts w:ascii="Times New Roman" w:cs="Times New Roman" w:eastAsia="Times New Roman" w:hAnsi="Times New Roman"/>
          <w:sz w:val="22"/>
          <w:szCs w:val="22"/>
          <w:b w:val="1"/>
          <w:bCs w:val="1"/>
          <w:color w:val="auto"/>
        </w:rPr>
        <w:t>EAM LP</w:t>
      </w:r>
      <w:r>
        <w:rPr>
          <w:rFonts w:ascii="Times New Roman" w:cs="Times New Roman" w:eastAsia="Times New Roman" w:hAnsi="Times New Roman"/>
          <w:sz w:val="22"/>
          <w:szCs w:val="22"/>
          <w:color w:val="auto"/>
        </w:rPr>
        <w:t>”), the authorized agent of Empery Asset Master, LTD (“</w:t>
      </w:r>
      <w:r>
        <w:rPr>
          <w:rFonts w:ascii="Times New Roman" w:cs="Times New Roman" w:eastAsia="Times New Roman" w:hAnsi="Times New Roman"/>
          <w:sz w:val="22"/>
          <w:szCs w:val="22"/>
          <w:b w:val="1"/>
          <w:bCs w:val="1"/>
          <w:color w:val="auto"/>
        </w:rPr>
        <w:t>EAM</w:t>
      </w:r>
      <w:r>
        <w:rPr>
          <w:rFonts w:ascii="Times New Roman" w:cs="Times New Roman" w:eastAsia="Times New Roman" w:hAnsi="Times New Roman"/>
          <w:sz w:val="22"/>
          <w:szCs w:val="22"/>
          <w:color w:val="auto"/>
        </w:rPr>
        <w:t>”), has discretionary authority to vote and dispose of the Common Shares held by EAM and may be deemed to be the beneficial owner of such Common Shares. Martin Hoe and Ryan Lane, in their capacity as investment managers of EAM LP, may also be deemed to have investment discretion and voting power over the Common Shares held by EAM. EAM, Mr. Hoe and Mr. Lane each disclaim any beneficial ownership of such Common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ectPr>
          <w:pgSz w:w="11900" w:h="16838" w:orient="portrait"/>
          <w:cols w:equalWidth="0" w:num="1">
            <w:col w:w="11240"/>
          </w:cols>
          <w:pgMar w:left="320" w:top="112" w:right="339" w:bottom="0" w:gutter="0" w:footer="0" w:header="0"/>
        </w:sectPr>
      </w:pPr>
    </w:p>
    <w:bookmarkStart w:id="16" w:name="page17"/>
    <w:bookmarkEnd w:id="16"/>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registering the Registrable Common Shares in the United States to permit the resale of the Registrable Common Shares by the Selling Shareholders, from time to time in one or more transactions, after the date of this Prospectus Supplement. All costs, expenses and fees connected with the registration of the Registrable Common Shares will be borne by the Corporation. Any brokerage commissions, legal fees, and similar expenses connected with selling the Registrable Common Shares will be borne by the Selling Shareholders. The Corporation will not receive any of the proceeds from the sale by a Selling Shareholder of the Registrable Common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spacing w:after="0" w:line="235" w:lineRule="auto"/>
        <w:rPr>
          <w:sz w:val="20"/>
          <w:szCs w:val="20"/>
          <w:color w:val="auto"/>
        </w:rPr>
      </w:pPr>
      <w:r>
        <w:rPr>
          <w:rFonts w:ascii="Times New Roman" w:cs="Times New Roman" w:eastAsia="Times New Roman" w:hAnsi="Times New Roman"/>
          <w:sz w:val="22"/>
          <w:szCs w:val="22"/>
          <w:color w:val="auto"/>
        </w:rPr>
        <w:t>The Selling Shareholders, which, as used herein, includes donees, pledgees, transferees or other successors-in-interest, selling Registrable Common Shares or interests in Registrable Common Shares received after the date of this Prospectus Supplement from a Selling Shareholder as a gift, pledge, partnership distribution or other transfer, may, from time to time, sell, transfer or otherwise dispose of any or all of their Registrable Common Shares or interests in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Selling Shareholders may use any one or more of the following methods when disposing of Registrable Common Shares or interests therein:</w:t>
      </w:r>
    </w:p>
    <w:p>
      <w:pPr>
        <w:spacing w:after="0" w:line="158" w:lineRule="exact"/>
        <w:rPr>
          <w:sz w:val="20"/>
          <w:szCs w:val="20"/>
          <w:color w:val="auto"/>
        </w:rPr>
      </w:pPr>
    </w:p>
    <w:p>
      <w:pPr>
        <w:ind w:left="660" w:right="2360"/>
        <w:spacing w:after="0" w:line="241" w:lineRule="auto"/>
        <w:rPr>
          <w:sz w:val="20"/>
          <w:szCs w:val="20"/>
          <w:color w:val="auto"/>
        </w:rPr>
      </w:pPr>
      <w:r>
        <w:rPr>
          <w:rFonts w:ascii="Times New Roman" w:cs="Times New Roman" w:eastAsia="Times New Roman" w:hAnsi="Times New Roman"/>
          <w:sz w:val="22"/>
          <w:szCs w:val="22"/>
          <w:color w:val="auto"/>
        </w:rPr>
        <w:t>ordinary brokerage transactions and transactions in which the broker-dealer solicits purchasers; to or 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block trades in which the broker-dealer will attempt to sell the Registrable Common Shares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980"/>
        <w:spacing w:after="0" w:line="230" w:lineRule="auto"/>
        <w:rPr>
          <w:sz w:val="20"/>
          <w:szCs w:val="20"/>
          <w:color w:val="auto"/>
        </w:rPr>
      </w:pPr>
      <w:r>
        <w:rPr>
          <w:rFonts w:ascii="Times New Roman" w:cs="Times New Roman" w:eastAsia="Times New Roman" w:hAnsi="Times New Roman"/>
          <w:sz w:val="22"/>
          <w:szCs w:val="22"/>
          <w:color w:val="auto"/>
        </w:rPr>
        <w:t>purchases by a broker-dealer as principal and resale by the broker-dealer for its account; an exchange distribution in accordance with the rules of the applicable exchange;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color w:val="auto"/>
        </w:rPr>
        <w:t>short sales effected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pursuant to agreements with broker-dealers to sell a specified number of such Registrable Common Shares at a stipulated price per Registrable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a combination of any such methods of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any other method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Selling Shareholders may, from time to time, pledge or grant a security interest in some or all of the Registrable Common Shares owned by them and, if they default in the performance of their secured obligations, the pledgees or secured parties may offer and sell the Registrable Common Shares, from time to time, under this Prospectus Supplement, or under an amendment to this Prospectus Supplement. The Selling Shareholders may also transfer the Registrable Common Shares in other circumstances, in which case the transferees, pledgees or other successors in interest will be the selling beneficial owners for purposes of this Prospectus Supplement.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sale of the Registrable Common Shares or interests therein, the Selling Shareholders may enter into hedging transactions with broker-dealers or other financial institutions, which may in turn engage in short sales of the Registrable Common Shares in the course of hedging the positions they assume. The Selling Shareholders may also sell Registrable Common Shares short and deliver these securities to close out their short positions, or loan or pledge the Registrable Common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Registrable Common Shares offered by this Prospectus Supplement, which Registrable Common Shares such broker-dealer or other financial institution may resell pursuant to this Prospectus Supplement (as supplemented or amended, as necessary, to reflect such transaction).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aggregate proceeds to the Selling Shareholders from the sale of the Registrable Common Shares offered by them will be the purchase price of the Registrable Common Shares less discounts or commissions, if any. Each of the Selling Shareholders reserves the right to accept and, together with their agents from time to time, to reject, in whole or in part, any proposed purchase of Registrable Common Shares to be made directly or through agents. The Corporation will not receive any of the proceeds from this Offering.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ind w:right="20"/>
        <w:spacing w:after="0"/>
        <w:rPr>
          <w:sz w:val="20"/>
          <w:szCs w:val="20"/>
          <w:color w:val="auto"/>
        </w:rPr>
      </w:pPr>
      <w:r>
        <w:rPr>
          <w:rFonts w:ascii="Times New Roman" w:cs="Times New Roman" w:eastAsia="Times New Roman" w:hAnsi="Times New Roman"/>
          <w:sz w:val="22"/>
          <w:szCs w:val="22"/>
          <w:color w:val="auto"/>
        </w:rPr>
        <w:t>The Selling Shareholders may also resell all or a portion of the Registrable Common Shares in open market transactions in reliance upon Rule 144 or Rule 904 of Regulation S under the U.S. Securities Act, if available, provided that they meet the criteria and conform to the requirements of those rules, or pursuant to another available exemption under the U.S. Securities Act and applicable state securities laws.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Selling Shareholders and any underwriters, broker-dealers or agents that participate in the sale of the Registrable Common Shares or interests therein may be "underwriters" within the meaning of Section 2(a)(11) of the U.S. Securities Act. Any discounts, commissions, concessions or profit they earn on any resale of the Registrable Common Shares may be underwriting discounts or commissions under the U.S. Securities Act. Selling Shareholders who are "underwriters" within the meaning of Section 2(a)(11) of the U.S. Securities Act will be subject to the prospectus delivery requirements of the U.S. Securities Act.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the Registrable Common Shares to be sold, the names of the Selling Shareholders, the respective purchase prices and public offering prices, the names of any agents, dealer or underwriter, any applicable commissions or discounts with respect to a particular offer will be set forth in an amendment to this Prospectus Supplement.</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order to comply with the securities laws of some states, if applicable, the Registrable Common Shares may be sold in these jurisdictions only through registered or licensed brokers or dealers. In addition, in some states the Registrable Common Shares may not be sold unless they have been registered or qualified for sale or an exemption from registration or qualification is available and is complied with.</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has not been filed in respect of, and will not qualify, any distribution of the Registrable Common Shares, in Ontario or in any other province or territory of Canada at any time.</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advised the Selling Shareholders that the anti-manipulation rules of Regulation M under the Exchange Act, may apply to sales of Registrable Common Shares in the market and to the activities of the Selling Shareholders and their affiliates. In addition, to the extent applicable the Corporation will make copies of this Prospectus Supplement (as it may be amended from time to time) available to the Selling Shareholders for the purpose of satisfying the prospectus delivery requirements of the U.S. Securities Act. The Selling Shareholders may indemnify any broker-dealer that participates in transactions involving the sale of the Registrable Common Shares against certain liabilities, including liabilities arising under the U.S. Securities Act.</w:t>
      </w:r>
    </w:p>
    <w:p>
      <w:pPr>
        <w:spacing w:after="0" w:line="18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Corporation has agreed to indemnify the Selling Shareholders against liabilities, including liabilities under the U.S. Securities Act, the Exchange Act, or any other federal or state statutory law or regulation, or at common law or otherwise, relating to the registration of the Registrable Common Shares offered by this Prospectus Supplement.</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There can be no assurance that any Selling Shareholder will sell any or all of the Registrable Common Shares registered pursuant to the Registration Statement, of which this Prospectus Supplement and the accompanying Prospectus form a part.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NEO Price Range</w:t>
            </w: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73"/>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32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2"/>
              </w:rPr>
              <w:t xml:space="preserve">High </w:t>
            </w:r>
            <w:r>
              <w:rPr>
                <w:rFonts w:ascii="Times New Roman" w:cs="Times New Roman" w:eastAsia="Times New Roman" w:hAnsi="Times New Roman"/>
                <w:sz w:val="18"/>
                <w:szCs w:val="18"/>
                <w:color w:val="auto"/>
                <w:w w:val="92"/>
              </w:rPr>
              <w:t>($)</w:t>
            </w:r>
            <w:r>
              <w:rPr>
                <w:rFonts w:ascii="Times New Roman" w:cs="Times New Roman" w:eastAsia="Times New Roman" w:hAnsi="Times New Roman"/>
                <w:sz w:val="29"/>
                <w:szCs w:val="29"/>
                <w:b w:val="1"/>
                <w:bCs w:val="1"/>
                <w:color w:val="auto"/>
                <w:w w:val="92"/>
                <w:vertAlign w:val="superscript"/>
              </w:rPr>
              <w:t>(1)</w:t>
            </w:r>
          </w:p>
        </w:tc>
        <w:tc>
          <w:tcPr>
            <w:tcW w:w="2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1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April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0.40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1,906,116</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0.35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1,899,880</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0.30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3,778,524</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July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0.49</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4,373,988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0.36</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2,902,686</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0.405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9,786,623</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October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0.58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7,844,981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0.55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8,461,375</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0.63</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4,986,483</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0.45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5,534,287</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0.54</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0.37</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6,138,864</w:t>
            </w:r>
          </w:p>
        </w:tc>
      </w:tr>
      <w:tr>
        <w:trPr>
          <w:trHeight w:val="216"/>
        </w:trPr>
        <w:tc>
          <w:tcPr>
            <w:tcW w:w="15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0.72</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0.42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12,145,967</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April (1-16)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0.64</w:t>
            </w:r>
          </w:p>
        </w:tc>
        <w:tc>
          <w:tcPr>
            <w:tcW w:w="380" w:type="dxa"/>
            <w:vAlign w:val="bottom"/>
            <w:shd w:val="clear" w:color="auto" w:fill="E6EFFF"/>
          </w:tcPr>
          <w:p>
            <w:pPr>
              <w:spacing w:after="0"/>
              <w:rPr>
                <w:sz w:val="18"/>
                <w:szCs w:val="18"/>
                <w:color w:val="auto"/>
              </w:rPr>
            </w:pPr>
          </w:p>
        </w:tc>
        <w:tc>
          <w:tcPr>
            <w:tcW w:w="50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10"/>
              <w:spacing w:after="0"/>
              <w:rPr>
                <w:sz w:val="20"/>
                <w:szCs w:val="20"/>
                <w:color w:val="auto"/>
              </w:rPr>
            </w:pPr>
            <w:r>
              <w:rPr>
                <w:rFonts w:ascii="Times New Roman" w:cs="Times New Roman" w:eastAsia="Times New Roman" w:hAnsi="Times New Roman"/>
                <w:sz w:val="18"/>
                <w:szCs w:val="18"/>
                <w:color w:val="auto"/>
                <w:w w:val="95"/>
              </w:rPr>
              <w:t>0.49</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5,130,519</w:t>
            </w:r>
          </w:p>
        </w:tc>
      </w:tr>
    </w:tbl>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00" w:hanging="476"/>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NEO as of the date of this Prospectus Supplement.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April 16, 2024, being the last day on which the Common Shares traded prior to the date of this Prospectus Supplement, the closing price of the Common Shares as reported on the NEO was $0.53.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460" w:type="dxa"/>
            <w:vAlign w:val="bottom"/>
          </w:tcPr>
          <w:p>
            <w:pPr>
              <w:spacing w:after="0"/>
              <w:rPr>
                <w:sz w:val="20"/>
                <w:szCs w:val="20"/>
                <w:color w:val="auto"/>
              </w:rPr>
            </w:pPr>
          </w:p>
        </w:tc>
      </w:tr>
      <w:tr>
        <w:trPr>
          <w:trHeight w:val="473"/>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27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2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April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0.4046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0.29</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18,366,468</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0.3466</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26,443,776</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0.39</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0.21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49,472,709</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July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0.53</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0.3689</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54,877,677</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0.37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0.275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68,425,653</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0.715</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0.30</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147,886,989</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October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0.738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0.42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95,997,620</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0.6561</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0.3987</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91,114,131</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2023</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0.3781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62,237,059</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0.3384</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75,594,426</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0.2831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70,978,585</w:t>
            </w:r>
          </w:p>
        </w:tc>
      </w:tr>
      <w:tr>
        <w:trPr>
          <w:trHeight w:val="216"/>
        </w:trPr>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March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0.5224</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181,116,104</w:t>
            </w:r>
          </w:p>
        </w:tc>
      </w:tr>
      <w:tr>
        <w:trPr>
          <w:trHeight w:val="216"/>
        </w:trPr>
        <w:tc>
          <w:tcPr>
            <w:tcW w:w="3360" w:type="dxa"/>
            <w:vAlign w:val="bottom"/>
            <w:gridSpan w:val="2"/>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April (1-16)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0.4699</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0.3513</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62,028,677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700" w:hanging="476"/>
        <w:spacing w:after="0"/>
        <w:tabs>
          <w:tab w:leader="none" w:pos="7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April 16, 2024, being the last day on which the Common Shares traded prior to the date of this Prospectus Supplement, the closing price of the Common Shares as reported on the NYSE American was US$0.3796.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29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540" w:type="dxa"/>
            <w:vAlign w:val="bottom"/>
          </w:tcPr>
          <w:p>
            <w:pPr>
              <w:spacing w:after="0"/>
              <w:rPr>
                <w:sz w:val="19"/>
                <w:szCs w:val="19"/>
                <w:color w:val="auto"/>
              </w:rPr>
            </w:pPr>
          </w:p>
        </w:tc>
        <w:tc>
          <w:tcPr>
            <w:tcW w:w="28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Issuance / Exercise</w:t>
            </w:r>
          </w:p>
        </w:tc>
      </w:tr>
      <w:tr>
        <w:trPr>
          <w:trHeight w:val="270"/>
        </w:trPr>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Issuance</w:t>
            </w:r>
          </w:p>
        </w:tc>
        <w:tc>
          <w:tcPr>
            <w:tcW w:w="29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25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800" w:type="dxa"/>
            <w:vAlign w:val="bottom"/>
            <w:tcBorders>
              <w:bottom w:val="single" w:sz="8" w:color="auto"/>
            </w:tcBorders>
          </w:tcPr>
          <w:p>
            <w:pPr>
              <w:jc w:val="center"/>
              <w:ind w:left="270"/>
              <w:spacing w:after="0" w:line="270" w:lineRule="exact"/>
              <w:rPr>
                <w:sz w:val="20"/>
                <w:szCs w:val="20"/>
                <w:color w:val="auto"/>
              </w:rPr>
            </w:pPr>
            <w:r>
              <w:rPr>
                <w:rFonts w:ascii="Times New Roman" w:cs="Times New Roman" w:eastAsia="Times New Roman" w:hAnsi="Times New Roman"/>
                <w:sz w:val="18"/>
                <w:szCs w:val="18"/>
                <w:b w:val="1"/>
                <w:bCs w:val="1"/>
                <w:color w:val="auto"/>
                <w:w w:val="97"/>
              </w:rPr>
              <w:t>Price Per Security (C$)</w:t>
            </w:r>
            <w:r>
              <w:rPr>
                <w:rFonts w:ascii="Times New Roman" w:cs="Times New Roman" w:eastAsia="Times New Roman" w:hAnsi="Times New Roman"/>
                <w:sz w:val="29"/>
                <w:szCs w:val="29"/>
                <w:b w:val="1"/>
                <w:bCs w:val="1"/>
                <w:color w:val="auto"/>
                <w:w w:val="97"/>
                <w:vertAlign w:val="superscript"/>
              </w:rPr>
              <w:t>(1)</w:t>
            </w:r>
          </w:p>
        </w:tc>
      </w:tr>
      <w:tr>
        <w:trPr>
          <w:trHeight w:val="250"/>
        </w:trPr>
        <w:tc>
          <w:tcPr>
            <w:tcW w:w="3000" w:type="dxa"/>
            <w:vAlign w:val="bottom"/>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rPr>
              <w:t>April 19, 2023</w:t>
            </w:r>
            <w:r>
              <w:rPr>
                <w:rFonts w:ascii="Times New Roman" w:cs="Times New Roman" w:eastAsia="Times New Roman" w:hAnsi="Times New Roman"/>
                <w:sz w:val="28"/>
                <w:szCs w:val="28"/>
                <w:color w:val="auto"/>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350,000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$0.49</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April 20, 2023</w:t>
            </w:r>
            <w:r>
              <w:rPr>
                <w:rFonts w:ascii="Times New Roman" w:cs="Times New Roman" w:eastAsia="Times New Roman" w:hAnsi="Times New Roman"/>
                <w:sz w:val="29"/>
                <w:szCs w:val="29"/>
                <w:color w:val="auto"/>
                <w:w w:val="96"/>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200,000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$0.48</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April 21, 2023</w:t>
            </w:r>
            <w:r>
              <w:rPr>
                <w:rFonts w:ascii="Times New Roman" w:cs="Times New Roman" w:eastAsia="Times New Roman" w:hAnsi="Times New Roman"/>
                <w:sz w:val="29"/>
                <w:szCs w:val="29"/>
                <w:color w:val="auto"/>
                <w:w w:val="96"/>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153,000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$0.49</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April 26, 2023</w:t>
            </w:r>
            <w:r>
              <w:rPr>
                <w:rFonts w:ascii="Times New Roman" w:cs="Times New Roman" w:eastAsia="Times New Roman" w:hAnsi="Times New Roman"/>
                <w:sz w:val="29"/>
                <w:szCs w:val="29"/>
                <w:color w:val="auto"/>
                <w:w w:val="96"/>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257,600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$0.47</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4,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$0.43</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5, 2023</w:t>
            </w:r>
            <w:r>
              <w:rPr>
                <w:rFonts w:ascii="Times New Roman" w:cs="Times New Roman" w:eastAsia="Times New Roman" w:hAnsi="Times New Roman"/>
                <w:sz w:val="29"/>
                <w:szCs w:val="29"/>
                <w:color w:val="auto"/>
                <w:w w:val="94"/>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323,000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$0.42</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9,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10,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300,000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11,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12,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392,000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16, 2023</w:t>
            </w:r>
            <w:r>
              <w:rPr>
                <w:rFonts w:ascii="Times New Roman" w:cs="Times New Roman" w:eastAsia="Times New Roman" w:hAnsi="Times New Roman"/>
                <w:sz w:val="29"/>
                <w:szCs w:val="29"/>
                <w:color w:val="auto"/>
                <w:w w:val="95"/>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400,000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17,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104,836</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$0.39</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18, 2023</w:t>
            </w:r>
            <w:r>
              <w:rPr>
                <w:rFonts w:ascii="Times New Roman" w:cs="Times New Roman" w:eastAsia="Times New Roman" w:hAnsi="Times New Roman"/>
                <w:sz w:val="29"/>
                <w:szCs w:val="29"/>
                <w:color w:val="auto"/>
                <w:w w:val="95"/>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19,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23, 2023</w:t>
            </w:r>
            <w:r>
              <w:rPr>
                <w:rFonts w:ascii="Times New Roman" w:cs="Times New Roman" w:eastAsia="Times New Roman" w:hAnsi="Times New Roman"/>
                <w:sz w:val="29"/>
                <w:szCs w:val="29"/>
                <w:color w:val="auto"/>
                <w:w w:val="95"/>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387,000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$0.39</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23,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429,000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$0.38</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24, 2023</w:t>
            </w:r>
            <w:r>
              <w:rPr>
                <w:rFonts w:ascii="Times New Roman" w:cs="Times New Roman" w:eastAsia="Times New Roman" w:hAnsi="Times New Roman"/>
                <w:sz w:val="29"/>
                <w:szCs w:val="29"/>
                <w:color w:val="auto"/>
                <w:w w:val="95"/>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$0.37</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25,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463,000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$0.38</w:t>
            </w:r>
          </w:p>
        </w:tc>
      </w:tr>
      <w:tr>
        <w:trPr>
          <w:trHeight w:val="256"/>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26, 2023</w:t>
            </w:r>
            <w:r>
              <w:rPr>
                <w:rFonts w:ascii="Times New Roman" w:cs="Times New Roman" w:eastAsia="Times New Roman" w:hAnsi="Times New Roman"/>
                <w:sz w:val="29"/>
                <w:szCs w:val="29"/>
                <w:color w:val="auto"/>
                <w:w w:val="95"/>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400,000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$0.37</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May 30, 2023</w:t>
            </w:r>
            <w:r>
              <w:rPr>
                <w:rFonts w:ascii="Times New Roman" w:cs="Times New Roman" w:eastAsia="Times New Roman" w:hAnsi="Times New Roman"/>
                <w:sz w:val="29"/>
                <w:szCs w:val="29"/>
                <w:color w:val="auto"/>
                <w:w w:val="95"/>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248,400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$0.37</w:t>
            </w:r>
          </w:p>
        </w:tc>
      </w:tr>
      <w:tr>
        <w:trPr>
          <w:trHeight w:val="256"/>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30, 2023</w:t>
            </w:r>
            <w:r>
              <w:rPr>
                <w:rFonts w:ascii="Times New Roman" w:cs="Times New Roman" w:eastAsia="Times New Roman" w:hAnsi="Times New Roman"/>
                <w:sz w:val="29"/>
                <w:szCs w:val="29"/>
                <w:color w:val="auto"/>
                <w:w w:val="94"/>
                <w:vertAlign w:val="superscript"/>
              </w:rPr>
              <w:t>(4)</w:t>
            </w:r>
          </w:p>
        </w:tc>
        <w:tc>
          <w:tcPr>
            <w:tcW w:w="2900" w:type="dxa"/>
            <w:vAlign w:val="bottom"/>
            <w:shd w:val="clear" w:color="auto" w:fill="E6EFFF"/>
          </w:tcPr>
          <w:p>
            <w:pPr>
              <w:jc w:val="center"/>
              <w:ind w:left="50"/>
              <w:spacing w:after="0"/>
              <w:rPr>
                <w:sz w:val="20"/>
                <w:szCs w:val="20"/>
                <w:color w:val="auto"/>
              </w:rPr>
            </w:pPr>
            <w:r>
              <w:rPr>
                <w:rFonts w:ascii="Times New Roman" w:cs="Times New Roman" w:eastAsia="Times New Roman" w:hAnsi="Times New Roman"/>
                <w:sz w:val="18"/>
                <w:szCs w:val="18"/>
                <w:color w:val="auto"/>
                <w:w w:val="99"/>
              </w:rPr>
              <w:t>2,538,844</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May 31, 2023</w:t>
            </w:r>
            <w:r>
              <w:rPr>
                <w:rFonts w:ascii="Times New Roman" w:cs="Times New Roman" w:eastAsia="Times New Roman" w:hAnsi="Times New Roman"/>
                <w:sz w:val="29"/>
                <w:szCs w:val="29"/>
                <w:color w:val="auto"/>
                <w:w w:val="94"/>
                <w:vertAlign w:val="superscript"/>
              </w:rPr>
              <w:t>(5)</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$0.34</w:t>
            </w:r>
          </w:p>
        </w:tc>
      </w:tr>
      <w:tr>
        <w:trPr>
          <w:trHeight w:val="256"/>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1,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300,000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$0.38</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1, 2023</w:t>
            </w:r>
            <w:r>
              <w:rPr>
                <w:rFonts w:ascii="Times New Roman" w:cs="Times New Roman" w:eastAsia="Times New Roman" w:hAnsi="Times New Roman"/>
                <w:sz w:val="29"/>
                <w:szCs w:val="29"/>
                <w:color w:val="auto"/>
                <w:w w:val="94"/>
                <w:vertAlign w:val="superscript"/>
              </w:rPr>
              <w:t>(5)</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$0.34</w:t>
            </w:r>
          </w:p>
        </w:tc>
      </w:tr>
      <w:tr>
        <w:trPr>
          <w:trHeight w:val="256"/>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2,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337,000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$0.36</w:t>
            </w:r>
          </w:p>
        </w:tc>
      </w:tr>
      <w:tr>
        <w:trPr>
          <w:trHeight w:val="257"/>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2, 2023</w:t>
            </w:r>
            <w:r>
              <w:rPr>
                <w:rFonts w:ascii="Times New Roman" w:cs="Times New Roman" w:eastAsia="Times New Roman" w:hAnsi="Times New Roman"/>
                <w:sz w:val="29"/>
                <w:szCs w:val="29"/>
                <w:color w:val="auto"/>
                <w:w w:val="94"/>
                <w:vertAlign w:val="superscript"/>
              </w:rPr>
              <w:t>(5)</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$0.34</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5,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245,000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$0.35</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5, 2023</w:t>
            </w:r>
            <w:r>
              <w:rPr>
                <w:rFonts w:ascii="Times New Roman" w:cs="Times New Roman" w:eastAsia="Times New Roman" w:hAnsi="Times New Roman"/>
                <w:sz w:val="29"/>
                <w:szCs w:val="29"/>
                <w:color w:val="auto"/>
                <w:w w:val="94"/>
                <w:vertAlign w:val="superscript"/>
              </w:rPr>
              <w:t>(5)</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$0.34</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6, 2023</w:t>
            </w:r>
            <w:r>
              <w:rPr>
                <w:rFonts w:ascii="Times New Roman" w:cs="Times New Roman" w:eastAsia="Times New Roman" w:hAnsi="Times New Roman"/>
                <w:sz w:val="29"/>
                <w:szCs w:val="29"/>
                <w:color w:val="auto"/>
                <w:w w:val="94"/>
                <w:vertAlign w:val="superscript"/>
              </w:rPr>
              <w:t>(3)</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rPr>
              <w:t>39,733</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$0.35</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7, 2023</w:t>
            </w:r>
            <w:r>
              <w:rPr>
                <w:rFonts w:ascii="Times New Roman" w:cs="Times New Roman" w:eastAsia="Times New Roman" w:hAnsi="Times New Roman"/>
                <w:sz w:val="29"/>
                <w:szCs w:val="29"/>
                <w:color w:val="auto"/>
                <w:w w:val="94"/>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244,000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$0.35</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7, 2023</w:t>
            </w:r>
            <w:r>
              <w:rPr>
                <w:rFonts w:ascii="Times New Roman" w:cs="Times New Roman" w:eastAsia="Times New Roman" w:hAnsi="Times New Roman"/>
                <w:sz w:val="29"/>
                <w:szCs w:val="29"/>
                <w:color w:val="auto"/>
                <w:w w:val="94"/>
                <w:vertAlign w:val="superscript"/>
              </w:rPr>
              <w:t>(5)</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$0.31</w:t>
            </w:r>
          </w:p>
        </w:tc>
      </w:tr>
      <w:tr>
        <w:trPr>
          <w:trHeight w:val="256"/>
        </w:trPr>
        <w:tc>
          <w:tcPr>
            <w:tcW w:w="30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8, 2023</w:t>
            </w:r>
            <w:r>
              <w:rPr>
                <w:rFonts w:ascii="Times New Roman" w:cs="Times New Roman" w:eastAsia="Times New Roman" w:hAnsi="Times New Roman"/>
                <w:sz w:val="29"/>
                <w:szCs w:val="29"/>
                <w:color w:val="auto"/>
                <w:w w:val="94"/>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451,000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$0.33</w:t>
            </w:r>
          </w:p>
        </w:tc>
      </w:tr>
      <w:tr>
        <w:trPr>
          <w:trHeight w:val="257"/>
        </w:trPr>
        <w:tc>
          <w:tcPr>
            <w:tcW w:w="30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June 8, 2023</w:t>
            </w:r>
            <w:r>
              <w:rPr>
                <w:rFonts w:ascii="Times New Roman" w:cs="Times New Roman" w:eastAsia="Times New Roman" w:hAnsi="Times New Roman"/>
                <w:sz w:val="29"/>
                <w:szCs w:val="29"/>
                <w:color w:val="auto"/>
                <w:w w:val="94"/>
                <w:vertAlign w:val="superscript"/>
              </w:rPr>
              <w:t>(5)</w:t>
            </w:r>
          </w:p>
        </w:tc>
        <w:tc>
          <w:tcPr>
            <w:tcW w:w="290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275,000</w:t>
            </w:r>
          </w:p>
        </w:tc>
        <w:tc>
          <w:tcPr>
            <w:tcW w:w="254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shd w:val="clear" w:color="auto" w:fill="E6EFFF"/>
          </w:tcPr>
          <w:p>
            <w:pPr>
              <w:jc w:val="center"/>
              <w:ind w:left="250"/>
              <w:spacing w:after="0"/>
              <w:rPr>
                <w:sz w:val="20"/>
                <w:szCs w:val="20"/>
                <w:color w:val="auto"/>
              </w:rPr>
            </w:pPr>
            <w:r>
              <w:rPr>
                <w:rFonts w:ascii="Times New Roman" w:cs="Times New Roman" w:eastAsia="Times New Roman" w:hAnsi="Times New Roman"/>
                <w:sz w:val="18"/>
                <w:szCs w:val="18"/>
                <w:color w:val="auto"/>
              </w:rPr>
              <w:t>$0.30</w:t>
            </w:r>
          </w:p>
        </w:tc>
      </w:tr>
      <w:tr>
        <w:trPr>
          <w:trHeight w:val="39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June 9, 2023</w:t>
            </w:r>
            <w:r>
              <w:rPr>
                <w:rFonts w:ascii="Times New Roman" w:cs="Times New Roman" w:eastAsia="Times New Roman" w:hAnsi="Times New Roman"/>
                <w:sz w:val="29"/>
                <w:szCs w:val="29"/>
                <w:color w:val="auto"/>
                <w:w w:val="94"/>
                <w:vertAlign w:val="superscript"/>
              </w:rPr>
              <w:t>(3)</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167,500</w:t>
            </w:r>
          </w:p>
        </w:tc>
        <w:tc>
          <w:tcPr>
            <w:tcW w:w="2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$0.33</w:t>
            </w: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ind w:left="940"/>
        <w:spacing w:after="0"/>
        <w:rPr>
          <w:sz w:val="20"/>
          <w:szCs w:val="20"/>
          <w:color w:val="auto"/>
        </w:rPr>
      </w:pPr>
      <w:r>
        <w:rPr>
          <w:rFonts w:ascii="Times New Roman" w:cs="Times New Roman" w:eastAsia="Times New Roman" w:hAnsi="Times New Roman"/>
          <w:sz w:val="18"/>
          <w:szCs w:val="18"/>
          <w:color w:val="auto"/>
        </w:rPr>
        <w:t>June 9, 2023</w:t>
      </w:r>
      <w:r>
        <w:rPr>
          <w:rFonts w:ascii="Times New Roman" w:cs="Times New Roman" w:eastAsia="Times New Roman" w:hAnsi="Times New Roman"/>
          <w:sz w:val="29"/>
          <w:szCs w:val="29"/>
          <w:color w:val="auto"/>
          <w:vertAlign w:val="superscript"/>
        </w:rPr>
        <w:t>(5)</w:t>
      </w:r>
    </w:p>
    <w:p>
      <w:pPr>
        <w:ind w:left="880"/>
        <w:spacing w:after="0" w:line="184" w:lineRule="auto"/>
        <w:rPr>
          <w:sz w:val="20"/>
          <w:szCs w:val="20"/>
          <w:color w:val="auto"/>
        </w:rPr>
      </w:pPr>
      <w:r>
        <w:rPr>
          <w:rFonts w:ascii="Times New Roman" w:cs="Times New Roman" w:eastAsia="Times New Roman" w:hAnsi="Times New Roman"/>
          <w:sz w:val="18"/>
          <w:szCs w:val="18"/>
          <w:color w:val="auto"/>
        </w:rPr>
        <w:t>June 12, 2023</w:t>
      </w:r>
      <w:r>
        <w:rPr>
          <w:rFonts w:ascii="Times New Roman" w:cs="Times New Roman" w:eastAsia="Times New Roman" w:hAnsi="Times New Roman"/>
          <w:sz w:val="29"/>
          <w:szCs w:val="29"/>
          <w:color w:val="auto"/>
          <w:vertAlign w:val="superscript"/>
        </w:rPr>
        <w:t>(3)</w:t>
      </w:r>
    </w:p>
    <w:p>
      <w:pPr>
        <w:ind w:left="880"/>
        <w:spacing w:after="0" w:line="185" w:lineRule="auto"/>
        <w:rPr>
          <w:sz w:val="20"/>
          <w:szCs w:val="20"/>
          <w:color w:val="auto"/>
        </w:rPr>
      </w:pPr>
      <w:r>
        <w:rPr>
          <w:rFonts w:ascii="Times New Roman" w:cs="Times New Roman" w:eastAsia="Times New Roman" w:hAnsi="Times New Roman"/>
          <w:sz w:val="18"/>
          <w:szCs w:val="18"/>
          <w:color w:val="auto"/>
        </w:rPr>
        <w:t>June 14, 2023</w:t>
      </w:r>
      <w:r>
        <w:rPr>
          <w:rFonts w:ascii="Times New Roman" w:cs="Times New Roman" w:eastAsia="Times New Roman" w:hAnsi="Times New Roman"/>
          <w:sz w:val="29"/>
          <w:szCs w:val="29"/>
          <w:color w:val="auto"/>
          <w:vertAlign w:val="superscript"/>
        </w:rPr>
        <w:t>(3)</w:t>
      </w:r>
    </w:p>
    <w:p>
      <w:pPr>
        <w:ind w:left="880"/>
        <w:spacing w:after="0" w:line="185" w:lineRule="auto"/>
        <w:rPr>
          <w:sz w:val="20"/>
          <w:szCs w:val="20"/>
          <w:color w:val="auto"/>
        </w:rPr>
      </w:pPr>
      <w:r>
        <w:rPr>
          <w:rFonts w:ascii="Times New Roman" w:cs="Times New Roman" w:eastAsia="Times New Roman" w:hAnsi="Times New Roman"/>
          <w:sz w:val="18"/>
          <w:szCs w:val="18"/>
          <w:color w:val="auto"/>
        </w:rPr>
        <w:t>June 26, 2023</w:t>
      </w:r>
      <w:r>
        <w:rPr>
          <w:rFonts w:ascii="Times New Roman" w:cs="Times New Roman" w:eastAsia="Times New Roman" w:hAnsi="Times New Roman"/>
          <w:sz w:val="29"/>
          <w:szCs w:val="29"/>
          <w:color w:val="auto"/>
          <w:vertAlign w:val="superscript"/>
        </w:rPr>
        <w:t>(3)</w:t>
      </w:r>
    </w:p>
    <w:p>
      <w:pPr>
        <w:ind w:left="980"/>
        <w:spacing w:after="0"/>
        <w:rPr>
          <w:sz w:val="20"/>
          <w:szCs w:val="20"/>
          <w:color w:val="auto"/>
        </w:rPr>
      </w:pPr>
      <w:r>
        <w:rPr>
          <w:rFonts w:ascii="Times New Roman" w:cs="Times New Roman" w:eastAsia="Times New Roman" w:hAnsi="Times New Roman"/>
          <w:sz w:val="18"/>
          <w:szCs w:val="18"/>
          <w:color w:val="auto"/>
        </w:rPr>
        <w:t>June 28, 2023</w:t>
      </w:r>
    </w:p>
    <w:p>
      <w:pPr>
        <w:ind w:left="940"/>
        <w:spacing w:after="0" w:line="190" w:lineRule="auto"/>
        <w:rPr>
          <w:sz w:val="20"/>
          <w:szCs w:val="20"/>
          <w:color w:val="auto"/>
        </w:rPr>
      </w:pPr>
      <w:r>
        <w:rPr>
          <w:rFonts w:ascii="Times New Roman" w:cs="Times New Roman" w:eastAsia="Times New Roman" w:hAnsi="Times New Roman"/>
          <w:sz w:val="18"/>
          <w:szCs w:val="18"/>
          <w:color w:val="auto"/>
        </w:rPr>
        <w:t>July 7, 2023</w:t>
      </w:r>
      <w:r>
        <w:rPr>
          <w:rFonts w:ascii="Times New Roman" w:cs="Times New Roman" w:eastAsia="Times New Roman" w:hAnsi="Times New Roman"/>
          <w:sz w:val="29"/>
          <w:szCs w:val="29"/>
          <w:color w:val="auto"/>
          <w:vertAlign w:val="superscript"/>
        </w:rPr>
        <w:t>(3)</w:t>
      </w:r>
    </w:p>
    <w:p>
      <w:pPr>
        <w:ind w:left="900"/>
        <w:spacing w:after="0" w:line="185" w:lineRule="auto"/>
        <w:rPr>
          <w:sz w:val="20"/>
          <w:szCs w:val="20"/>
          <w:color w:val="auto"/>
        </w:rPr>
      </w:pPr>
      <w:r>
        <w:rPr>
          <w:rFonts w:ascii="Times New Roman" w:cs="Times New Roman" w:eastAsia="Times New Roman" w:hAnsi="Times New Roman"/>
          <w:sz w:val="18"/>
          <w:szCs w:val="18"/>
          <w:color w:val="auto"/>
        </w:rPr>
        <w:t>July 10, 2023</w:t>
      </w:r>
      <w:r>
        <w:rPr>
          <w:rFonts w:ascii="Times New Roman" w:cs="Times New Roman" w:eastAsia="Times New Roman" w:hAnsi="Times New Roman"/>
          <w:sz w:val="29"/>
          <w:szCs w:val="29"/>
          <w:color w:val="auto"/>
          <w:vertAlign w:val="superscript"/>
        </w:rPr>
        <w:t>(3)</w:t>
      </w:r>
    </w:p>
    <w:p>
      <w:pPr>
        <w:ind w:left="900"/>
        <w:spacing w:after="0" w:line="185" w:lineRule="auto"/>
        <w:rPr>
          <w:sz w:val="20"/>
          <w:szCs w:val="20"/>
          <w:color w:val="auto"/>
        </w:rPr>
      </w:pPr>
      <w:r>
        <w:rPr>
          <w:rFonts w:ascii="Times New Roman" w:cs="Times New Roman" w:eastAsia="Times New Roman" w:hAnsi="Times New Roman"/>
          <w:sz w:val="18"/>
          <w:szCs w:val="18"/>
          <w:color w:val="auto"/>
        </w:rPr>
        <w:t>July 11, 2023</w:t>
      </w:r>
      <w:r>
        <w:rPr>
          <w:rFonts w:ascii="Times New Roman" w:cs="Times New Roman" w:eastAsia="Times New Roman" w:hAnsi="Times New Roman"/>
          <w:sz w:val="29"/>
          <w:szCs w:val="29"/>
          <w:color w:val="auto"/>
          <w:vertAlign w:val="superscript"/>
        </w:rPr>
        <w:t>(3)</w:t>
      </w:r>
    </w:p>
    <w:p>
      <w:pPr>
        <w:ind w:left="900"/>
        <w:spacing w:after="0" w:line="184" w:lineRule="auto"/>
        <w:rPr>
          <w:sz w:val="20"/>
          <w:szCs w:val="20"/>
          <w:color w:val="auto"/>
        </w:rPr>
      </w:pPr>
      <w:r>
        <w:rPr>
          <w:rFonts w:ascii="Times New Roman" w:cs="Times New Roman" w:eastAsia="Times New Roman" w:hAnsi="Times New Roman"/>
          <w:sz w:val="18"/>
          <w:szCs w:val="18"/>
          <w:color w:val="auto"/>
        </w:rPr>
        <w:t>July 12, 2023</w:t>
      </w:r>
      <w:r>
        <w:rPr>
          <w:rFonts w:ascii="Times New Roman" w:cs="Times New Roman" w:eastAsia="Times New Roman" w:hAnsi="Times New Roman"/>
          <w:sz w:val="29"/>
          <w:szCs w:val="29"/>
          <w:color w:val="auto"/>
          <w:vertAlign w:val="superscript"/>
        </w:rPr>
        <w:t>(3)</w:t>
      </w:r>
    </w:p>
    <w:p>
      <w:pPr>
        <w:ind w:left="900"/>
        <w:spacing w:after="0" w:line="185" w:lineRule="auto"/>
        <w:rPr>
          <w:sz w:val="20"/>
          <w:szCs w:val="20"/>
          <w:color w:val="auto"/>
        </w:rPr>
      </w:pPr>
      <w:r>
        <w:rPr>
          <w:rFonts w:ascii="Times New Roman" w:cs="Times New Roman" w:eastAsia="Times New Roman" w:hAnsi="Times New Roman"/>
          <w:sz w:val="18"/>
          <w:szCs w:val="18"/>
          <w:color w:val="auto"/>
        </w:rPr>
        <w:t>July 17, 2023</w:t>
      </w:r>
      <w:r>
        <w:rPr>
          <w:rFonts w:ascii="Times New Roman" w:cs="Times New Roman" w:eastAsia="Times New Roman" w:hAnsi="Times New Roman"/>
          <w:sz w:val="29"/>
          <w:szCs w:val="29"/>
          <w:color w:val="auto"/>
          <w:vertAlign w:val="superscript"/>
        </w:rPr>
        <w:t>(3)</w:t>
      </w:r>
    </w:p>
    <w:p>
      <w:pPr>
        <w:ind w:left="900"/>
        <w:spacing w:after="0" w:line="184" w:lineRule="auto"/>
        <w:rPr>
          <w:sz w:val="20"/>
          <w:szCs w:val="20"/>
          <w:color w:val="auto"/>
        </w:rPr>
      </w:pPr>
      <w:r>
        <w:rPr>
          <w:rFonts w:ascii="Times New Roman" w:cs="Times New Roman" w:eastAsia="Times New Roman" w:hAnsi="Times New Roman"/>
          <w:sz w:val="18"/>
          <w:szCs w:val="18"/>
          <w:color w:val="auto"/>
        </w:rPr>
        <w:t>July 18, 2023</w:t>
      </w:r>
      <w:r>
        <w:rPr>
          <w:rFonts w:ascii="Times New Roman" w:cs="Times New Roman" w:eastAsia="Times New Roman" w:hAnsi="Times New Roman"/>
          <w:sz w:val="29"/>
          <w:szCs w:val="29"/>
          <w:color w:val="auto"/>
          <w:vertAlign w:val="superscript"/>
        </w:rPr>
        <w:t>(3)</w:t>
      </w:r>
    </w:p>
    <w:p>
      <w:pPr>
        <w:ind w:left="840"/>
        <w:spacing w:after="0" w:line="185" w:lineRule="auto"/>
        <w:rPr>
          <w:sz w:val="20"/>
          <w:szCs w:val="20"/>
          <w:color w:val="auto"/>
        </w:rPr>
      </w:pPr>
      <w:r>
        <w:rPr>
          <w:rFonts w:ascii="Times New Roman" w:cs="Times New Roman" w:eastAsia="Times New Roman" w:hAnsi="Times New Roman"/>
          <w:sz w:val="18"/>
          <w:szCs w:val="18"/>
          <w:color w:val="auto"/>
        </w:rPr>
        <w:t>August 4, 2023</w:t>
      </w:r>
      <w:r>
        <w:rPr>
          <w:rFonts w:ascii="Times New Roman" w:cs="Times New Roman" w:eastAsia="Times New Roman" w:hAnsi="Times New Roman"/>
          <w:sz w:val="29"/>
          <w:szCs w:val="29"/>
          <w:color w:val="auto"/>
          <w:vertAlign w:val="superscript"/>
        </w:rPr>
        <w:t>(6)</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18, 2023</w:t>
      </w:r>
      <w:r>
        <w:rPr>
          <w:rFonts w:ascii="Times New Roman" w:cs="Times New Roman" w:eastAsia="Times New Roman" w:hAnsi="Times New Roman"/>
          <w:sz w:val="28"/>
          <w:szCs w:val="28"/>
          <w:color w:val="auto"/>
          <w:vertAlign w:val="superscript"/>
        </w:rPr>
        <w:t>(7)</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20, 2023</w:t>
      </w:r>
      <w:r>
        <w:rPr>
          <w:rFonts w:ascii="Times New Roman" w:cs="Times New Roman" w:eastAsia="Times New Roman" w:hAnsi="Times New Roman"/>
          <w:sz w:val="28"/>
          <w:szCs w:val="28"/>
          <w:color w:val="auto"/>
          <w:vertAlign w:val="superscript"/>
        </w:rPr>
        <w:t>(7)</w:t>
      </w:r>
    </w:p>
    <w:p>
      <w:pPr>
        <w:ind w:left="680"/>
        <w:spacing w:after="0" w:line="192" w:lineRule="auto"/>
        <w:rPr>
          <w:sz w:val="20"/>
          <w:szCs w:val="20"/>
          <w:color w:val="auto"/>
        </w:rPr>
      </w:pPr>
      <w:r>
        <w:rPr>
          <w:rFonts w:ascii="Times New Roman" w:cs="Times New Roman" w:eastAsia="Times New Roman" w:hAnsi="Times New Roman"/>
          <w:sz w:val="17"/>
          <w:szCs w:val="17"/>
          <w:color w:val="auto"/>
        </w:rPr>
        <w:t>September 21, 2023</w:t>
      </w:r>
      <w:r>
        <w:rPr>
          <w:rFonts w:ascii="Times New Roman" w:cs="Times New Roman" w:eastAsia="Times New Roman" w:hAnsi="Times New Roman"/>
          <w:sz w:val="28"/>
          <w:szCs w:val="28"/>
          <w:color w:val="auto"/>
          <w:vertAlign w:val="superscript"/>
        </w:rPr>
        <w:t>(7)</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22, 2023</w:t>
      </w:r>
      <w:r>
        <w:rPr>
          <w:rFonts w:ascii="Times New Roman" w:cs="Times New Roman" w:eastAsia="Times New Roman" w:hAnsi="Times New Roman"/>
          <w:sz w:val="28"/>
          <w:szCs w:val="28"/>
          <w:color w:val="auto"/>
          <w:vertAlign w:val="superscript"/>
        </w:rPr>
        <w:t>(7)</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25, 2023</w:t>
      </w:r>
      <w:r>
        <w:rPr>
          <w:rFonts w:ascii="Times New Roman" w:cs="Times New Roman" w:eastAsia="Times New Roman" w:hAnsi="Times New Roman"/>
          <w:sz w:val="28"/>
          <w:szCs w:val="28"/>
          <w:color w:val="auto"/>
          <w:vertAlign w:val="superscript"/>
        </w:rPr>
        <w:t>(7)</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26, 2023</w:t>
      </w:r>
      <w:r>
        <w:rPr>
          <w:rFonts w:ascii="Times New Roman" w:cs="Times New Roman" w:eastAsia="Times New Roman" w:hAnsi="Times New Roman"/>
          <w:sz w:val="28"/>
          <w:szCs w:val="28"/>
          <w:color w:val="auto"/>
          <w:vertAlign w:val="superscript"/>
        </w:rPr>
        <w:t>(7)</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September 26, 2023</w:t>
      </w:r>
    </w:p>
    <w:p>
      <w:pPr>
        <w:ind w:left="680"/>
        <w:spacing w:after="0" w:line="197" w:lineRule="auto"/>
        <w:rPr>
          <w:sz w:val="20"/>
          <w:szCs w:val="20"/>
          <w:color w:val="auto"/>
        </w:rPr>
      </w:pPr>
      <w:r>
        <w:rPr>
          <w:rFonts w:ascii="Times New Roman" w:cs="Times New Roman" w:eastAsia="Times New Roman" w:hAnsi="Times New Roman"/>
          <w:sz w:val="17"/>
          <w:szCs w:val="17"/>
          <w:color w:val="auto"/>
        </w:rPr>
        <w:t>September 27, 2023</w:t>
      </w:r>
      <w:r>
        <w:rPr>
          <w:rFonts w:ascii="Times New Roman" w:cs="Times New Roman" w:eastAsia="Times New Roman" w:hAnsi="Times New Roman"/>
          <w:sz w:val="28"/>
          <w:szCs w:val="28"/>
          <w:color w:val="auto"/>
          <w:vertAlign w:val="superscript"/>
        </w:rPr>
        <w:t>(7)</w:t>
      </w:r>
    </w:p>
    <w:p>
      <w:pPr>
        <w:ind w:left="680"/>
        <w:spacing w:after="0" w:line="191" w:lineRule="auto"/>
        <w:rPr>
          <w:sz w:val="20"/>
          <w:szCs w:val="20"/>
          <w:color w:val="auto"/>
        </w:rPr>
      </w:pPr>
      <w:r>
        <w:rPr>
          <w:rFonts w:ascii="Times New Roman" w:cs="Times New Roman" w:eastAsia="Times New Roman" w:hAnsi="Times New Roman"/>
          <w:sz w:val="17"/>
          <w:szCs w:val="17"/>
          <w:color w:val="auto"/>
        </w:rPr>
        <w:t>September 29, 2023</w:t>
      </w:r>
      <w:r>
        <w:rPr>
          <w:rFonts w:ascii="Times New Roman" w:cs="Times New Roman" w:eastAsia="Times New Roman" w:hAnsi="Times New Roman"/>
          <w:sz w:val="28"/>
          <w:szCs w:val="28"/>
          <w:color w:val="auto"/>
          <w:vertAlign w:val="superscript"/>
        </w:rPr>
        <w:t>(7)</w:t>
      </w:r>
    </w:p>
    <w:p>
      <w:pPr>
        <w:ind w:left="820"/>
        <w:spacing w:after="0" w:line="185" w:lineRule="auto"/>
        <w:rPr>
          <w:sz w:val="20"/>
          <w:szCs w:val="20"/>
          <w:color w:val="auto"/>
        </w:rPr>
      </w:pPr>
      <w:r>
        <w:rPr>
          <w:rFonts w:ascii="Times New Roman" w:cs="Times New Roman" w:eastAsia="Times New Roman" w:hAnsi="Times New Roman"/>
          <w:sz w:val="18"/>
          <w:szCs w:val="18"/>
          <w:color w:val="auto"/>
        </w:rPr>
        <w:t>October 2, 2023</w:t>
      </w:r>
      <w:r>
        <w:rPr>
          <w:rFonts w:ascii="Times New Roman" w:cs="Times New Roman" w:eastAsia="Times New Roman" w:hAnsi="Times New Roman"/>
          <w:sz w:val="29"/>
          <w:szCs w:val="29"/>
          <w:color w:val="auto"/>
          <w:vertAlign w:val="superscript"/>
        </w:rPr>
        <w:t>(7)</w:t>
      </w:r>
    </w:p>
    <w:p>
      <w:pPr>
        <w:ind w:left="820"/>
        <w:spacing w:after="0" w:line="185" w:lineRule="auto"/>
        <w:rPr>
          <w:sz w:val="20"/>
          <w:szCs w:val="20"/>
          <w:color w:val="auto"/>
        </w:rPr>
      </w:pPr>
      <w:r>
        <w:rPr>
          <w:rFonts w:ascii="Times New Roman" w:cs="Times New Roman" w:eastAsia="Times New Roman" w:hAnsi="Times New Roman"/>
          <w:sz w:val="18"/>
          <w:szCs w:val="18"/>
          <w:color w:val="auto"/>
        </w:rPr>
        <w:t>October 4, 2023</w:t>
      </w:r>
      <w:r>
        <w:rPr>
          <w:rFonts w:ascii="Times New Roman" w:cs="Times New Roman" w:eastAsia="Times New Roman" w:hAnsi="Times New Roman"/>
          <w:sz w:val="29"/>
          <w:szCs w:val="29"/>
          <w:color w:val="auto"/>
          <w:vertAlign w:val="superscript"/>
        </w:rPr>
        <w:t>(7)</w:t>
      </w:r>
    </w:p>
    <w:p>
      <w:pPr>
        <w:ind w:left="760"/>
        <w:spacing w:after="0" w:line="184" w:lineRule="auto"/>
        <w:rPr>
          <w:sz w:val="20"/>
          <w:szCs w:val="20"/>
          <w:color w:val="auto"/>
        </w:rPr>
      </w:pPr>
      <w:r>
        <w:rPr>
          <w:rFonts w:ascii="Times New Roman" w:cs="Times New Roman" w:eastAsia="Times New Roman" w:hAnsi="Times New Roman"/>
          <w:sz w:val="18"/>
          <w:szCs w:val="18"/>
          <w:color w:val="auto"/>
        </w:rPr>
        <w:t>October 11, 2023</w:t>
      </w:r>
      <w:r>
        <w:rPr>
          <w:rFonts w:ascii="Times New Roman" w:cs="Times New Roman" w:eastAsia="Times New Roman" w:hAnsi="Times New Roman"/>
          <w:sz w:val="29"/>
          <w:szCs w:val="29"/>
          <w:color w:val="auto"/>
          <w:vertAlign w:val="superscript"/>
        </w:rPr>
        <w:t>(7)</w:t>
      </w:r>
    </w:p>
    <w:p>
      <w:pPr>
        <w:ind w:left="760"/>
        <w:spacing w:after="0" w:line="185" w:lineRule="auto"/>
        <w:rPr>
          <w:sz w:val="20"/>
          <w:szCs w:val="20"/>
          <w:color w:val="auto"/>
        </w:rPr>
      </w:pPr>
      <w:r>
        <w:rPr>
          <w:rFonts w:ascii="Times New Roman" w:cs="Times New Roman" w:eastAsia="Times New Roman" w:hAnsi="Times New Roman"/>
          <w:sz w:val="18"/>
          <w:szCs w:val="18"/>
          <w:color w:val="auto"/>
        </w:rPr>
        <w:t>October 11, 2023</w:t>
      </w:r>
      <w:r>
        <w:rPr>
          <w:rFonts w:ascii="Times New Roman" w:cs="Times New Roman" w:eastAsia="Times New Roman" w:hAnsi="Times New Roman"/>
          <w:sz w:val="29"/>
          <w:szCs w:val="29"/>
          <w:color w:val="auto"/>
          <w:vertAlign w:val="superscript"/>
        </w:rPr>
        <w:t>(7)</w:t>
      </w:r>
    </w:p>
    <w:p>
      <w:pPr>
        <w:ind w:left="760"/>
        <w:spacing w:after="0" w:line="184" w:lineRule="auto"/>
        <w:rPr>
          <w:sz w:val="20"/>
          <w:szCs w:val="20"/>
          <w:color w:val="auto"/>
        </w:rPr>
      </w:pPr>
      <w:r>
        <w:rPr>
          <w:rFonts w:ascii="Times New Roman" w:cs="Times New Roman" w:eastAsia="Times New Roman" w:hAnsi="Times New Roman"/>
          <w:sz w:val="18"/>
          <w:szCs w:val="18"/>
          <w:color w:val="auto"/>
        </w:rPr>
        <w:t>October 12, 2023</w:t>
      </w:r>
      <w:r>
        <w:rPr>
          <w:rFonts w:ascii="Times New Roman" w:cs="Times New Roman" w:eastAsia="Times New Roman" w:hAnsi="Times New Roman"/>
          <w:sz w:val="29"/>
          <w:szCs w:val="29"/>
          <w:color w:val="auto"/>
          <w:vertAlign w:val="superscript"/>
        </w:rPr>
        <w:t>(7)</w:t>
      </w:r>
    </w:p>
    <w:p>
      <w:pPr>
        <w:ind w:left="760"/>
        <w:spacing w:after="0" w:line="185" w:lineRule="auto"/>
        <w:rPr>
          <w:sz w:val="20"/>
          <w:szCs w:val="20"/>
          <w:color w:val="auto"/>
        </w:rPr>
      </w:pPr>
      <w:r>
        <w:rPr>
          <w:rFonts w:ascii="Times New Roman" w:cs="Times New Roman" w:eastAsia="Times New Roman" w:hAnsi="Times New Roman"/>
          <w:sz w:val="18"/>
          <w:szCs w:val="18"/>
          <w:color w:val="auto"/>
        </w:rPr>
        <w:t>October 16, 2023</w:t>
      </w:r>
      <w:r>
        <w:rPr>
          <w:rFonts w:ascii="Times New Roman" w:cs="Times New Roman" w:eastAsia="Times New Roman" w:hAnsi="Times New Roman"/>
          <w:sz w:val="29"/>
          <w:szCs w:val="29"/>
          <w:color w:val="auto"/>
          <w:vertAlign w:val="superscript"/>
        </w:rPr>
        <w:t>(7)</w:t>
      </w:r>
    </w:p>
    <w:p>
      <w:pPr>
        <w:ind w:left="760"/>
        <w:spacing w:after="0" w:line="185" w:lineRule="auto"/>
        <w:rPr>
          <w:sz w:val="20"/>
          <w:szCs w:val="20"/>
          <w:color w:val="auto"/>
        </w:rPr>
      </w:pPr>
      <w:r>
        <w:rPr>
          <w:rFonts w:ascii="Times New Roman" w:cs="Times New Roman" w:eastAsia="Times New Roman" w:hAnsi="Times New Roman"/>
          <w:sz w:val="18"/>
          <w:szCs w:val="18"/>
          <w:color w:val="auto"/>
        </w:rPr>
        <w:t>October 23, 2023</w:t>
      </w:r>
      <w:r>
        <w:rPr>
          <w:rFonts w:ascii="Times New Roman" w:cs="Times New Roman" w:eastAsia="Times New Roman" w:hAnsi="Times New Roman"/>
          <w:sz w:val="29"/>
          <w:szCs w:val="29"/>
          <w:color w:val="auto"/>
          <w:vertAlign w:val="superscript"/>
        </w:rPr>
        <w:t>(8)</w:t>
      </w:r>
    </w:p>
    <w:p>
      <w:pPr>
        <w:ind w:left="720"/>
        <w:spacing w:after="0" w:line="184" w:lineRule="auto"/>
        <w:rPr>
          <w:sz w:val="20"/>
          <w:szCs w:val="20"/>
          <w:color w:val="auto"/>
        </w:rPr>
      </w:pPr>
      <w:r>
        <w:rPr>
          <w:rFonts w:ascii="Times New Roman" w:cs="Times New Roman" w:eastAsia="Times New Roman" w:hAnsi="Times New Roman"/>
          <w:sz w:val="18"/>
          <w:szCs w:val="18"/>
          <w:color w:val="auto"/>
        </w:rPr>
        <w:t>November 7, 2023</w:t>
      </w:r>
      <w:r>
        <w:rPr>
          <w:rFonts w:ascii="Times New Roman" w:cs="Times New Roman" w:eastAsia="Times New Roman" w:hAnsi="Times New Roman"/>
          <w:sz w:val="29"/>
          <w:szCs w:val="29"/>
          <w:color w:val="auto"/>
          <w:vertAlign w:val="superscript"/>
        </w:rPr>
        <w:t>(9)</w:t>
      </w:r>
    </w:p>
    <w:p>
      <w:pPr>
        <w:ind w:left="720"/>
        <w:spacing w:after="0" w:line="185" w:lineRule="auto"/>
        <w:rPr>
          <w:sz w:val="20"/>
          <w:szCs w:val="20"/>
          <w:color w:val="auto"/>
        </w:rPr>
      </w:pPr>
      <w:r>
        <w:rPr>
          <w:rFonts w:ascii="Times New Roman" w:cs="Times New Roman" w:eastAsia="Times New Roman" w:hAnsi="Times New Roman"/>
          <w:sz w:val="18"/>
          <w:szCs w:val="18"/>
          <w:color w:val="auto"/>
        </w:rPr>
        <w:t>November 9, 2023</w:t>
      </w:r>
      <w:r>
        <w:rPr>
          <w:rFonts w:ascii="Times New Roman" w:cs="Times New Roman" w:eastAsia="Times New Roman" w:hAnsi="Times New Roman"/>
          <w:sz w:val="29"/>
          <w:szCs w:val="29"/>
          <w:color w:val="auto"/>
          <w:vertAlign w:val="superscript"/>
        </w:rPr>
        <w:t>(9)</w:t>
      </w:r>
    </w:p>
    <w:p>
      <w:pPr>
        <w:ind w:left="640"/>
        <w:spacing w:after="0" w:line="191" w:lineRule="auto"/>
        <w:rPr>
          <w:sz w:val="20"/>
          <w:szCs w:val="20"/>
          <w:color w:val="auto"/>
        </w:rPr>
      </w:pPr>
      <w:r>
        <w:rPr>
          <w:rFonts w:ascii="Times New Roman" w:cs="Times New Roman" w:eastAsia="Times New Roman" w:hAnsi="Times New Roman"/>
          <w:sz w:val="17"/>
          <w:szCs w:val="17"/>
          <w:color w:val="auto"/>
        </w:rPr>
        <w:t>November 14, 2023</w:t>
      </w:r>
      <w:r>
        <w:rPr>
          <w:rFonts w:ascii="Times New Roman" w:cs="Times New Roman" w:eastAsia="Times New Roman" w:hAnsi="Times New Roman"/>
          <w:sz w:val="28"/>
          <w:szCs w:val="28"/>
          <w:color w:val="auto"/>
          <w:vertAlign w:val="superscript"/>
        </w:rPr>
        <w:t>(10)</w:t>
      </w:r>
    </w:p>
    <w:p>
      <w:pPr>
        <w:ind w:left="640"/>
        <w:spacing w:after="0" w:line="191" w:lineRule="auto"/>
        <w:rPr>
          <w:sz w:val="20"/>
          <w:szCs w:val="20"/>
          <w:color w:val="auto"/>
        </w:rPr>
      </w:pPr>
      <w:r>
        <w:rPr>
          <w:rFonts w:ascii="Times New Roman" w:cs="Times New Roman" w:eastAsia="Times New Roman" w:hAnsi="Times New Roman"/>
          <w:sz w:val="17"/>
          <w:szCs w:val="17"/>
          <w:color w:val="auto"/>
        </w:rPr>
        <w:t>November 14, 2023</w:t>
      </w:r>
      <w:r>
        <w:rPr>
          <w:rFonts w:ascii="Times New Roman" w:cs="Times New Roman" w:eastAsia="Times New Roman" w:hAnsi="Times New Roman"/>
          <w:sz w:val="28"/>
          <w:szCs w:val="28"/>
          <w:color w:val="auto"/>
          <w:vertAlign w:val="superscript"/>
        </w:rPr>
        <w:t>(11)</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November 16, 2023</w:t>
      </w:r>
    </w:p>
    <w:p>
      <w:pPr>
        <w:ind w:left="820"/>
        <w:spacing w:after="0" w:line="190" w:lineRule="auto"/>
        <w:rPr>
          <w:sz w:val="20"/>
          <w:szCs w:val="20"/>
          <w:color w:val="auto"/>
        </w:rPr>
      </w:pPr>
      <w:r>
        <w:rPr>
          <w:rFonts w:ascii="Times New Roman" w:cs="Times New Roman" w:eastAsia="Times New Roman" w:hAnsi="Times New Roman"/>
          <w:sz w:val="18"/>
          <w:szCs w:val="18"/>
          <w:color w:val="auto"/>
        </w:rPr>
        <w:t>January 3, 2024</w:t>
      </w:r>
      <w:r>
        <w:rPr>
          <w:rFonts w:ascii="Times New Roman" w:cs="Times New Roman" w:eastAsia="Times New Roman" w:hAnsi="Times New Roman"/>
          <w:sz w:val="29"/>
          <w:szCs w:val="29"/>
          <w:color w:val="auto"/>
          <w:vertAlign w:val="superscript"/>
        </w:rPr>
        <w:t>(2)</w:t>
      </w:r>
    </w:p>
    <w:p>
      <w:pPr>
        <w:ind w:left="780"/>
        <w:spacing w:after="0" w:line="185" w:lineRule="auto"/>
        <w:rPr>
          <w:sz w:val="20"/>
          <w:szCs w:val="20"/>
          <w:color w:val="auto"/>
        </w:rPr>
      </w:pPr>
      <w:r>
        <w:rPr>
          <w:rFonts w:ascii="Times New Roman" w:cs="Times New Roman" w:eastAsia="Times New Roman" w:hAnsi="Times New Roman"/>
          <w:sz w:val="18"/>
          <w:szCs w:val="18"/>
          <w:color w:val="auto"/>
        </w:rPr>
        <w:t>March 19, 2024</w:t>
      </w:r>
      <w:r>
        <w:rPr>
          <w:rFonts w:ascii="Times New Roman" w:cs="Times New Roman" w:eastAsia="Times New Roman" w:hAnsi="Times New Roman"/>
          <w:sz w:val="29"/>
          <w:szCs w:val="29"/>
          <w:color w:val="auto"/>
          <w:vertAlign w:val="superscript"/>
        </w:rPr>
        <w:t>(12)</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March 20, 2024</w:t>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March 20, 2024</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April 5, 2024</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275,000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$0.29</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191,000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$0.31</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162,200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$0.31</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363,000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$0.38</w:t>
            </w:r>
          </w:p>
        </w:tc>
      </w:tr>
      <w:tr>
        <w:trPr>
          <w:trHeight w:val="225"/>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11,615,000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$0.44</w:t>
            </w:r>
          </w:p>
        </w:tc>
      </w:tr>
      <w:tr>
        <w:trPr>
          <w:trHeight w:val="248"/>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82,602</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$0.69</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419,000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$0.62</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147,000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$0.61</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341,080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$0.58</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618,000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$0.59</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485,000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$0.56</w:t>
            </w:r>
          </w:p>
        </w:tc>
      </w:tr>
      <w:tr>
        <w:trPr>
          <w:trHeight w:val="257"/>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24,264,706</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$0.45</w:t>
            </w:r>
          </w:p>
        </w:tc>
      </w:tr>
      <w:tr>
        <w:trPr>
          <w:trHeight w:val="257"/>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19,079,194</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$0.41</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400,000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$0.58</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221,000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$0.59</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207,700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$0.59</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210,000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$0.62</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500,000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$0.72</w:t>
            </w:r>
          </w:p>
        </w:tc>
      </w:tr>
      <w:tr>
        <w:trPr>
          <w:trHeight w:val="225"/>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1,210,000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$0.79</w:t>
            </w:r>
          </w:p>
        </w:tc>
      </w:tr>
      <w:tr>
        <w:trPr>
          <w:trHeight w:val="248"/>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911,400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$0.84</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261,000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$0.74</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100,000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$0.68</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175,000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$0.80</w:t>
            </w:r>
          </w:p>
        </w:tc>
      </w:tr>
      <w:tr>
        <w:trPr>
          <w:trHeight w:val="257"/>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1,143,084</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$0.76</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79,278</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$0.76</w:t>
            </w:r>
          </w:p>
        </w:tc>
      </w:tr>
      <w:tr>
        <w:trPr>
          <w:trHeight w:val="25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175,000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$0.85</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51,900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$0.82</w:t>
            </w:r>
          </w:p>
        </w:tc>
      </w:tr>
      <w:tr>
        <w:trPr>
          <w:trHeight w:val="256"/>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80,945,254</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$0.64</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99,000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$0.53</w:t>
            </w:r>
          </w:p>
        </w:tc>
      </w:tr>
      <w:tr>
        <w:trPr>
          <w:trHeight w:val="256"/>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2,000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57"/>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66,666,667</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$0.60</w:t>
            </w:r>
          </w:p>
        </w:tc>
      </w:tr>
      <w:tr>
        <w:trPr>
          <w:trHeight w:val="257"/>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66,666,667</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Warrants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$0.68</w:t>
            </w:r>
          </w:p>
        </w:tc>
      </w:tr>
      <w:tr>
        <w:trPr>
          <w:trHeight w:val="225"/>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25,600,000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$0.715</w:t>
            </w:r>
          </w:p>
        </w:tc>
      </w:tr>
      <w:tr>
        <w:trPr>
          <w:trHeight w:val="248"/>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4,944,574</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$0.52</w:t>
            </w:r>
          </w:p>
        </w:tc>
      </w:tr>
      <w:tr>
        <w:trPr>
          <w:trHeight w:val="257"/>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348,837,210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Common Shares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$0.57</w:t>
            </w:r>
          </w:p>
        </w:tc>
      </w:tr>
      <w:tr>
        <w:trPr>
          <w:trHeight w:val="225"/>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67,400,000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$0.715</w:t>
            </w:r>
          </w:p>
        </w:tc>
      </w:tr>
      <w:tr>
        <w:trPr>
          <w:trHeight w:val="216"/>
        </w:trPr>
        <w:tc>
          <w:tcPr>
            <w:tcW w:w="1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20,000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$0.560</w:t>
            </w:r>
          </w:p>
        </w:tc>
      </w:tr>
      <w:tr>
        <w:trPr>
          <w:trHeight w:val="234"/>
        </w:trPr>
        <w:tc>
          <w:tcPr>
            <w:tcW w:w="1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11,390,000</w:t>
            </w:r>
          </w:p>
        </w:tc>
        <w:tc>
          <w:tcPr>
            <w:tcW w:w="3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-6034405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-5708650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-5382895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-5082540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-4756785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-4431665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-4105275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-3779520</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-3453765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-3128010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-2828290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-2502535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-2176780</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-1851025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-1525270</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-1199515</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-873760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-574040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-273685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340" w:space="720"/>
            <w:col w:w="7180"/>
          </w:cols>
          <w:pgMar w:left="320" w:top="307" w:right="339" w:bottom="1440" w:gutter="0" w:footer="0" w:header="0"/>
        </w:sect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660" w:hanging="436"/>
        <w:spacing w:after="0" w:line="236" w:lineRule="auto"/>
        <w:tabs>
          <w:tab w:leader="none" w:pos="6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(i) the average exchange rate posted by the Bank of Canada for the year ended December 31, 2022, being US$1.00 = C$1.3282 for securities issued during the 2023 calendar year, and (ii) the average exchange rate posted by the Bank of Canada for the year ended December 29, 2023, being US$1.00 = C$1.3226 for securities issued during the 2024 calendar year.</w:t>
      </w:r>
    </w:p>
    <w:p>
      <w:pPr>
        <w:jc w:val="both"/>
        <w:ind w:left="660" w:hanging="436"/>
        <w:spacing w:after="0" w:line="230" w:lineRule="auto"/>
        <w:tabs>
          <w:tab w:leader="none" w:pos="6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exchange for class B common shares in the capital of Cybin U.S. ("</w:t>
      </w:r>
      <w:r>
        <w:rPr>
          <w:rFonts w:ascii="Times New Roman" w:cs="Times New Roman" w:eastAsia="Times New Roman" w:hAnsi="Times New Roman"/>
          <w:sz w:val="22"/>
          <w:szCs w:val="22"/>
          <w:b w:val="1"/>
          <w:bCs w:val="1"/>
          <w:color w:val="auto"/>
        </w:rPr>
        <w:t>Class B Shares</w:t>
      </w:r>
      <w:r>
        <w:rPr>
          <w:rFonts w:ascii="Times New Roman" w:cs="Times New Roman" w:eastAsia="Times New Roman" w:hAnsi="Times New Roman"/>
          <w:sz w:val="22"/>
          <w:szCs w:val="22"/>
          <w:color w:val="auto"/>
        </w:rPr>
        <w:t>"). Such Class B Shares were issued in connection with the Adelia Transaction to Adelia shareholders. The Class B Shares are exchangeable at the holder's option for Common Shares on the basis of 10 Common Shares for 1 Class B Share, subject to customary adjustments.</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Prior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2021 Base Shelf Prospectus, which allowed the Corporation to issue and sell up to US$35,000,000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Shares to the public, from time to time, at its discretion. The Prior ATM Program was qualified by the prospectus supplement dated August 8, 2022.</w:t>
      </w:r>
    </w:p>
    <w:p>
      <w:pPr>
        <w:spacing w:after="0" w:line="2"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Shares issued to LPC on May 30, 2023 pursuant to the Purchase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22" w:name="page23"/>
    <w:bookmarkEnd w:id="22"/>
    <w:p>
      <w:pPr>
        <w:ind w:left="700" w:hanging="476"/>
        <w:spacing w:after="0"/>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to LPC pursuant to the Purchase Agreement.</w:t>
      </w:r>
    </w:p>
    <w:p>
      <w:pPr>
        <w:spacing w:after="0" w:line="14"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pursuant to the August 2023 Unit Offering.</w:t>
      </w:r>
    </w:p>
    <w:p>
      <w:pPr>
        <w:ind w:left="700" w:hanging="476"/>
        <w:spacing w:after="0" w:line="230" w:lineRule="auto"/>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2023 ATM Program.</w:t>
      </w:r>
    </w:p>
    <w:p>
      <w:pPr>
        <w:ind w:left="700" w:hanging="476"/>
        <w:spacing w:after="0" w:line="230" w:lineRule="auto"/>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to Small Pharma on closing of the Arrangement.</w:t>
      </w:r>
    </w:p>
    <w:p>
      <w:pPr>
        <w:ind w:left="700" w:hanging="476"/>
        <w:spacing w:after="0" w:line="230" w:lineRule="auto"/>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exercise of certain Common Share purchase warrants.</w:t>
      </w:r>
    </w:p>
    <w:p>
      <w:pPr>
        <w:ind w:left="700" w:hanging="476"/>
        <w:spacing w:after="0" w:line="230" w:lineRule="auto"/>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pursuant to the November 2023 Unit Offering.</w:t>
      </w:r>
    </w:p>
    <w:p>
      <w:pPr>
        <w:ind w:left="720" w:hanging="496"/>
        <w:spacing w:after="0" w:line="230" w:lineRule="auto"/>
        <w:tabs>
          <w:tab w:leader="none" w:pos="7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 purchase warrants issued pursuant to the November 2023 Unit Offering.</w:t>
      </w:r>
    </w:p>
    <w:p>
      <w:pPr>
        <w:ind w:left="700" w:hanging="476"/>
        <w:spacing w:after="0"/>
        <w:tabs>
          <w:tab w:leader="none" w:pos="7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pursuant to the March 2024 Private Placement.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as at the date of this Prospectus Supplement, a summary of the principal Canadian federal income tax considerations under the Tax Act generally applicable to an investor who acquires, as beneficial owner, Registrable Common Shares pursuant to the Offering and who, for the purposes of the Tax Act and at all relevant times, (i) is not, and is not deemed to be, resident in Canada for the purposes of the Tax Act or any applicable income tax treaty or convention; (ii) does not and will not use or hold and is not and will not be deemed to use or hold its Registrable Common Shares in, or in the course of carrying on, a business in Canada; (iii) deals at arm's length with the Corporation and the Agents; (iv) is not affiliated with the Corporation or the Agents; and (v) who acquires and holds the Registrable Common Shares as capital property (a "</w:t>
      </w:r>
      <w:r>
        <w:rPr>
          <w:rFonts w:ascii="Times New Roman" w:cs="Times New Roman" w:eastAsia="Times New Roman" w:hAnsi="Times New Roman"/>
          <w:sz w:val="22"/>
          <w:szCs w:val="22"/>
          <w:b w:val="1"/>
          <w:bCs w:val="1"/>
          <w:color w:val="auto"/>
        </w:rPr>
        <w:t>Non-Holder</w:t>
      </w:r>
      <w:r>
        <w:rPr>
          <w:rFonts w:ascii="Times New Roman" w:cs="Times New Roman" w:eastAsia="Times New Roman" w:hAnsi="Times New Roman"/>
          <w:sz w:val="22"/>
          <w:szCs w:val="22"/>
          <w:color w:val="auto"/>
        </w:rPr>
        <w:t>"). Generally, the Registrable Common Shares will be considered to be capital property to a Non-Resident Holder thereof provided that the Non-Resident Holder does not use the Registrable Common Shares in the course of carrying on a business of trading or dealing in securities and such Non-Resident Holder has not acquired them in one or more transactions considered to be an adventure or concern in the nature of trade.</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does not apply to a Non-Resident Holder: (i) that is a "financial institution", as defined in the Tax Act, for the purposes of the mark-to-market rules in the Tax Act; (ii) that is a "specified financial institution", as defined in the Tax Act; (iii), an interest in which would be a "tax shelter investment" as defined in the Tax Act; (iv) that has elected to determine its Canadian tax results in a "functional currency" other than the Canadian dollar; (v) that has entered into or will enter into a "derivative forward agreement" or "synthetic disposition arrangement", as those terms are defined in the Tax Act, with respect to the Registrable Common Shares; or (vi) that receives dividends on the Registrable Common Shares under or as part of a "dividend rental arrangement", as defined in the Tax Act. Such Non-Resident Holders should consult their own tax advisors with respect to an investment in Registrable Common Shares. In addition, this summary does not address the deductibility of interest by a Non-Resident Holder who has borrowed money or otherwise incurred debt in connection with the acquisition of the Registrable Common Shares.</w:t>
      </w:r>
    </w:p>
    <w:p>
      <w:pPr>
        <w:spacing w:after="0" w:line="17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Special rules, which are not discussed in this summary, may apply to a Non-Resident Holder that is an insurer carrying on business in Canada and elsewhere or that is an "authorized foreign bank" (as defined in the Tax Act). Such Non-Resident Holders should consult their own tax advisors.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term "US Holder," for the purposes of this summary, means a Non-Resident Holder who, for purposes of the Canada-United States Tax Convention (1980), as amended (the "Canada-US Tax Treaty"), is at all relevant times a resident of the United States 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Non-Resident Holder in respect of the transactions described herein. The income or other tax consequences will vary depending on the particular circumstances of the Non-Resident Holder. Accordingly, this summary is of a general nature only and is not intended to be, nor should it be construed to be, legal or tax advice or representations to any particular Non-Resident Holder.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Registrable Common Shares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Registrable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Dividends paid or credited or deemed under the Tax Act to be paid or credited to a Non-Resident Holder by the Corporation are subject to Canadian withholding tax at the rate of 25% on the gross amount of the dividend, unless such rate is reduced by the terms of an applicable income tax treaty. For example, under the Canada-US Tax Treaty, the withholding tax rate on any such dividend beneficially owned by a Non-Resident Holder that is a US Holder or otherwise entitled to the relevant benefits of such treaty is generally reduced to 15%, and to 5% if such Non-Resident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Dispositions of Registrable Common Shares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Registrable Common Share, unless the Registrable Common Share constitutes (or is deemed to constitute) "taxable Canadian property" to the Non-Resident Holder thereof for purposes of the Tax Act at the time of disposition, and the Non-Resident Holder is not entitled to relief under the terms of an applicable tax treaty. In addition, capital losses arising on the disposition or deemed disposition of a Registrable Common Share will not be recognized under the Tax Act, unless the Registrable Common Share constitutes "taxable Canadian property" to the Non-Resident Holder thereof for purposes of the Tax Act, and the Non-Resident Holder is not entitled to relief under the terms of an applicable tax treaty.</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Provided the Registrable Common Shares are listed on a "designated stock exchange", as defined in the Tax Act (which currently includes the NEO), at the time of disposition, the Registrable Common Shares generally will not constitute taxable Canadian property of a Non-Resident Holder at that time, unless at any time during the 60-month period immediately preceding the disposition the following two conditions are satisfied concurrently: (i) one or any combination of (a) the Non-Resident Holder,</w:t>
      </w:r>
    </w:p>
    <w:p>
      <w:pPr>
        <w:spacing w:after="0" w:line="2" w:lineRule="exact"/>
        <w:rPr>
          <w:sz w:val="20"/>
          <w:szCs w:val="20"/>
          <w:color w:val="auto"/>
        </w:rPr>
      </w:pPr>
    </w:p>
    <w:p>
      <w:pPr>
        <w:jc w:val="both"/>
        <w:ind w:firstLine="8"/>
        <w:spacing w:after="0" w:line="232" w:lineRule="auto"/>
        <w:tabs>
          <w:tab w:leader="none" w:pos="3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(a) real or immovable property situated in Canada, (b) "Canadian resource properties" (as defined in the Tax Act), (c) "timber resource properties" (as defined in the Tax Act) or (d) an option, an interest or right in any of the foregoing property, whether or not such property exists. Notwithstanding the foregoing, a Registrable Common Share may otherwise be deemed to be taxable Canadian property to a Non-Resident Holder for purposes of the Tax Act.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Registrable Common Shares constitute "taxable Canadian property".</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Registrable Common Shares are "taxable Canadian property" to a Non-Resident Holder and such Non-Resident Holder is not exempt from tax under the Tax Act in respect of the disposition of such Registrable Common Shares pursuant to an applicable income tax treaty or convention, the Non-Resident Holder will generally realize a capital gain (or a capital loss) equal to the amount, if any, by which the proceeds of disposition of such share, net of any reasonable costs of disposition, are greater (or are less) than the adjusted cost base of such share to the Non-Resident Holder immediately before the disposition (or deemed disposition). The adjusted cost base to a Non-Resident Holder of a Registrable Common Share will be determined by averaging the cost of that Registrable Common Share with the adjusted cost base (determined immediately before the acquisition of the Registrable Common Share) of all other Common Shares of the Corporation held as capital property at that time by the Non-Resident Holder.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69" w:gutter="0" w:footer="0" w:header="0"/>
        </w:sectPr>
      </w:pPr>
    </w:p>
    <w:bookmarkStart w:id="24" w:name="page25"/>
    <w:bookmarkEnd w:id="24"/>
    <w:p>
      <w:pPr>
        <w:jc w:val="both"/>
        <w:spacing w:after="0" w:line="235" w:lineRule="auto"/>
        <w:rPr>
          <w:sz w:val="20"/>
          <w:szCs w:val="20"/>
          <w:color w:val="auto"/>
        </w:rPr>
      </w:pPr>
      <w:r>
        <w:rPr>
          <w:rFonts w:ascii="Times New Roman" w:cs="Times New Roman" w:eastAsia="Times New Roman" w:hAnsi="Times New Roman"/>
          <w:sz w:val="22"/>
          <w:szCs w:val="22"/>
          <w:color w:val="auto"/>
        </w:rPr>
        <w:t>Generally, a Non-Resident Holder is required to include in computing its income for a taxation year one-half of the amount of any capital gain (a "taxable capital gain") realized in the year. Subject to and in accordance with the provisions of the Tax Act, a Non-Resident Holder is required to deduct one-half of the amount of any capital loss (an "allowable capital loss") realized in a taxation year from taxable capital gains realized in the year by such Non-Resident Holder. Allowable capital losses in excess of taxable capital gains for the taxation year of disposition may be carried back and deducted in any of the three preceding taxation years or carried forward and deducted in any following taxation year against net taxable capital gains realized in such years to the extent and under the circumstances described in the Tax Act.</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amount of any capital loss realized on the disposition or deemed disposition of Registrable Common Shares by a Non-Resident Holder that is a corporation may be reduced by the amount of dividends received or deemed to have been received by it on such shares or shares substituted for such shares to the extent and in the circumstances specified by the Tax Act. Similar rules may apply where a Registrable Common Share is owned by a partnership or trust of which a corporation, trust or partnership is a member or beneficiary.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Non-Resident Holders to whom these rules may be relevant should consult their own tax advisors.</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Registrable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Registrable Common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Registrable Common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Registrable Common Shares.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 ruling from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has been requested, or will be obtained, regarding the U.S. federal income tax consequences of the acquisition, ownership and disposition of Registrable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Scope of this Summary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Authorities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summary is based on the U.S.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Treasury Regulations (whether final, temporary, or proposed), published rulings of the IRS, published administrative positions of the IRS, Canada-US Tax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i w:val="1"/>
          <w:iCs w:val="1"/>
          <w:color w:val="auto"/>
        </w:rPr>
        <w:t>U.S. Holders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purposes of this summary, the term "U.S. Holder" means a beneficial owner of Registrable Common Shares acquired pursuant to this Offering that is for U.S. federal income tax purposes: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Non-U.S. Holders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purposes of this summary, a "non-U.S. Holder" is a beneficial owner of Registrable Common Shares that is not a U.S. Holder or an entity classified as a partnership for U.S. federal income tax purposes. This summary does not address the U.S. federal, state or local tax consequences to non-U.S. Holders arising from or relating to the acquisition, ownership and disposition of Registrable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Registrable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 Subject to Special U.S. Federal Income Tax Rules Not Addressed</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Registrable Common Shares as part of a straddle, hedging transaction, conversion transaction, constructive sale, or other integrated transaction; (f) acquire Registrable Common Shares in connection with the exercise of employee stock options or otherwise as compensation for services; (g) hold Registrable Common Shares other than as a capital asset within the meaning of Section 1221 of the Code (generally, property held for investment purposes); (h) are subject to the alternative minimum tax; (i) are subject to special tax accounting rules with respect to Registrable Common Shares; (j) are partnerships or other "pass-through" entities (and partners or other owners thereof); (k) are S corporations (and shareholders thereof); (l) are U.S. expatriates or former long-term residents of the United States subject to Section 877 or 877A of the Code; (m) hold Registrable Common Shares in connection with a trade or business, permanent establishment, or fixed base outside the United States; (n) persons required to accelerate the recognition of any item of gross income with respect to the Registrable Common Shares as a result of such income being recognized on an applicable financial statement; or (o)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Registrable Common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 w:name="page27"/>
    <w:bookmarkEnd w:id="26"/>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Registrable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Registrable Common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was to constitute a "passive foreign investment company" under the meaning of Section 1297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Registrable Common Shares. Based on the composition of the Corporation's income and the value of the Corporation's assets, the Corporation believes that it was a PFIC for United States federal income tax purposes for the tax year ending March 31, 2023. Further, based on current business plans and financial expectations, the Corporation expects that it may be a PFIC for its tax year ended March 31, 2024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34"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Registrable Common Shares. Accordingly, U.S. Holders should be aware that they could be subject to tax under the PFIC rules even if no distributions are received and no redemptions or other dispositions of Registrable Common Shares are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Registrable Common Shares, the U.S. federal income tax consequences to such U.S. Holder of the acquisition, ownership, and disposition of Registrable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"Non-Electing U.S. Holder".</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Non-Electing U.S. Holder will be subject to the rules of Section 1291 of the Code (described below) with respect to: (a) any gain recognized on the sale or other taxable disposition of Registrable Common Shares; and (b) any "excess distribution" received on the Registrable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Registrable Common Shares, if shorter).</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any gain recognized on the sale or other taxable disposition of Registrable Common Shares (including an indirect disposition of the stock of any Subsidiary PFIC), and any "excess distribution" received on Registrable Common Shares or with respect to the stock of a Subsidiary PFIC, must be ratably allocated to each day in a Non-Electing U.S. Holder's holding period for the respective Registrable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Registrable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by electing to recognize gain (which will be taxed under the rules of Section 1291 of the Code discussed above), but not loss, as if such Registrable Common Shares were sold on the last day of the last tax year for which the Corporation was a PFIC.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Registrable Common Shares begins generally will not be subject to the rules of Section 1291 of the Code discussed above with respect to its Registrable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Registrable Common Shares to reflect the amount included in income or allowed as a tax-free distribution because of such QEF Election. In addition, a U.S. Holder that makes a QEF Election generally will recognize capital gain or loss on the sale or other taxable disposition of Registrable Common Shares.</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Registrable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Registrable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Registrable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Registrable Common Shares. If a U.S. Holder owns PFIC stock indirectly through another PFIC, separate QEF Elections must be made for the PFIC in which the U.S. Holder is a direct shareholder and the Subsidiary PFIC for the QEF rules to apply to both PFICs.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Registrable Common Shares are marketable stock. The Registrable Common Shares generally will be "marketable stock" if the Registrable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Registrable Common Shares generally will not be subject to the rules of Section 1291 of the Code discussed above with respect to such Common Shares. However, if a U.S. Holder does not make a Mark-to-Market Election beginning in the first tax year of such U.S. Holder's holding period for the Registrable Common Shares for which the Corporation is a PFIC and such U.S. Holder has not made a timely QEF Election, the rules of Section 1291 of the Code discussed above will apply to certain dispositions of, and distributions on, the Registrable Common Shares.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that makes a Mark-to-Market Election will include in ordinary income, for each tax year in which the Corporation is a PFIC, an amount equal to the excess, if any, of (a) the fair market value of the Registrable Common Shares, as of the close of such tax year over (b) such U.S. Holder's adjusted tax basis in such Registrable Common Shares. A U.S. Holder that makes a Mark-to-Market Election will be allowed a deduction in an amount equal to the excess, if any, of (a) such U.S. Holder's adjusted tax basis in the Registrable Common Shares, over (b) the fair market value of such Registrable Common Shares (but only to the extent of the net amount of previously included income as a result of the Mark-to-Market Election for prior tax years).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Registrable Common Shares to reflect the amount included in gross income or allowed as a deduction because of such Mark-to-Market Election. In addition, upon a sale or other taxable disposition of Registrable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Registrable Common Shares cease to be "marketable stock" or the IRS consents to revocation of such election. Each U.S. Holder should consult its own tax advisors regarding the availability of, and procedure for making, a Mark-to-Market Election.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Registrable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the proposed Treasury Regulations, subject to certain exceptions, a U.S. Holder that had not made a timely QEF Election would recognize gain (but not loss) upon certain transfers of Registrable Common Shares that would otherwise be tax-deferred (e.g., gifts and exchanges pursuant to corporate reorganizations). However, the specific U.S. federal income tax consequences to a U.S. Holder may vary based on the manner in which Registrable Common Shares are transferred.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0" w:name="page31"/>
    <w:bookmarkEnd w:id="30"/>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Registrable Common Shares as security for a loan will, except as may be provided in Treasury Regulations, be treated as having made a taxable disposition of such Registrable Common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a U.S. Holder who acquires Registrable Common Shares from a decedent will not receive a "step up" in tax basis of such Registrable Common Shares to fair market value unless such decedent had a timely and effective QEF Election in place.</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Registrable Common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Registrable Common Shares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Registrable Common Shares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U.S. Holder that receives a distribution, including a constructive distribution, with respect to a Registrable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Registrable Common Shares and thereafter as gain from the sale or exchange of such Registrable Common Shares. (See </w:t>
      </w:r>
      <w:r>
        <w:rPr>
          <w:rFonts w:ascii="Times New Roman" w:cs="Times New Roman" w:eastAsia="Times New Roman" w:hAnsi="Times New Roman"/>
          <w:sz w:val="22"/>
          <w:szCs w:val="22"/>
          <w:i w:val="1"/>
          <w:iCs w:val="1"/>
          <w:color w:val="auto"/>
        </w:rPr>
        <w:t>"Sale or Other Taxable Disposition of Registrable Common Shares"</w:t>
      </w:r>
      <w:r>
        <w:rPr>
          <w:rFonts w:ascii="Times New Roman" w:cs="Times New Roman" w:eastAsia="Times New Roman" w:hAnsi="Times New Roman"/>
          <w:sz w:val="22"/>
          <w:szCs w:val="22"/>
          <w:color w:val="auto"/>
        </w:rPr>
        <w:t xml:space="preserve"> below). However, the Corporation does not intend to maintain the calculations of its earnings and profits in accordance with U.S. federal income tax principles, and each U.S. Holder therefore should assume that any distribution by the Corporation with respect to the Registrable Common Shares will constitute ordinary dividend income. Dividends received on Registrable Common Shares by corporate U.S. Holders generally will not be eligible for the "dividends received deduction". Subject to applicable limitations and provided the Corporation is eligible for the benefits of the Canada-US Tax Treaty or the Registrable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Registrable Common Shares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the sale or other taxable disposition of Registrable Common Shares, a U.S. Holder generally will recognize capital gain or loss in an amount equal to the difference between the U.S. dollar value of cash received plus the fair market value of any property received and such U.S. Holder's tax basis in such Registrable Common Shares sold or otherwise disposed of. A U.S. Holder's tax basis in Registrable Common Shares generally will be such U.S. Holder's U.S. dollar cost for such Registrable Common Shares. Gain or loss recognized on such sale or other taxable disposition generally will be long-term capital gain or loss if, at the time of the sale or other disposition, the Registrable Common Shares have been held for more than one year.</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Registrable Common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Registrable Common Shares will be treated as foreign-source income, and generally will be treated as "passive category income" or "general category income" for U.S. foreign tax credit purposes. Any gain or loss recognized on a sale or other disposition of Registrable Common Shares generally will be United States source gain or loss. Certain U.S. Holders that are eligible for the benefits of the Canada-US Tax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there can be no assurance that those requirements will be satisfied. The Treasury Department has recently released guidance temporarily pausing the application of certain of the Foreign Tax Credit Regulations.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Registrable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Registrable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2" w:name="page33"/>
    <w:bookmarkEnd w:id="32"/>
    <w:p>
      <w:pPr>
        <w:jc w:val="both"/>
        <w:spacing w:after="0" w:line="246" w:lineRule="auto"/>
        <w:rPr>
          <w:sz w:val="20"/>
          <w:szCs w:val="20"/>
          <w:color w:val="auto"/>
        </w:rPr>
      </w:pPr>
      <w:r>
        <w:rPr>
          <w:rFonts w:ascii="Times New Roman" w:cs="Times New Roman" w:eastAsia="Times New Roman" w:hAnsi="Times New Roman"/>
          <w:sz w:val="21"/>
          <w:szCs w:val="21"/>
          <w:color w:val="auto"/>
        </w:rPr>
        <w:t>Payments made within the U.S. or by a U.S. payor or U.S. middleman, of dividends on, and proceeds arising from the sale or other taxable disposition of, Registrable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REGISTRABLE COMMON SHARES. U.S. HOLDERS SHOULD CONSULT THEIR OWN TAX ADVISORS AS TO THE TAX CONSIDERATIONS APPLICABLE TO THEM IN LIGHT OF THEIR OWN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 and Going Concern</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22"/>
          <w:szCs w:val="22"/>
          <w:i w:val="1"/>
          <w:iCs w:val="1"/>
          <w:color w:val="auto"/>
        </w:rPr>
        <w:t>"Risk Factors - Risks Related to the Offering - Need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Additional Financing".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2"/>
          <w:szCs w:val="22"/>
          <w:i w:val="1"/>
          <w:iCs w:val="1"/>
          <w:color w:val="auto"/>
        </w:rPr>
        <w:t>"Risk Factors - Risks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and Going Concern"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Risks Related to the Offering - Potential Dilution"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Need for Additional Financing"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Volatile Market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the Common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(including the Registrable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Factors - Risks Related to an Offering - Need 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22"/>
          <w:szCs w:val="22"/>
          <w:b w:val="1"/>
          <w:bCs w:val="1"/>
          <w:i w:val="1"/>
          <w:iCs w:val="1"/>
          <w:color w:val="auto"/>
        </w:rPr>
        <w:t>The Corporation may be a "passive foreign investment company", which may have adverse U.S. federal income tax consequences for U.S. Holders</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Based on the composition of the Corporation's income and the value of the Corporation's assets, the Corporation believes that it was a PFIC (as defined above) for United States federal income tax purposes for the tax year ending March 31, 2023. Further, based on current business plans and financial expectations, the Corporation expects that it may be a PFIC for its tax year ended March 31, 2024 and may be a PFIC in future tax years. If the Corporation is a PFIC for any year during a U.S. Holder's (as defined above) holding period of Registrable Common Shares, then such U.S. Holder generally will be required to treat any gain realized upon a disposition of the Registrable Common Shares or any so-called excess "distribution" received on its Registrable Common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or a Mark-to-Market Election. Subject to certain limitations, such elections may be made with respect to the Registrable Common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Registrable Common Shares over the U.S. Holder's basis therein. This paragraph is qualified in its entirety by the discussion above under the heading "</w:t>
      </w:r>
      <w:r>
        <w:rPr>
          <w:rFonts w:ascii="Times New Roman" w:cs="Times New Roman" w:eastAsia="Times New Roman" w:hAnsi="Times New Roman"/>
          <w:sz w:val="22"/>
          <w:szCs w:val="22"/>
          <w:i w:val="1"/>
          <w:iCs w:val="1"/>
          <w:color w:val="auto"/>
        </w:rPr>
        <w:t>Certain United States Federal Income Tax Considerations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Registrable Common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0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w:t>
      </w:r>
      <w:r>
        <w:rPr>
          <w:rFonts w:ascii="Times New Roman" w:cs="Times New Roman" w:eastAsia="Times New Roman" w:hAnsi="Times New Roman"/>
          <w:sz w:val="22"/>
          <w:szCs w:val="22"/>
          <w:color w:val="auto"/>
        </w:rPr>
        <w:t>, as well as certain other legal matters relating to the issue and sale of the Registrable Common Shares,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passed upon on behalf of the Corporation by Aird &amp; Berlis LLP, with respect to Canadian legal matters, and by Dorsey &amp; Whitney LLP, with respect to United States legal matters.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the United States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the United States and any applicable legislation or regulation. Neither MNP LLP nor any designated professional thereof, had any registered or beneficial interest in any securities or other property of Small Pharma at the time they audited the relevant financial statements incorporated by reference in this Prospectus Supplement or at any time thereafter.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registrar and transfer agent of the Registrable Common Shares is Odyssey Trust Company at its principal office in Calgary, Alberta.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The Corporation is a corporation existing under the </w:t>
      </w:r>
      <w:r>
        <w:rPr>
          <w:rFonts w:ascii="Times New Roman" w:cs="Times New Roman" w:eastAsia="Times New Roman" w:hAnsi="Times New Roman"/>
          <w:sz w:val="21"/>
          <w:szCs w:val="21"/>
          <w:i w:val="1"/>
          <w:iCs w:val="1"/>
          <w:color w:val="auto"/>
        </w:rPr>
        <w:t>Business Corporations Act</w:t>
      </w:r>
      <w:r>
        <w:rPr>
          <w:rFonts w:ascii="Times New Roman" w:cs="Times New Roman" w:eastAsia="Times New Roman" w:hAnsi="Times New Roman"/>
          <w:sz w:val="21"/>
          <w:szCs w:val="21"/>
          <w:color w:val="auto"/>
        </w:rPr>
        <w:t xml:space="preserve"> (Ontario). Other than Douglas Drysdale, Chief Executive Officer, George Tziras, Chief Business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Registrable Common Shares who reside in the United States to effect service within the United States upon those directors, officers and experts who are not residents of the United States. It may also be difficult for holders of the Registrable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Registrable Common Shares under this Prospectus Supplement and the accompanying Base Shelf Prospectus.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2 dated April 8, 2024 to the Short Form Base Shelf Prospectus dated August 17, 2023, as amended by Amendment No. 1 dated December 22, 2023</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17015" cy="986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0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short form base shelf prospectus dated August 17, 2023, as amended by Amendment No. 1 dated December 22, 2023 (collectively,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of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is hereby amended by this Amendment No. 2 to provide that the securities that may be offered and issued thereunder will include distributions by various selling securityholders. Capitalized terms used but not otherwise defined in this Amendment No. 2 have the meanings ascribed thereto in the Prospectus.</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2.</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paragraph of the text on the face page of the Prospectus, as so amended, is deleted and replaced with the following:</w:t>
      </w:r>
    </w:p>
    <w:p>
      <w:pPr>
        <w:spacing w:after="0" w:line="20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second, third and fourth paragraphs on page ii of the Prospectus, and replacing with the following:</w:t>
      </w:r>
    </w:p>
    <w:p>
      <w:pPr>
        <w:spacing w:after="0" w:line="15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ectPr>
          <w:pgSz w:w="11900" w:h="16838" w:orient="portrait"/>
          <w:cols w:equalWidth="0" w:num="1">
            <w:col w:w="11240"/>
          </w:cols>
          <w:pgMar w:left="320" w:top="108" w:right="339" w:bottom="63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34" w:gutter="0" w:footer="0" w:header="0"/>
          <w:type w:val="continuous"/>
        </w:sectPr>
      </w:pPr>
    </w:p>
    <w:bookmarkStart w:id="39" w:name="page40"/>
    <w:bookmarkEnd w:id="39"/>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84"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Distributions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428"/>
        <w:spacing w:after="0" w:line="262"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428"/>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ind w:left="468" w:hanging="468"/>
        <w:spacing w:after="0"/>
        <w:tabs>
          <w:tab w:leader="none" w:pos="46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right="20" w:hanging="428"/>
        <w:spacing w:after="0" w:line="258"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428" w:hanging="428"/>
        <w:spacing w:after="0" w:line="238"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39" w:lineRule="auto"/>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428" w:hanging="428"/>
        <w:spacing w:after="0" w:line="241" w:lineRule="auto"/>
        <w:tabs>
          <w:tab w:leader="none" w:pos="47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pacing w:after="0" w:line="217" w:lineRule="exact"/>
        <w:rPr>
          <w:rFonts w:ascii="Times New Roman" w:cs="Times New Roman" w:eastAsia="Times New Roman" w:hAnsi="Times New Roman"/>
          <w:sz w:val="21"/>
          <w:szCs w:val="21"/>
          <w:color w:val="auto"/>
        </w:rPr>
      </w:pPr>
    </w:p>
    <w:p>
      <w:pPr>
        <w:jc w:val="both"/>
        <w:ind w:left="428" w:right="20" w:hanging="428"/>
        <w:spacing w:after="0" w:line="244" w:lineRule="auto"/>
        <w:tabs>
          <w:tab w:leader="none" w:pos="47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private placement offering of 348,837,210 Common Shares of the Corporation at a price of US$0.43 per Common Share for gross proceeds of US150,000,000, before deducting fees and expenses related to the offering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146050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368"/>
          </w:cols>
          <w:pgMar w:left="1192" w:top="112" w:right="339"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February 13, 2024, the date of the Interim Financial Statements and Interim MD&amp;A.</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13, 2024, the Corporation announced that the FDA has granted Breakthrough Therapy Designation to CYB003, the Corporation's proprietary deuterated psilocybin analog in development for the adjunctive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14, 2024, the Corporation announced a positive End-of-Phase 2 meeting with the FDA for CYB003.</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15, 2024, the Corporation announced the initiation of a Phase 2 proof-of-concept study of CYB004, its proprietary DMT molecule in development for the treatment of Generalized Anxiety Disorder. In January 2024, the FDA cleared Cybin's Investigational New Drug application for CYB004.</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19, 2024, the Corporation announced the closing of the Private Placement."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first paragraph under the section titled "Use of Proceeds" and replacing it with the following:</w:t>
      </w:r>
    </w:p>
    <w:p>
      <w:pPr>
        <w:spacing w:after="0" w:line="15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section title and accompanying text directly under the section titled "Use of Proceeds":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21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The Prospectus may also from time to time, relate to the Offering of Securities by way of a secondary offering (each, a "</w:t>
      </w:r>
      <w:r>
        <w:rPr>
          <w:rFonts w:ascii="Times New Roman" w:cs="Times New Roman" w:eastAsia="Times New Roman" w:hAnsi="Times New Roman"/>
          <w:sz w:val="21"/>
          <w:szCs w:val="21"/>
          <w:b w:val="1"/>
          <w:bCs w:val="1"/>
          <w:color w:val="auto"/>
        </w:rPr>
        <w:t>Secondary Offering</w:t>
      </w:r>
      <w:r>
        <w:rPr>
          <w:rFonts w:ascii="Times New Roman" w:cs="Times New Roman" w:eastAsia="Times New Roman" w:hAnsi="Times New Roman"/>
          <w:sz w:val="21"/>
          <w:szCs w:val="21"/>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w:t>
      </w:r>
    </w:p>
    <w:p>
      <w:pPr>
        <w:spacing w:after="0" w:line="3" w:lineRule="exact"/>
        <w:rPr>
          <w:sz w:val="20"/>
          <w:szCs w:val="20"/>
          <w:color w:val="auto"/>
        </w:rPr>
      </w:pPr>
    </w:p>
    <w:p>
      <w:pPr>
        <w:jc w:val="both"/>
        <w:ind w:left="660" w:hanging="4"/>
        <w:spacing w:after="0" w:line="231" w:lineRule="auto"/>
        <w:tabs>
          <w:tab w:leader="none" w:pos="105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"Plan of Distribution" and replacing it with the following: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$400,000,000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Shareholders may sell Securities to or through underwriters or dealers purchasing as principals and may also sell Securities to one or more purchasers directly, through statutory exemptions, or through agents designated from time to time.</w:t>
      </w:r>
    </w:p>
    <w:p>
      <w:pPr>
        <w:spacing w:after="0" w:line="181"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8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ectPr>
          <w:pgSz w:w="11900" w:h="16838" w:orient="portrait"/>
          <w:cols w:equalWidth="0" w:num="1">
            <w:col w:w="11240"/>
          </w:cols>
          <w:pgMar w:left="320" w:top="112"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3" w:name="page44"/>
    <w:bookmarkEnd w:id="43"/>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22,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filed with the SEC an appointment of agent for service of process on Form F-X relating to the registration statement of which this Prospectus forms a part.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22, 2023 to the Short Form Base Shelf Prospectus dated August 17,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17015" cy="986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0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August 17, 2023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$160,000,000 to $400,000,000. Capitalized terms used but not otherwise defined in this Amendment No. 1 have the meanings ascribed thereto in the Prospectus.</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6" w:name="page47"/>
    <w:bookmarkEnd w:id="46"/>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"$160,000,000" contained on the face page of the Prospectus and substituting "$400,000,000" therefor. The first paragraph of the text on the face page of the Prospectus, as so amended, is deleted and replaced with the following:</w:t>
      </w:r>
    </w:p>
    <w:p>
      <w:pPr>
        <w:spacing w:after="0" w:line="169"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"$160,000,000" contained in the first sentence of the first paragraph under the heading "Plan of Distribution" on page 28, so that such sentence, as so amended, reads as follows:</w:t>
      </w:r>
    </w:p>
    <w:p>
      <w:pPr>
        <w:spacing w:after="0" w:line="158"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commencing on August 17, 2023, that this Prospectus, including any amendments and supplements hereto, remains valid, offer for sale and sell up to an aggregate of $400,000,000 in Securities 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21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1"/>
          <w:szCs w:val="21"/>
          <w:i w:val="1"/>
          <w:iCs w:val="1"/>
          <w:color w:val="auto"/>
        </w:rPr>
        <w:t>“Risk Factors – Risks Related to an Offering – Enforcement of Civil Liabilities”.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hanging="320"/>
        <w:spacing w:after="0" w:line="262"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4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ectPr>
          <w:pgSz w:w="11900" w:h="16838" w:orient="portrait"/>
          <w:cols w:equalWidth="0" w:num="1">
            <w:col w:w="11240"/>
          </w:cols>
          <w:pgMar w:left="320" w:top="11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8" w:name="page49"/>
    <w:bookmarkEnd w:id="48"/>
    <w:p>
      <w:pPr>
        <w:jc w:val="both"/>
        <w:ind w:left="1300" w:right="20" w:hanging="320"/>
        <w:spacing w:after="0" w:line="244" w:lineRule="auto"/>
        <w:tabs>
          <w:tab w:leader="none" w:pos="134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 and</w:t>
      </w:r>
    </w:p>
    <w:p>
      <w:pPr>
        <w:spacing w:after="0" w:line="173"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November 14, 2023, the date of the Interim Financial Statements and Interim MD&amp;A.</w:t>
      </w:r>
    </w:p>
    <w:p>
      <w:pPr>
        <w:spacing w:after="0" w:line="17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On November 30, 2023, the Corporation announced positive Phase 2 topline safety and efficacy data for CYB0003, its proprietary deuterated psilocybin analog, being developed for the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On December 6, 2023, the Corporation announced that the United States Patent and Trademark Office had granted U.S. patent 11,834,410 in support of its CYB003 program. The patent, which is expected to provide exclusivity until at least 2041, includes composition of matter claims to pharmaceutical compositions within the Corporation’s proprietary deuterated psilocybin analog program, CYB003, as well as claims directed toward the therapeutic treatment of MDD, treatment-resistant depression, and alcohol use disorder.”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20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21, 2023, the Corporation had cash resources, being cash and an HST receivable, of approximately $39,290,000. As at December 21, 2023, the Corporation anticipates that it will require approximately $39,290,000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7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tbl>
      <w:tblPr>
        <w:tblLayout w:type="fixed"/>
        <w:tblInd w:w="32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12 Month Use</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8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Timeline for</w:t>
            </w:r>
          </w:p>
        </w:tc>
        <w:tc>
          <w:tcPr>
            <w:tcW w:w="0" w:type="dxa"/>
            <w:vAlign w:val="bottom"/>
          </w:tcPr>
          <w:p>
            <w:pPr>
              <w:spacing w:after="0"/>
              <w:rPr>
                <w:sz w:val="1"/>
                <w:szCs w:val="1"/>
                <w:color w:val="auto"/>
              </w:rPr>
            </w:pPr>
          </w:p>
        </w:tc>
      </w:tr>
      <w:tr>
        <w:trPr>
          <w:trHeight w:val="270"/>
        </w:trPr>
        <w:tc>
          <w:tcPr>
            <w:tcW w:w="5740" w:type="dxa"/>
            <w:vAlign w:val="bottom"/>
            <w:vMerge w:val="continue"/>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3"/>
                <w:szCs w:val="23"/>
                <w:color w:val="auto"/>
              </w:rPr>
            </w:pPr>
          </w:p>
        </w:tc>
        <w:tc>
          <w:tcPr>
            <w:tcW w:w="190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10"/>
        </w:trPr>
        <w:tc>
          <w:tcPr>
            <w:tcW w:w="574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1700" w:type="dxa"/>
            <w:vAlign w:val="bottom"/>
            <w:tcBorders>
              <w:top w:val="single" w:sz="8" w:color="auto"/>
            </w:tcBorders>
            <w:shd w:val="clear" w:color="auto" w:fill="E6EFFF"/>
          </w:tcPr>
          <w:p>
            <w:pPr>
              <w:spacing w:after="0"/>
              <w:rPr>
                <w:sz w:val="18"/>
                <w:szCs w:val="18"/>
                <w:color w:val="auto"/>
              </w:rPr>
            </w:pPr>
          </w:p>
        </w:tc>
        <w:tc>
          <w:tcPr>
            <w:tcW w:w="180" w:type="dxa"/>
            <w:vAlign w:val="bottom"/>
            <w:tcBorders>
              <w:top w:val="single" w:sz="8" w:color="E6EFFF"/>
            </w:tcBorders>
            <w:shd w:val="clear" w:color="auto" w:fill="E6EFFF"/>
          </w:tcPr>
          <w:p>
            <w:pPr>
              <w:spacing w:after="0"/>
              <w:rPr>
                <w:sz w:val="18"/>
                <w:szCs w:val="18"/>
                <w:color w:val="auto"/>
              </w:rPr>
            </w:pPr>
          </w:p>
        </w:tc>
        <w:tc>
          <w:tcPr>
            <w:tcW w:w="1320" w:type="dxa"/>
            <w:vAlign w:val="bottom"/>
            <w:tcBorders>
              <w:top w:val="single" w:sz="8" w:color="auto"/>
            </w:tcBorders>
            <w:shd w:val="clear" w:color="auto" w:fill="E6EFFF"/>
          </w:tcPr>
          <w:p>
            <w:pPr>
              <w:spacing w:after="0"/>
              <w:rPr>
                <w:sz w:val="18"/>
                <w:szCs w:val="18"/>
                <w:color w:val="auto"/>
              </w:rPr>
            </w:pPr>
          </w:p>
        </w:tc>
        <w:tc>
          <w:tcPr>
            <w:tcW w:w="38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Complete Phase 1/2a topline safety and efficacy data readout for CYB003</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MDD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893,000</w:t>
            </w:r>
          </w:p>
        </w:tc>
        <w:tc>
          <w:tcPr>
            <w:tcW w:w="1900" w:type="dxa"/>
            <w:vAlign w:val="bottom"/>
            <w:gridSpan w:val="3"/>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line="256" w:lineRule="exact"/>
              <w:rPr>
                <w:sz w:val="20"/>
                <w:szCs w:val="20"/>
                <w:color w:val="auto"/>
              </w:rPr>
            </w:pPr>
            <w:r>
              <w:rPr>
                <w:rFonts w:ascii="Times New Roman" w:cs="Times New Roman" w:eastAsia="Times New Roman" w:hAnsi="Times New Roman"/>
                <w:sz w:val="18"/>
                <w:szCs w:val="18"/>
                <w:color w:val="auto"/>
              </w:rPr>
              <w:t>Phase 2 data assessing durability of effect of CYB003 at 12 weeks</w:t>
            </w:r>
            <w:r>
              <w:rPr>
                <w:rFonts w:ascii="Times New Roman" w:cs="Times New Roman" w:eastAsia="Times New Roman" w:hAnsi="Times New Roman"/>
                <w:sz w:val="29"/>
                <w:szCs w:val="29"/>
                <w:color w:val="auto"/>
                <w:vertAlign w:val="superscript"/>
              </w:rPr>
              <w:t>(5)</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3 study of CYB003 in MDD</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8,940,000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215,000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(6)</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2 proof-of-concept study</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1,239,000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Initiate a subcutaneous formulation study</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70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(7)</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(8)</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27,082,000</w:t>
            </w:r>
          </w:p>
        </w:tc>
        <w:tc>
          <w:tcPr>
            <w:tcW w:w="13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39,290,000</w:t>
            </w:r>
          </w:p>
        </w:tc>
        <w:tc>
          <w:tcPr>
            <w:tcW w:w="1320" w:type="dxa"/>
            <w:vAlign w:val="bottom"/>
            <w:shd w:val="clear" w:color="auto" w:fill="E6EFFF"/>
          </w:tcPr>
          <w:p>
            <w:pPr>
              <w:spacing w:after="0"/>
              <w:rPr>
                <w:sz w:val="18"/>
                <w:szCs w:val="18"/>
                <w:color w:val="auto"/>
              </w:rPr>
            </w:pPr>
          </w:p>
        </w:tc>
        <w:tc>
          <w:tcPr>
            <w:tcW w:w="3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 w:lineRule="exact"/>
        <w:rPr>
          <w:sz w:val="20"/>
          <w:szCs w:val="20"/>
          <w:color w:val="auto"/>
        </w:rPr>
      </w:pPr>
    </w:p>
    <w:p>
      <w:pPr>
        <w:jc w:val="both"/>
        <w:ind w:left="54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ind w:left="560" w:hanging="352"/>
        <w:spacing w:after="0" w:line="230" w:lineRule="auto"/>
        <w:tabs>
          <w:tab w:leader="none" w:pos="5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540" w:right="2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2023 ATM Program and August 2023 Prospectus Supplement.</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milestone, being the receipt of Phase 2 data assessing durability of the effect of CYB003 at 12 weeks, is derived from the results of the Corporation’s Phase 1/2a study and, therefore, the Corporation has not allocated additional funds for this milestone.</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Q3/Q4 2023. The Corporation now expects to receive the topline data readout in Q1 2024, due to certain timing issues.</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2023. Due to the Corporation prioritizing the progression of its Deuterated Psilocybin Analog Program and Deuterated Dimethyltryptamine Program, it now expects to complete preclinical development of a phenethylamine drug candidate in Q1 2024.</w:t>
      </w:r>
    </w:p>
    <w:p>
      <w:pPr>
        <w:spacing w:after="0" w:line="2" w:lineRule="exact"/>
        <w:rPr>
          <w:rFonts w:ascii="Times New Roman" w:cs="Times New Roman" w:eastAsia="Times New Roman" w:hAnsi="Times New Roman"/>
          <w:sz w:val="22"/>
          <w:szCs w:val="22"/>
          <w:color w:val="auto"/>
        </w:rPr>
      </w:pPr>
    </w:p>
    <w:p>
      <w:pPr>
        <w:jc w:val="both"/>
        <w:ind w:left="540" w:hanging="332"/>
        <w:spacing w:after="0" w:line="234" w:lineRule="auto"/>
        <w:tabs>
          <w:tab w:leader="none" w:pos="5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ind w:left="32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As at December 21,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December 21, 2023 in the amount of approximately $39,290,000.</w:t>
      </w:r>
    </w:p>
    <w:p>
      <w:pPr>
        <w:sectPr>
          <w:pgSz w:w="11900" w:h="16838" w:orient="portrait"/>
          <w:cols w:equalWidth="0" w:num="1">
            <w:col w:w="10900"/>
          </w:cols>
          <w:pgMar w:left="660" w:top="360" w:right="339" w:bottom="1440" w:gutter="0" w:footer="0" w:header="0"/>
        </w:sectPr>
      </w:pP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168275</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type w:val="continuous"/>
        </w:sectPr>
      </w:pPr>
    </w:p>
    <w:bookmarkStart w:id="50" w:name="page51"/>
    <w:bookmarkEnd w:id="50"/>
    <w:p>
      <w:pPr>
        <w:jc w:val="both"/>
        <w:ind w:left="66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1"/>
          <w:szCs w:val="21"/>
          <w:i w:val="1"/>
          <w:iCs w:val="1"/>
          <w:color w:val="auto"/>
        </w:rPr>
        <w:t>“Risk Factors – Risks Related to an Offering - Negative Operating Cash Flow and Going Concern”.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as the second paragraph under the section titled “Auditors, Transfer Agent and Registrar”:</w:t>
      </w:r>
    </w:p>
    <w:p>
      <w:pPr>
        <w:spacing w:after="0" w:line="15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Small Pharma at the time they prepared the relevant financial statements incorporated by reference in this Prospectus or at any time thereafter.”</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August 17,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jc w:val="both"/>
        <w:spacing w:after="0" w:line="238" w:lineRule="auto"/>
        <w:rPr>
          <w:sz w:val="20"/>
          <w:szCs w:val="20"/>
          <w:color w:val="auto"/>
        </w:rPr>
      </w:pPr>
      <w:r>
        <w:rPr>
          <w:rFonts w:ascii="Times New Roman" w:cs="Times New Roman" w:eastAsia="Times New Roman" w:hAnsi="Times New Roman"/>
          <w:sz w:val="22"/>
          <w:szCs w:val="22"/>
          <w:i w:val="1"/>
          <w:iCs w:val="1"/>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87"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August 17, 2023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150495</wp:posOffset>
            </wp:positionV>
            <wp:extent cx="1405890" cy="8401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$160,000,000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3" w:name="page54"/>
    <w:bookmarkEnd w:id="53"/>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 Securities may be sold through underwriters or dealers, directly by the Corporation pursuant to applicable statutory exemptions, or through designated agents from time to time.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 at prices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NEO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 of Civil Liabilities"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317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51"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3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44"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both"/>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146050</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0000FF"/>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58" w:lineRule="exact"/>
        <w:rPr>
          <w:sz w:val="20"/>
          <w:szCs w:val="20"/>
          <w:color w:val="auto"/>
        </w:rPr>
      </w:pPr>
    </w:p>
    <w:p>
      <w:pPr>
        <w:jc w:val="center"/>
        <w:ind w:right="40"/>
        <w:spacing w:after="0" w:line="435" w:lineRule="auto"/>
        <w:rPr>
          <w:sz w:val="20"/>
          <w:szCs w:val="20"/>
          <w:color w:val="auto"/>
        </w:rPr>
      </w:pPr>
      <w:r>
        <w:rPr>
          <w:rFonts w:ascii="Times New Roman" w:cs="Times New Roman" w:eastAsia="Times New Roman" w:hAnsi="Times New Roman"/>
          <w:sz w:val="22"/>
          <w:szCs w:val="22"/>
          <w:color w:val="auto"/>
        </w:rPr>
        <w:t xml:space="preserve">In this Prospectus, unless stated otherwise or the context requires otherwise, all dollar amounts are expressed in Canadian dollars. </w:t>
      </w:r>
      <w:r>
        <w:rPr>
          <w:rFonts w:ascii="Times New Roman" w:cs="Times New Roman" w:eastAsia="Times New Roman" w:hAnsi="Times New Roman"/>
          <w:sz w:val="22"/>
          <w:szCs w:val="22"/>
          <w:b w:val="1"/>
          <w:bCs w:val="1"/>
          <w:color w:val="auto"/>
        </w:rPr>
        <w:t>CAUTIONARY NOTE REGARDING FORWARD-LOOKING INFORMATION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0" w:lineRule="exact"/>
        <w:rPr>
          <w:sz w:val="20"/>
          <w:szCs w:val="20"/>
          <w:color w:val="auto"/>
        </w:rPr>
      </w:pPr>
    </w:p>
    <w:p>
      <w:pPr>
        <w:ind w:left="660" w:hanging="328"/>
        <w:spacing w:after="0" w:line="241"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28"/>
        <w:spacing w:after="0" w:line="230"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hanging="328"/>
        <w:spacing w:after="0" w:line="230" w:lineRule="auto"/>
        <w:tabs>
          <w:tab w:leader="none" w:pos="6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0" w:name="page61"/>
    <w:bookmarkEnd w:id="60"/>
    <w:p>
      <w:pPr>
        <w:ind w:left="660" w:right="20" w:hanging="328"/>
        <w:spacing w:after="0" w:line="259" w:lineRule="auto"/>
        <w:tabs>
          <w:tab w:leader="none" w:pos="6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54" w:lineRule="exact"/>
        <w:rPr>
          <w:sz w:val="20"/>
          <w:szCs w:val="20"/>
          <w:color w:val="auto"/>
        </w:rPr>
      </w:pPr>
    </w:p>
    <w:p>
      <w:pPr>
        <w:ind w:left="660" w:hanging="396"/>
        <w:spacing w:after="0" w:line="262"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together with the auditor’s report thereon;</w:t>
      </w:r>
    </w:p>
    <w:p>
      <w:pPr>
        <w:spacing w:after="0" w:line="158" w:lineRule="exact"/>
        <w:rPr>
          <w:rFonts w:ascii="Times New Roman" w:cs="Times New Roman" w:eastAsia="Times New Roman" w:hAnsi="Times New Roman"/>
          <w:sz w:val="22"/>
          <w:szCs w:val="22"/>
          <w:color w:val="auto"/>
        </w:rPr>
      </w:pPr>
    </w:p>
    <w:p>
      <w:pPr>
        <w:ind w:left="680" w:hanging="416"/>
        <w:spacing w:after="0"/>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left="660" w:right="20" w:hanging="396"/>
        <w:spacing w:after="0" w:line="262"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2023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13, 2022 relating to an annual meeting of shareholders of the Corporation held on August 15, 2022;</w:t>
      </w:r>
    </w:p>
    <w:p>
      <w:pPr>
        <w:spacing w:after="0" w:line="158" w:lineRule="exact"/>
        <w:rPr>
          <w:rFonts w:ascii="Times New Roman" w:cs="Times New Roman" w:eastAsia="Times New Roman" w:hAnsi="Times New Roman"/>
          <w:sz w:val="22"/>
          <w:szCs w:val="22"/>
          <w:color w:val="auto"/>
        </w:rPr>
      </w:pPr>
    </w:p>
    <w:p>
      <w:pPr>
        <w:jc w:val="both"/>
        <w:ind w:left="660" w:hanging="396"/>
        <w:spacing w:after="0" w:line="238"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(the “</w:t>
      </w:r>
      <w:r>
        <w:rPr>
          <w:rFonts w:ascii="Times New Roman" w:cs="Times New Roman" w:eastAsia="Times New Roman" w:hAnsi="Times New Roman"/>
          <w:sz w:val="22"/>
          <w:szCs w:val="22"/>
          <w:b w:val="1"/>
          <w:bCs w:val="1"/>
          <w:color w:val="auto"/>
        </w:rPr>
        <w:t>May 2023 Prospectus Supplement</w:t>
      </w:r>
      <w:r>
        <w:rPr>
          <w:rFonts w:ascii="Times New Roman" w:cs="Times New Roman" w:eastAsia="Times New Roman" w:hAnsi="Times New Roman"/>
          <w:sz w:val="22"/>
          <w:szCs w:val="22"/>
          <w:color w:val="auto"/>
        </w:rPr>
        <w:t>”),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660" w:hanging="396"/>
        <w:spacing w:after="0" w:line="244" w:lineRule="auto"/>
        <w:tabs>
          <w:tab w:leader="none" w:pos="6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at a price of US$0.34 per Unit for gross proceeds of US$8,250,000 pursuant to a prospectus supplement dated August 1, 2023 to the 2021 Base Shelf Prospectus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of which this Prospectus forms a part. In addition, any other report on Form 6-K and the exhibits thereto filed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08" w:right="339" w:bottom="82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23" w:gutter="0" w:footer="0" w:header="0"/>
          <w:type w:val="continuous"/>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0000FF"/>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0000FF"/>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novel formulation approaches and treatment regimens.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21"/>
          <w:szCs w:val="21"/>
          <w:b w:val="1"/>
          <w:bCs w:val="1"/>
          <w:color w:val="auto"/>
        </w:rPr>
        <w:t>DMT</w:t>
      </w:r>
      <w:r>
        <w:rPr>
          <w:rFonts w:ascii="Times New Roman" w:cs="Times New Roman" w:eastAsia="Times New Roman" w:hAnsi="Times New Roman"/>
          <w:sz w:val="21"/>
          <w:szCs w:val="21"/>
          <w:color w:val="auto"/>
        </w:rPr>
        <w:t>"), CYB005, phenethylamine derivatives, and an expansive list of preclinical molecules to facilitate future drug development opportunities.</w:t>
      </w:r>
    </w:p>
    <w:p>
      <w:pPr>
        <w:spacing w:after="0" w:line="169" w:lineRule="exact"/>
        <w:rPr>
          <w:sz w:val="20"/>
          <w:szCs w:val="20"/>
          <w:color w:val="auto"/>
        </w:rPr>
      </w:pPr>
    </w:p>
    <w:p>
      <w:pPr>
        <w:jc w:val="both"/>
        <w:ind w:firstLine="54"/>
        <w:spacing w:after="0" w:line="258" w:lineRule="auto"/>
        <w:rPr>
          <w:sz w:val="20"/>
          <w:szCs w:val="20"/>
          <w:color w:val="auto"/>
        </w:rPr>
      </w:pPr>
      <w:r>
        <w:rPr>
          <w:rFonts w:ascii="Times New Roman" w:cs="Times New Roman" w:eastAsia="Times New Roman" w:hAnsi="Times New Roman"/>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 ("</w:t>
      </w:r>
      <w:r>
        <w:rPr>
          <w:rFonts w:ascii="Times New Roman" w:cs="Times New Roman" w:eastAsia="Times New Roman" w:hAnsi="Times New Roman"/>
          <w:sz w:val="22"/>
          <w:szCs w:val="22"/>
          <w:b w:val="1"/>
          <w:bCs w:val="1"/>
          <w:color w:val="auto"/>
        </w:rPr>
        <w:t>SC</w:t>
      </w:r>
      <w:r>
        <w:rPr>
          <w:rFonts w:ascii="Times New Roman" w:cs="Times New Roman" w:eastAsia="Times New Roman" w:hAnsi="Times New Roman"/>
          <w:sz w:val="22"/>
          <w:szCs w:val="22"/>
          <w:color w:val="auto"/>
        </w:rPr>
        <w:t>") administration.</w:t>
      </w:r>
      <w:r>
        <w:rPr>
          <w:rFonts w:ascii="Times New Roman" w:cs="Times New Roman" w:eastAsia="Times New Roman" w:hAnsi="Times New Roman"/>
          <w:sz w:val="35"/>
          <w:szCs w:val="35"/>
          <w:color w:val="auto"/>
          <w:vertAlign w:val="superscript"/>
        </w:rPr>
        <w:t>2</w:t>
      </w:r>
    </w:p>
    <w:p>
      <w:pPr>
        <w:spacing w:after="0" w:line="8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217" w:lineRule="auto"/>
        <w:tabs>
          <w:tab w:leader="none" w:pos="135"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18"/>
          <w:szCs w:val="18"/>
          <w:color w:val="auto"/>
        </w:rPr>
        <w:t xml:space="preserve"> See footnote 1.</w:t>
      </w:r>
    </w:p>
    <w:p>
      <w:pPr>
        <w:ind w:left="160" w:hanging="152"/>
        <w:spacing w:after="0" w:line="183" w:lineRule="auto"/>
        <w:tabs>
          <w:tab w:leader="none" w:pos="160" w:val="left"/>
        </w:tabs>
        <w:numPr>
          <w:ilvl w:val="0"/>
          <w:numId w:val="2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See footnote 1.</w:t>
      </w:r>
    </w:p>
    <w:p>
      <w:pPr>
        <w:spacing w:after="0" w:line="40" w:lineRule="exact"/>
        <w:rPr>
          <w:rFonts w:ascii="Times New Roman" w:cs="Times New Roman" w:eastAsia="Times New Roman" w:hAnsi="Times New Roman"/>
          <w:sz w:val="35"/>
          <w:szCs w:val="35"/>
          <w:color w:val="auto"/>
          <w:vertAlign w:val="superscript"/>
        </w:rPr>
      </w:pPr>
    </w:p>
    <w:p>
      <w:pPr>
        <w:spacing w:after="0" w:line="182"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See footnote 1</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206" w:lineRule="exact"/>
        <w:rPr>
          <w:sz w:val="20"/>
          <w:szCs w:val="20"/>
          <w:color w:val="auto"/>
        </w:rPr>
      </w:pPr>
    </w:p>
    <w:p>
      <w:pPr>
        <w:jc w:val="both"/>
        <w:ind w:left="1420" w:right="1080" w:hanging="278"/>
        <w:spacing w:after="0" w:line="241" w:lineRule="auto"/>
        <w:tabs>
          <w:tab w:leader="none" w:pos="145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Adelia Therapeutics Inc.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hold certain non-voting securities of Cybin U.S. issued in connection with the acquisition of Adelia on December 14, 2020 (the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For additional information in respect of the Adelia Transaction, please see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Information Form incorporated by reference in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jc w:val="both"/>
        <w:spacing w:after="0" w:line="233" w:lineRule="auto"/>
        <w:rPr>
          <w:sz w:val="20"/>
          <w:szCs w:val="20"/>
          <w:color w:val="auto"/>
        </w:rPr>
      </w:pPr>
      <w:r>
        <w:rPr>
          <w:rFonts w:ascii="Times New Roman" w:cs="Times New Roman" w:eastAsia="Times New Roman" w:hAnsi="Times New Roman"/>
          <w:sz w:val="22"/>
          <w:szCs w:val="22"/>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29, 2023, the Corporation announced the appointment of Aaron Bartlone as Chief Operating Officer, effective July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Mr. Bartlone has served as Chief Operating Officer of Cybin’s U.S. subsidiary, Cybin US Holdings, Inc., since March</w:t>
      </w:r>
    </w:p>
    <w:p>
      <w:pPr>
        <w:spacing w:after="0" w:line="230" w:lineRule="auto"/>
        <w:rPr>
          <w:sz w:val="20"/>
          <w:szCs w:val="20"/>
          <w:color w:val="auto"/>
        </w:rPr>
      </w:pPr>
      <w:r>
        <w:rPr>
          <w:rFonts w:ascii="Times New Roman" w:cs="Times New Roman" w:eastAsia="Times New Roman" w:hAnsi="Times New Roman"/>
          <w:sz w:val="22"/>
          <w:szCs w:val="22"/>
          <w:color w:val="auto"/>
        </w:rPr>
        <w:t>2021. Mr. Bartlone is a United States resident and currently holds 701,070 Common Shares and options exercisable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1,315,000 Common Shares.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5, 2023, the Corporation’s at-the-market equity program to issue and sell up to US$35,000,000 of Common Shares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 and treatment-resistant depression.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August 17, 2023, the Corporation announced that it has initiated preparations for good manufacturing practices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production of a capsule formulation of CYB003, its proprietary deuterated psilocybin analog in development for the potential treatment of MDD.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 This exemption allows the holder to possess and use the controlled substance without being subject to the restrictions set out in the CDSA.</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6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related to its Deuterated Psilocybin Analog Program upon</w:t>
      </w:r>
    </w:p>
    <w:p>
      <w:pPr>
        <w:spacing w:after="0" w:line="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completion of its pre-clinical studies and CMC development.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6" w:lineRule="auto"/>
        <w:tabs>
          <w:tab w:leader="none" w:pos="148"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2"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9" w:name="page70"/>
    <w:bookmarkEnd w:id="69"/>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controlled drugs legislation in the United Kingdom is the Misuse of Drugs Act 1971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previously disclosed that it intended to file a clinical trial application with the United Kingdom Medicines and Healthcare products Regulatory Agency (the "</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7</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193" w:lineRule="auto"/>
        <w:tabs>
          <w:tab w:leader="none" w:pos="166"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Times New Roman" w:cs="Times New Roman" w:eastAsia="Times New Roman" w:hAnsi="Times New Roman"/>
          <w:sz w:val="22"/>
          <w:szCs w:val="22"/>
          <w:i w:val="1"/>
          <w:iCs w:val="1"/>
          <w:color w:val="auto"/>
        </w:rPr>
        <w:t>Pharmaceutical Products</w:t>
      </w:r>
      <w:r>
        <w:rPr>
          <w:rFonts w:ascii="Times New Roman" w:cs="Times New Roman" w:eastAsia="Times New Roman" w:hAnsi="Times New Roman"/>
          <w:sz w:val="22"/>
          <w:szCs w:val="22"/>
          <w:color w:val="auto"/>
        </w:rPr>
        <w:t>", depending on how the API is developed, certain authorizations and licences from the MHRA may be required to authorize some of the activities carried on at the UK-based facilities in relation to the API.</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35"/>
          <w:szCs w:val="35"/>
          <w:color w:val="auto"/>
          <w:vertAlign w:val="superscript"/>
        </w:rPr>
        <w:t>8</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spacing w:after="0" w:line="1" w:lineRule="exact"/>
        <w:rPr>
          <w:sz w:val="20"/>
          <w:szCs w:val="20"/>
          <w:color w:val="auto"/>
        </w:rPr>
      </w:pPr>
    </w:p>
    <w:p>
      <w:pPr>
        <w:ind w:right="4540"/>
        <w:spacing w:after="0" w:line="306" w:lineRule="auto"/>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Pharmaceutical Products</w:t>
      </w:r>
    </w:p>
    <w:p>
      <w:pPr>
        <w:spacing w:after="0" w:line="1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2"/>
          <w:szCs w:val="22"/>
          <w:b w:val="1"/>
          <w:bCs w:val="1"/>
          <w:color w:val="auto"/>
        </w:rPr>
        <w:t>GDP</w:t>
      </w:r>
      <w:r>
        <w:rPr>
          <w:rFonts w:ascii="Times New Roman" w:cs="Times New Roman" w:eastAsia="Times New Roman" w:hAnsi="Times New Roman"/>
          <w:sz w:val="22"/>
          <w:szCs w:val="22"/>
          <w:color w:val="auto"/>
        </w:rPr>
        <w:t>")) and to hold a related licence from the MHRA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the API is subsequently processed will determine the licences that the UK-based facility must hold. In particular:</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if the API is just one 'ingredient' of the investigational medicinal product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Authorisations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-574675</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ind w:left="200" w:hanging="192"/>
        <w:spacing w:after="0" w:line="201" w:lineRule="auto"/>
        <w:tabs>
          <w:tab w:leader="none" w:pos="200"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Security guidance for all existing or prospective Home Office Controlled Drug Licensees and/or</w:t>
      </w:r>
    </w:p>
    <w:p>
      <w:pPr>
        <w:spacing w:after="0" w:line="1" w:lineRule="exact"/>
        <w:rPr>
          <w:rFonts w:ascii="Times New Roman" w:cs="Times New Roman" w:eastAsia="Times New Roman" w:hAnsi="Times New Roman"/>
          <w:sz w:val="36"/>
          <w:szCs w:val="36"/>
          <w:color w:val="auto"/>
          <w:vertAlign w:val="superscript"/>
        </w:rPr>
      </w:pPr>
    </w:p>
    <w:p>
      <w:pPr>
        <w:spacing w:after="0" w:line="23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Times New Roman" w:cs="Times New Roman" w:eastAsia="Times New Roman" w:hAnsi="Times New Roman"/>
          <w:sz w:val="31"/>
          <w:szCs w:val="31"/>
          <w:color w:val="auto"/>
          <w:vertAlign w:val="superscript"/>
        </w:rPr>
        <w:t>9</w:t>
      </w:r>
      <w:r>
        <w:rPr>
          <w:sz w:val="20"/>
          <w:szCs w:val="20"/>
          <w:color w:val="auto"/>
        </w:rPr>
        <w:tab/>
      </w:r>
      <w:r>
        <w:rPr>
          <w:rFonts w:ascii="Times New Roman" w:cs="Times New Roman" w:eastAsia="Times New Roman" w:hAnsi="Times New Roman"/>
          <w:sz w:val="19"/>
          <w:szCs w:val="19"/>
          <w:color w:val="auto"/>
        </w:rPr>
        <w:t>Home</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2"/>
          <w:szCs w:val="22"/>
          <w:color w:val="auto"/>
        </w:rPr>
        <w:t>guidance;</w:t>
      </w:r>
      <w:r>
        <w:rPr>
          <w:sz w:val="20"/>
          <w:szCs w:val="20"/>
          <w:color w:val="auto"/>
        </w:rPr>
        <w:tab/>
      </w:r>
      <w:r>
        <w:rPr>
          <w:rFonts w:ascii="Times New Roman" w:cs="Times New Roman" w:eastAsia="Times New Roman" w:hAnsi="Times New Roman"/>
          <w:sz w:val="22"/>
          <w:szCs w:val="22"/>
          <w:color w:val="auto"/>
        </w:rPr>
        <w:t>Guidelines</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Standard</w:t>
      </w:r>
      <w:r>
        <w:rPr>
          <w:sz w:val="20"/>
          <w:szCs w:val="20"/>
          <w:color w:val="auto"/>
        </w:rPr>
        <w:tab/>
      </w:r>
      <w:r>
        <w:rPr>
          <w:rFonts w:ascii="Times New Roman" w:cs="Times New Roman" w:eastAsia="Times New Roman" w:hAnsi="Times New Roman"/>
          <w:sz w:val="22"/>
          <w:szCs w:val="22"/>
          <w:color w:val="auto"/>
        </w:rPr>
        <w:t>Operating</w:t>
      </w:r>
      <w:r>
        <w:rPr>
          <w:sz w:val="20"/>
          <w:szCs w:val="20"/>
          <w:color w:val="auto"/>
        </w:rPr>
        <w:tab/>
      </w:r>
      <w:r>
        <w:rPr>
          <w:rFonts w:ascii="Times New Roman" w:cs="Times New Roman" w:eastAsia="Times New Roman" w:hAnsi="Times New Roman"/>
          <w:sz w:val="22"/>
          <w:szCs w:val="22"/>
          <w:color w:val="auto"/>
        </w:rPr>
        <w:t>Procedures</w:t>
      </w:r>
      <w:r>
        <w:rPr>
          <w:sz w:val="20"/>
          <w:szCs w:val="20"/>
          <w:color w:val="auto"/>
        </w:rPr>
        <w:tab/>
      </w:r>
      <w:r>
        <w:rPr>
          <w:rFonts w:ascii="Times New Roman" w:cs="Times New Roman" w:eastAsia="Times New Roman" w:hAnsi="Times New Roman"/>
          <w:sz w:val="21"/>
          <w:szCs w:val="21"/>
          <w:color w:val="auto"/>
        </w:rPr>
        <w:t>(SOPs);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https://assets.publishing.service.gov.uk/government/uploads/</w:t>
      </w:r>
    </w:p>
    <w:p>
      <w:pPr>
        <w:spacing w:after="0"/>
        <w:rPr>
          <w:sz w:val="20"/>
          <w:szCs w:val="20"/>
          <w:color w:val="auto"/>
        </w:rPr>
      </w:pPr>
      <w:r>
        <w:rPr>
          <w:rFonts w:ascii="Times New Roman" w:cs="Times New Roman" w:eastAsia="Times New Roman" w:hAnsi="Times New Roman"/>
          <w:sz w:val="22"/>
          <w:szCs w:val="22"/>
          <w:color w:val="auto"/>
        </w:rPr>
        <w:t>system/uploads/attachment_data/file/480572/StandardOpProcedure.pdf.</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1" w:name="page72"/>
    <w:bookmarkEnd w:id="71"/>
    <w:p>
      <w:pPr>
        <w:jc w:val="both"/>
        <w:spacing w:after="0"/>
        <w:rPr>
          <w:sz w:val="20"/>
          <w:szCs w:val="20"/>
          <w:color w:val="auto"/>
        </w:rPr>
      </w:pPr>
      <w:r>
        <w:rPr>
          <w:rFonts w:ascii="Times New Roman" w:cs="Times New Roman" w:eastAsia="Times New Roman" w:hAnsi="Times New Roman"/>
          <w:sz w:val="22"/>
          <w:szCs w:val="22"/>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w:t>
      </w:r>
      <w:r>
        <w:rPr>
          <w:rFonts w:ascii="Times New Roman" w:cs="Times New Roman" w:eastAsia="Times New Roman" w:hAnsi="Times New Roman"/>
          <w:sz w:val="22"/>
          <w:szCs w:val="22"/>
          <w:i w:val="1"/>
          <w:iCs w:val="1"/>
          <w:color w:val="auto"/>
        </w:rPr>
        <w:t>P. azurescens, P. semilanceata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 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Cybin has commenced research and development on the delivery of synthetic psilocybin and other psychedelics through mechanisms such as sublingual film delivery, IV, and by way of inhalation.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both"/>
        <w:ind w:left="660"/>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-92710</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2"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4" w:name="page75"/>
    <w:bookmarkEnd w:id="74"/>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United States, pharmaceutical manufacturers are subject to complex laws and regulations pertaining to healthcare "fraud and abuse," including, but not limited to, the Anti-Kickback Statute, the federal False Claims Act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both"/>
        <w:spacing w:after="0"/>
        <w:rPr>
          <w:sz w:val="20"/>
          <w:szCs w:val="20"/>
          <w:color w:val="auto"/>
        </w:rPr>
      </w:pPr>
      <w:r>
        <w:rPr>
          <w:rFonts w:ascii="Times New Roman" w:cs="Times New Roman" w:eastAsia="Times New Roman" w:hAnsi="Times New Roman"/>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Netherlands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both"/>
        <w:spacing w:after="0" w:line="236" w:lineRule="auto"/>
        <w:rPr>
          <w:sz w:val="20"/>
          <w:szCs w:val="20"/>
          <w:color w:val="auto"/>
        </w:rPr>
      </w:pPr>
      <w:r>
        <w:rPr>
          <w:rFonts w:ascii="Times New Roman" w:cs="Times New Roman" w:eastAsia="Times New Roman" w:hAnsi="Times New Roman"/>
          <w:sz w:val="22"/>
          <w:szCs w:val="22"/>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1" w:right="339" w:bottom="329"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329" w:gutter="0" w:footer="0" w:header="0"/>
          <w:type w:val="continuous"/>
        </w:sectPr>
      </w:pPr>
    </w:p>
    <w:bookmarkStart w:id="77" w:name="page78"/>
    <w:bookmarkEnd w:id="77"/>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both"/>
        <w:spacing w:after="0"/>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share and loan capitalization of the Corporation since the date of the Interim Financial Statements.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Completio</w:t>
            </w:r>
            <w:r>
              <w:rPr>
                <w:rFonts w:ascii="Times New Roman" w:cs="Times New Roman" w:eastAsia="Times New Roman" w:hAnsi="Times New Roman"/>
                <w:sz w:val="26"/>
                <w:szCs w:val="26"/>
                <w:b w:val="1"/>
                <w:bCs w:val="1"/>
                <w:color w:val="auto"/>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6"/>
        </w:trPr>
        <w:tc>
          <w:tcPr>
            <w:tcW w:w="6320" w:type="dxa"/>
            <w:vAlign w:val="bottom"/>
            <w:gridSpan w:val="3"/>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780" w:hanging="276"/>
        <w:spacing w:after="0" w:line="238" w:lineRule="auto"/>
        <w:tabs>
          <w:tab w:leader="none" w:pos="8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ATM Program and May 2023 Prospectus.</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0" w:lineRule="auto"/>
        <w:tabs>
          <w:tab w:leader="none" w:pos="8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4" w:lineRule="auto"/>
        <w:tabs>
          <w:tab w:leader="none" w:pos="82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approximate remaining spend as of June 30, 2023 of $76,000 by September 30, 2023.</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9" w:lineRule="auto"/>
        <w:tabs>
          <w:tab w:leader="none" w:pos="25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1" w:right="339" w:bottom="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146685</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jc w:val="both"/>
        <w:ind w:right="2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 Flow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Going Concern".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5" w:name="page86"/>
    <w:bookmarkEnd w:id="85"/>
    <w:p>
      <w:pPr>
        <w:ind w:left="660"/>
        <w:spacing w:after="0" w:line="259"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-280670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issue Debt Securities and incur additional indebtedness other than through the issue of Debt Securities pursuant to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1" w:right="339" w:bottom="86"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86" w:gutter="0" w:footer="0" w:header="0"/>
          <w:type w:val="continuous"/>
        </w:sectPr>
      </w:pPr>
    </w:p>
    <w:bookmarkStart w:id="86" w:name="page87"/>
    <w:bookmarkEnd w:id="86"/>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Ongoing Impact of the Novel Coronavirus "COVID-19"</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outbreak of COVID-19 and its eventual declaration as a pandemic by the World Health Organization ("</w:t>
      </w:r>
      <w:r>
        <w:rPr>
          <w:rFonts w:ascii="Times New Roman" w:cs="Times New Roman" w:eastAsia="Times New Roman" w:hAnsi="Times New Roman"/>
          <w:sz w:val="22"/>
          <w:szCs w:val="22"/>
          <w:b w:val="1"/>
          <w:bCs w:val="1"/>
          <w:color w:val="auto"/>
        </w:rPr>
        <w:t>WHO</w:t>
      </w:r>
      <w:r>
        <w:rPr>
          <w:rFonts w:ascii="Times New Roman" w:cs="Times New Roman" w:eastAsia="Times New Roman" w:hAnsi="Times New Roman"/>
          <w:sz w:val="22"/>
          <w:szCs w:val="22"/>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0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9" w:name="page90"/>
    <w:bookmarkEnd w:id="89"/>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 and Going Concern</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22"/>
          <w:szCs w:val="22"/>
          <w:i w:val="1"/>
          <w:iCs w:val="1"/>
          <w:color w:val="auto"/>
        </w:rPr>
        <w:t>"Risk Factors - Risks Related to the Offering - Potential Need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4180" w:firstLine="8"/>
        <w:spacing w:after="0" w:line="424" w:lineRule="auto"/>
        <w:tabs>
          <w:tab w:leader="none" w:pos="126" w:val="left"/>
        </w:tabs>
        <w:numPr>
          <w:ilvl w:val="0"/>
          <w:numId w:val="3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Negative Operating Cash Flow and Going Concern"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1" w:name="page92"/>
    <w:bookmarkEnd w:id="9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Neo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lowerLetter"/>
      <w:start w:val="2"/>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lowerRoman"/>
      <w:start w:val="4"/>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3"/>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3"/>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6"/>
      <w:numFmt w:val="bullet"/>
      <w:start w:val="1"/>
    </w:lvl>
  </w:abstractNum>
  <w:abstractNum w:abstractNumId="26">
    <w:nsid w:val="2901D82"/>
    <w:multiLevelType w:val="hybridMultilevel"/>
    <w:lvl w:ilvl="0">
      <w:lvlJc w:val="left"/>
      <w:lvlText w:val="7"/>
      <w:numFmt w:val="bullet"/>
      <w:start w:val="1"/>
    </w:lvl>
  </w:abstractNum>
  <w:abstractNum w:abstractNumId="27">
    <w:nsid w:val="3A95F874"/>
    <w:multiLevelType w:val="hybridMultilevel"/>
    <w:lvl w:ilvl="0">
      <w:lvlJc w:val="left"/>
      <w:lvlText w:val="8"/>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0"/>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2024-04-18T07:59:43Z</dcterms:created>
  <dcterms:modified xsi:type="dcterms:W3CDTF">2024-04-18T07:59:43Z</dcterms:modified>
</cp:coreProperties>
</file>