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File No. 333-289139</w:t>
      </w:r>
    </w:p>
    <w:p>
      <w:pPr>
        <w:spacing w:after="0" w:line="149"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September 17, 2025 to which it relates, as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 regulatory authority has expressed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SHORT FORM BASE SHELF PROSPECTUS DATED SEPTEMBER 17, 2025</w:t>
      </w:r>
    </w:p>
    <w:p>
      <w:pPr>
        <w:spacing w:after="0" w:line="162" w:lineRule="exact"/>
        <w:rPr>
          <w:sz w:val="24"/>
          <w:szCs w:val="24"/>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i w:val="1"/>
          <w:iCs w:val="1"/>
          <w:u w:val="single" w:color="auto"/>
          <w:color w:val="auto"/>
        </w:rPr>
        <w:t>New Issue</w:t>
      </w:r>
      <w:r>
        <w:rPr>
          <w:sz w:val="20"/>
          <w:szCs w:val="20"/>
          <w:color w:val="auto"/>
        </w:rPr>
        <w:tab/>
      </w:r>
      <w:r>
        <w:rPr>
          <w:rFonts w:ascii="Times New Roman" w:cs="Times New Roman" w:eastAsia="Times New Roman" w:hAnsi="Times New Roman"/>
          <w:sz w:val="17"/>
          <w:szCs w:val="17"/>
          <w:color w:val="auto"/>
        </w:rPr>
        <w:t>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395605</wp:posOffset>
            </wp:positionV>
            <wp:extent cx="1774190" cy="1037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635,887 Common Shares</w:t>
      </w:r>
    </w:p>
    <w:p>
      <w:pPr>
        <w:spacing w:after="0" w:line="16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This Prospectus Supplement to the Base Shelf Prospectus of Cybin Inc.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relates to: (i) up to 635,887 common shares of Cybin (the "</w:t>
      </w:r>
      <w:r>
        <w:rPr>
          <w:rFonts w:ascii="Times New Roman" w:cs="Times New Roman" w:eastAsia="Times New Roman" w:hAnsi="Times New Roman"/>
          <w:sz w:val="21"/>
          <w:szCs w:val="21"/>
          <w:b w:val="1"/>
          <w:bCs w:val="1"/>
          <w:color w:val="auto"/>
        </w:rPr>
        <w:t>Warrant Shares</w:t>
      </w:r>
      <w:r>
        <w:rPr>
          <w:rFonts w:ascii="Times New Roman" w:cs="Times New Roman" w:eastAsia="Times New Roman" w:hAnsi="Times New Roman"/>
          <w:sz w:val="21"/>
          <w:szCs w:val="21"/>
          <w:color w:val="auto"/>
        </w:rPr>
        <w:t>"), issuable from time to time upon the exercise of up to 24,163,706 common share purchase warrants (the "</w:t>
      </w:r>
      <w:r>
        <w:rPr>
          <w:rFonts w:ascii="Times New Roman" w:cs="Times New Roman" w:eastAsia="Times New Roman" w:hAnsi="Times New Roman"/>
          <w:sz w:val="21"/>
          <w:szCs w:val="21"/>
          <w:b w:val="1"/>
          <w:bCs w:val="1"/>
          <w:color w:val="auto"/>
        </w:rPr>
        <w:t>Warrants</w:t>
      </w:r>
      <w:r>
        <w:rPr>
          <w:rFonts w:ascii="Times New Roman" w:cs="Times New Roman" w:eastAsia="Times New Roman" w:hAnsi="Times New Roman"/>
          <w:sz w:val="21"/>
          <w:szCs w:val="21"/>
          <w:color w:val="auto"/>
        </w:rPr>
        <w:t>") issued by the Corporation pursuant to the Unit Offering (defined below); and</w:t>
      </w:r>
    </w:p>
    <w:p>
      <w:pPr>
        <w:spacing w:after="0" w:line="2" w:lineRule="exact"/>
        <w:rPr>
          <w:sz w:val="24"/>
          <w:szCs w:val="24"/>
          <w:color w:val="auto"/>
        </w:rPr>
      </w:pPr>
    </w:p>
    <w:p>
      <w:pPr>
        <w:jc w:val="both"/>
        <w:ind w:firstLine="8"/>
        <w:spacing w:after="0" w:line="235" w:lineRule="auto"/>
        <w:tabs>
          <w:tab w:leader="none" w:pos="34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indeterminate number of additional Warrant Shares (the "</w:t>
      </w:r>
      <w:r>
        <w:rPr>
          <w:rFonts w:ascii="Times New Roman" w:cs="Times New Roman" w:eastAsia="Times New Roman" w:hAnsi="Times New Roman"/>
          <w:sz w:val="22"/>
          <w:szCs w:val="22"/>
          <w:b w:val="1"/>
          <w:bCs w:val="1"/>
          <w:color w:val="auto"/>
        </w:rPr>
        <w:t>Anti-Dilution Warrant Shares</w:t>
      </w:r>
      <w:r>
        <w:rPr>
          <w:rFonts w:ascii="Times New Roman" w:cs="Times New Roman" w:eastAsia="Times New Roman" w:hAnsi="Times New Roman"/>
          <w:sz w:val="22"/>
          <w:szCs w:val="22"/>
          <w:color w:val="auto"/>
        </w:rPr>
        <w:t>") that may be issuable by reason of the anti-dilution provisions contained in the Warrant Indenture (as defined herein)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51"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Warrants were initially qualified for distribution by a preliminary prospectus supplement dated July 31, 2023 and a final prospectus supplement dated August 1, 2023 (the "</w:t>
      </w:r>
      <w:r>
        <w:rPr>
          <w:rFonts w:ascii="Times New Roman" w:cs="Times New Roman" w:eastAsia="Times New Roman" w:hAnsi="Times New Roman"/>
          <w:sz w:val="22"/>
          <w:szCs w:val="22"/>
          <w:b w:val="1"/>
          <w:bCs w:val="1"/>
          <w:color w:val="auto"/>
        </w:rPr>
        <w:t>Former Canadian Unit Supplement</w:t>
      </w:r>
      <w:r>
        <w:rPr>
          <w:rFonts w:ascii="Times New Roman" w:cs="Times New Roman" w:eastAsia="Times New Roman" w:hAnsi="Times New Roman"/>
          <w:sz w:val="22"/>
          <w:szCs w:val="22"/>
          <w:color w:val="auto"/>
        </w:rPr>
        <w:t>") to a short form base shelf prospectus dated July 5, 2021 (the "</w:t>
      </w:r>
      <w:r>
        <w:rPr>
          <w:rFonts w:ascii="Times New Roman" w:cs="Times New Roman" w:eastAsia="Times New Roman" w:hAnsi="Times New Roman"/>
          <w:sz w:val="22"/>
          <w:szCs w:val="22"/>
          <w:b w:val="1"/>
          <w:bCs w:val="1"/>
          <w:color w:val="auto"/>
        </w:rPr>
        <w:t>2021 Base Shelf</w:t>
      </w:r>
      <w:r>
        <w:rPr>
          <w:rFonts w:ascii="Times New Roman" w:cs="Times New Roman" w:eastAsia="Times New Roman" w:hAnsi="Times New Roman"/>
          <w:sz w:val="22"/>
          <w:szCs w:val="22"/>
          <w:color w:val="auto"/>
        </w:rPr>
        <w:t>"), filed with the securities commission or similar regulatory authority in each of the provinces of Canada, other than Québec, and, in connection therewith, a preliminary prospectus supplement dated July 31, 2023 and a final prospectus supplement dated August 1, 2023 (the "</w:t>
      </w:r>
      <w:r>
        <w:rPr>
          <w:rFonts w:ascii="Times New Roman" w:cs="Times New Roman" w:eastAsia="Times New Roman" w:hAnsi="Times New Roman"/>
          <w:sz w:val="22"/>
          <w:szCs w:val="22"/>
          <w:b w:val="1"/>
          <w:bCs w:val="1"/>
          <w:color w:val="auto"/>
        </w:rPr>
        <w:t>U.S. Previous Prospectus Supplement</w:t>
      </w:r>
      <w:r>
        <w:rPr>
          <w:rFonts w:ascii="Times New Roman" w:cs="Times New Roman" w:eastAsia="Times New Roman" w:hAnsi="Times New Roman"/>
          <w:sz w:val="22"/>
          <w:szCs w:val="22"/>
          <w:color w:val="auto"/>
        </w:rPr>
        <w:t>") to its effective registration statement on Form F-10 as amended, supplemented and/or filed pursuant to Rule 429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Prior Registration Statement</w:t>
      </w:r>
      <w:r>
        <w:rPr>
          <w:rFonts w:ascii="Times New Roman" w:cs="Times New Roman" w:eastAsia="Times New Roman" w:hAnsi="Times New Roman"/>
          <w:sz w:val="22"/>
          <w:szCs w:val="22"/>
          <w:color w:val="auto"/>
        </w:rPr>
        <w:t>")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in connection with the offering (the "</w:t>
      </w:r>
      <w:r>
        <w:rPr>
          <w:rFonts w:ascii="Times New Roman" w:cs="Times New Roman" w:eastAsia="Times New Roman" w:hAnsi="Times New Roman"/>
          <w:sz w:val="22"/>
          <w:szCs w:val="22"/>
          <w:b w:val="1"/>
          <w:bCs w:val="1"/>
          <w:color w:val="auto"/>
        </w:rPr>
        <w:t>Unit Offering</w:t>
      </w:r>
      <w:r>
        <w:rPr>
          <w:rFonts w:ascii="Times New Roman" w:cs="Times New Roman" w:eastAsia="Times New Roman" w:hAnsi="Times New Roman"/>
          <w:sz w:val="22"/>
          <w:szCs w:val="22"/>
          <w:color w:val="auto"/>
        </w:rPr>
        <w:t>") by the Corporation to the public in Canada and the United States of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of the Corporation at a price of US$0.34 per Unit, for aggregate gross proceeds of US$8,250,000. Each Unit was comprised of one common share of the Corporation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one Warrant.</w:t>
      </w:r>
    </w:p>
    <w:p>
      <w:pPr>
        <w:spacing w:after="0" w:line="143"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a prospectus supplement dated August 18, 2023 (the "</w:t>
      </w:r>
      <w:r>
        <w:rPr>
          <w:rFonts w:ascii="Times New Roman" w:cs="Times New Roman" w:eastAsia="Times New Roman" w:hAnsi="Times New Roman"/>
          <w:sz w:val="22"/>
          <w:szCs w:val="22"/>
          <w:b w:val="1"/>
          <w:bCs w:val="1"/>
          <w:color w:val="auto"/>
        </w:rPr>
        <w:t>2023 Warrant Share Prospectus Supplement</w:t>
      </w:r>
      <w:r>
        <w:rPr>
          <w:rFonts w:ascii="Times New Roman" w:cs="Times New Roman" w:eastAsia="Times New Roman" w:hAnsi="Times New Roman"/>
          <w:sz w:val="22"/>
          <w:szCs w:val="22"/>
          <w:color w:val="auto"/>
        </w:rPr>
        <w:t xml:space="preserve"> ") to its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2023 Base Prospectus</w:t>
      </w:r>
      <w:r>
        <w:rPr>
          <w:rFonts w:ascii="Times New Roman" w:cs="Times New Roman" w:eastAsia="Times New Roman" w:hAnsi="Times New Roman"/>
          <w:sz w:val="22"/>
          <w:szCs w:val="22"/>
          <w:color w:val="auto"/>
        </w:rPr>
        <w:t>") with the securities commission in the province of Ontario, and in connection therewith, filed a prospectus supplement dated August 18, 2023 to its registration statement on Form F-10 with the SEC relating to the Warrant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2023 Warrant Share Prospectus Supplement in order to maintain the registration of the Offering of the Warrant Shares under the U.S. Securities Act, beyond the expiry date of the 2023 Base Prospectus under Canadian rules.</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September 19, 2024, the outstanding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On a post-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Consolidation basis, each Warrant is exercisable to acquire one thirty-eighth (1/38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of a Warrant Share, subject to adjustment in certain circumstances, at an exercise price of US$15.20 (the "</w:t>
      </w:r>
      <w:r>
        <w:rPr>
          <w:rFonts w:ascii="Times New Roman" w:cs="Times New Roman" w:eastAsia="Times New Roman" w:hAnsi="Times New Roman"/>
          <w:sz w:val="22"/>
          <w:szCs w:val="22"/>
          <w:b w:val="1"/>
          <w:bCs w:val="1"/>
          <w:color w:val="auto"/>
        </w:rPr>
        <w:t>Warrant Exercise Price</w:t>
      </w:r>
      <w:r>
        <w:rPr>
          <w:rFonts w:ascii="Times New Roman" w:cs="Times New Roman" w:eastAsia="Times New Roman" w:hAnsi="Times New Roman"/>
          <w:sz w:val="22"/>
          <w:szCs w:val="22"/>
          <w:color w:val="auto"/>
        </w:rPr>
        <w:t>") at any time until 5:00 p.m. (Toronto time) on August 4, 2028 (the "</w:t>
      </w:r>
      <w:r>
        <w:rPr>
          <w:rFonts w:ascii="Times New Roman" w:cs="Times New Roman" w:eastAsia="Times New Roman" w:hAnsi="Times New Roman"/>
          <w:sz w:val="22"/>
          <w:szCs w:val="22"/>
          <w:b w:val="1"/>
          <w:bCs w:val="1"/>
          <w:color w:val="auto"/>
        </w:rPr>
        <w:t>Warrant Expiry Date</w:t>
      </w:r>
      <w:r>
        <w:rPr>
          <w:rFonts w:ascii="Times New Roman" w:cs="Times New Roman" w:eastAsia="Times New Roman" w:hAnsi="Times New Roman"/>
          <w:sz w:val="22"/>
          <w:szCs w:val="22"/>
          <w:color w:val="auto"/>
        </w:rPr>
        <w:t>"), being the date that is 60 months from the closing of the Unit Offering, subject to acceleration in certain circumstances. The Warrants were issued and are subject to the terms of a warrant indenture dated August 4, 2023 (the "</w:t>
      </w:r>
      <w:r>
        <w:rPr>
          <w:rFonts w:ascii="Times New Roman" w:cs="Times New Roman" w:eastAsia="Times New Roman" w:hAnsi="Times New Roman"/>
          <w:sz w:val="22"/>
          <w:szCs w:val="22"/>
          <w:b w:val="1"/>
          <w:bCs w:val="1"/>
          <w:color w:val="auto"/>
        </w:rPr>
        <w:t>Warrant Indenture</w:t>
      </w:r>
      <w:r>
        <w:rPr>
          <w:rFonts w:ascii="Times New Roman" w:cs="Times New Roman" w:eastAsia="Times New Roman" w:hAnsi="Times New Roman"/>
          <w:sz w:val="22"/>
          <w:szCs w:val="22"/>
          <w:color w:val="auto"/>
        </w:rPr>
        <w:t>") entered into between the Corporation and Odyssey Trust Company (the "</w:t>
      </w:r>
      <w:r>
        <w:rPr>
          <w:rFonts w:ascii="Times New Roman" w:cs="Times New Roman" w:eastAsia="Times New Roman" w:hAnsi="Times New Roman"/>
          <w:sz w:val="22"/>
          <w:szCs w:val="22"/>
          <w:b w:val="1"/>
          <w:bCs w:val="1"/>
          <w:color w:val="auto"/>
        </w:rPr>
        <w:t>Warrant Agent</w:t>
      </w:r>
      <w:r>
        <w:rPr>
          <w:rFonts w:ascii="Times New Roman" w:cs="Times New Roman" w:eastAsia="Times New Roman" w:hAnsi="Times New Roman"/>
          <w:sz w:val="22"/>
          <w:szCs w:val="22"/>
          <w:color w:val="auto"/>
        </w:rPr>
        <w:t>"). The Warrant Exercise Price was determined by negotiation between the Corporation and a syndicate of underwriters for the Unit Offering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Prospectus Supplement is filed pursuant to (i) the Base Shelf Prospectus filed in each of the provinces and territories of Canada, and (ii) the Base Shelf Prospectus as a part of the Corporation's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 The Registration Statement became automatically effective upon filing of the Amendment pursuant to Rule 467(a) of the U.S. Securities Act on September 17, 2025.</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September 16, 2025, the last trading day prior to the filing of this Prospectus Supplement, the closing prices of the Common Shares listed on CBOE Canada and the NYSE American were $8.32 and US$6.04, respectively. The Corporation has listed the Warrant Shares offered by this Prospectus Supplement on Cboe Canada and the NYSE American. The Warrants are not listed on Cboe Canada and the NYSE American. There is currently no market through which the Warrants may be sold and purchasers may not be able to resell the Warrants. This may affect the pricing of the securities in the secondary market, the transparency and availability of trading prices, the liquidity of the securities, and the extent of issuer regulation.</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Prospective investors should be aware that the acquisition of the Warrant Shares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Warrant Shares pursuant to this Offering. Investors should read the tax discussion in this Prospectus Supplement and consult their own tax advisors with respect to their own particular circumstances. See "</w:t>
      </w:r>
      <w:r>
        <w:rPr>
          <w:rFonts w:ascii="Times New Roman" w:cs="Times New Roman" w:eastAsia="Times New Roman" w:hAnsi="Times New Roman"/>
          <w:sz w:val="21"/>
          <w:szCs w:val="21"/>
          <w:b w:val="1"/>
          <w:bCs w:val="1"/>
          <w:i w:val="1"/>
          <w:iCs w:val="1"/>
          <w:color w:val="auto"/>
        </w:rPr>
        <w:t>Certain Canadian Federal Income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Tax Considerations</w:t>
      </w:r>
      <w:r>
        <w:rPr>
          <w:rFonts w:ascii="Times New Roman" w:cs="Times New Roman" w:eastAsia="Times New Roman" w:hAnsi="Times New Roman"/>
          <w:sz w:val="21"/>
          <w:szCs w:val="21"/>
          <w:b w:val="1"/>
          <w:bCs w:val="1"/>
          <w:color w:val="auto"/>
        </w:rPr>
        <w:t>", "</w:t>
      </w:r>
      <w:r>
        <w:rPr>
          <w:rFonts w:ascii="Times New Roman" w:cs="Times New Roman" w:eastAsia="Times New Roman" w:hAnsi="Times New Roman"/>
          <w:sz w:val="21"/>
          <w:szCs w:val="21"/>
          <w:b w:val="1"/>
          <w:bCs w:val="1"/>
          <w:i w:val="1"/>
          <w:iCs w:val="1"/>
          <w:color w:val="auto"/>
        </w:rPr>
        <w:t>Certain United States Federal Income Tax Considerations to U.S. Holders</w:t>
      </w:r>
      <w:r>
        <w:rPr>
          <w:rFonts w:ascii="Times New Roman" w:cs="Times New Roman" w:eastAsia="Times New Roman" w:hAnsi="Times New Roman"/>
          <w:sz w:val="21"/>
          <w:szCs w:val="21"/>
          <w:b w:val="1"/>
          <w:bCs w:val="1"/>
          <w:color w:val="auto"/>
        </w:rPr>
        <w:t>" and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is not making any offer of the Warrant Shares in any jurisdiction where the offer is not permitted by law.</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Warrant Shares is highly speculative and involves significant risks that investors should consider before purchasing such Warrant Shares. Investors should carefully review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section of this Prospectus Supplement, the Base Shelf Prospectus and the documents incorporated by reference herein and therein as well as the information under the heading "</w:t>
      </w:r>
      <w:r>
        <w:rPr>
          <w:rFonts w:ascii="Times New Roman" w:cs="Times New Roman" w:eastAsia="Times New Roman" w:hAnsi="Times New Roman"/>
          <w:sz w:val="22"/>
          <w:szCs w:val="22"/>
          <w:b w:val="1"/>
          <w:bCs w:val="1"/>
          <w:i w:val="1"/>
          <w:iCs w:val="1"/>
          <w:color w:val="auto"/>
        </w:rPr>
        <w:t>Cautionary Note Regarding Forward-Looking Information</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accompanying Base Shelf Prospectus, nor will be involved in these sales.</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Warrant Shares.</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Purchasers of Warrant Shares should be aware that the acquisition of Warrant Shares may have tax consequences both in the United States and in Canada. Such consequences for purchasers who are resident in, or citizens of, the United States or who are resident in Canada may not be described fully herein. Purchasers of Warrant Shares should read the tax discussion contained in this Prospectus Supplement and consult their own tax advisors. See </w:t>
      </w:r>
      <w:r>
        <w:rPr>
          <w:rFonts w:ascii="Times New Roman" w:cs="Times New Roman" w:eastAsia="Times New Roman" w:hAnsi="Times New Roman"/>
          <w:sz w:val="22"/>
          <w:szCs w:val="22"/>
          <w:b w:val="1"/>
          <w:bCs w:val="1"/>
          <w:i w:val="1"/>
          <w:iCs w:val="1"/>
          <w:color w:val="auto"/>
        </w:rPr>
        <w:t>"Certain Canadian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Tax Considerations" </w:t>
      </w:r>
      <w:r>
        <w:rPr>
          <w:rFonts w:ascii="Times New Roman" w:cs="Times New Roman" w:eastAsia="Times New Roman" w:hAnsi="Times New Roman"/>
          <w:sz w:val="22"/>
          <w:szCs w:val="22"/>
          <w:b w:val="1"/>
          <w:bCs w:val="1"/>
          <w:color w:val="auto"/>
        </w:rPr>
        <w:t>and</w:t>
      </w:r>
      <w:r>
        <w:rPr>
          <w:rFonts w:ascii="Times New Roman" w:cs="Times New Roman" w:eastAsia="Times New Roman" w:hAnsi="Times New Roman"/>
          <w:sz w:val="22"/>
          <w:szCs w:val="22"/>
          <w:b w:val="1"/>
          <w:bCs w:val="1"/>
          <w:i w:val="1"/>
          <w:iCs w:val="1"/>
          <w:color w:val="auto"/>
        </w:rPr>
        <w:t xml:space="preserve"> "Certain United States Federal Income Tax Considerations to U.S. Holders"</w:t>
      </w:r>
      <w:r>
        <w:rPr>
          <w:rFonts w:ascii="Times New Roman" w:cs="Times New Roman" w:eastAsia="Times New Roman" w:hAnsi="Times New Roman"/>
          <w:sz w:val="22"/>
          <w:szCs w:val="22"/>
          <w:b w:val="1"/>
          <w:bCs w:val="1"/>
          <w:color w:val="auto"/>
        </w:rPr>
        <w:t>.</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OR REGULATOR HAS APPROVED OR DISAPPROVED THE WARRANT SHARES NOR PASSED UPON THE ACCURACY OR ADEQUACY OF THE PROSPECTUS. ANY REPRESENTATION TO THE CONTRARY IS A CRIMINAL OFFENCE.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Warrant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00" w:type="dxa"/>
            <w:vAlign w:val="bottom"/>
            <w:gridSpan w:val="30"/>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980" w:type="dxa"/>
            <w:vAlign w:val="bottom"/>
            <w:gridSpan w:val="11"/>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CURRENCY AND EXCHANGE RATE INFORMATION</w:t>
            </w:r>
          </w:p>
        </w:tc>
        <w:tc>
          <w:tcPr>
            <w:tcW w:w="6660" w:type="dxa"/>
            <w:vAlign w:val="bottom"/>
            <w:gridSpan w:val="9"/>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60" w:type="dxa"/>
            <w:vAlign w:val="bottom"/>
            <w:gridSpan w:val="9"/>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40" w:type="dxa"/>
            <w:vAlign w:val="bottom"/>
            <w:tcBorders>
              <w:bottom w:val="single" w:sz="8" w:color="EEEEEE"/>
            </w:tcBorders>
            <w:gridSpan w:val="22"/>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760" w:type="dxa"/>
            <w:vAlign w:val="bottom"/>
            <w:tcBorders>
              <w:bottom w:val="single" w:sz="8" w:color="EEEEEE"/>
            </w:tcBorders>
            <w:gridSpan w:val="28"/>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 TO U.S. HOLDERS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10120" w:type="dxa"/>
            <w:vAlign w:val="bottom"/>
            <w:tcBorders>
              <w:bottom w:val="single" w:sz="8" w:color="EEEEEE"/>
            </w:tcBorders>
            <w:gridSpan w:val="29"/>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62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580" w:type="dxa"/>
            <w:vAlign w:val="bottom"/>
            <w:tcBorders>
              <w:top w:val="single" w:sz="8" w:color="EEEEEE"/>
            </w:tcBorders>
          </w:tcPr>
          <w:p>
            <w:pPr>
              <w:spacing w:after="0"/>
              <w:rPr>
                <w:sz w:val="21"/>
                <w:szCs w:val="21"/>
                <w:color w:val="auto"/>
              </w:rPr>
            </w:pPr>
          </w:p>
        </w:tc>
        <w:tc>
          <w:tcPr>
            <w:tcW w:w="800" w:type="dxa"/>
            <w:vAlign w:val="bottom"/>
            <w:tcBorders>
              <w:top w:val="single" w:sz="8" w:color="EEEEEE"/>
            </w:tcBorders>
          </w:tcPr>
          <w:p>
            <w:pPr>
              <w:spacing w:after="0"/>
              <w:rPr>
                <w:sz w:val="21"/>
                <w:szCs w:val="21"/>
                <w:color w:val="auto"/>
              </w:rPr>
            </w:pPr>
          </w:p>
        </w:tc>
        <w:tc>
          <w:tcPr>
            <w:tcW w:w="364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900" w:type="dxa"/>
            <w:vAlign w:val="bottom"/>
            <w:gridSpan w:val="30"/>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Base Shelf Prospectus</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20" w:type="dxa"/>
            <w:vAlign w:val="bottom"/>
            <w:gridSpan w:val="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GENERAL MATTERS</w:t>
            </w:r>
          </w:p>
        </w:tc>
        <w:tc>
          <w:tcPr>
            <w:tcW w:w="9180" w:type="dxa"/>
            <w:vAlign w:val="bottom"/>
            <w:gridSpan w:val="23"/>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7760" w:type="dxa"/>
            <w:vAlign w:val="bottom"/>
            <w:gridSpan w:val="13"/>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8240" w:type="dxa"/>
            <w:vAlign w:val="bottom"/>
            <w:gridSpan w:val="15"/>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380" w:type="dxa"/>
            <w:vAlign w:val="bottom"/>
            <w:gridSpan w:val="4"/>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5380" w:type="dxa"/>
            <w:vAlign w:val="bottom"/>
            <w:gridSpan w:val="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8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8720" w:type="dxa"/>
            <w:vAlign w:val="bottom"/>
            <w:gridSpan w:val="19"/>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tcBorders>
              <w:bottom w:val="single" w:sz="8" w:color="EEEEEE"/>
            </w:tcBorders>
            <w:gridSpan w:val="14"/>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380" w:type="dxa"/>
            <w:vAlign w:val="bottom"/>
            <w:tcBorders>
              <w:bottom w:val="single" w:sz="8" w:color="EEEEEE"/>
            </w:tcBorders>
            <w:gridSpan w:val="17"/>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6560" w:type="dxa"/>
            <w:vAlign w:val="bottom"/>
            <w:tcBorders>
              <w:bottom w:val="single" w:sz="8" w:color="EEEEEE"/>
            </w:tcBorders>
            <w:gridSpan w:val="8"/>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640" w:type="dxa"/>
            <w:vAlign w:val="bottom"/>
            <w:tcBorders>
              <w:bottom w:val="single" w:sz="8" w:color="EEEEEE"/>
            </w:tcBorders>
            <w:gridSpan w:val="27"/>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840" w:type="dxa"/>
            <w:vAlign w:val="bottom"/>
            <w:gridSpan w:val="10"/>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Warrant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Warrant Shares offered hereunder. Defined terms or abbreviations used in this Prospectus Supplement that are not defined herein have the meanings ascribed thereto in the Base Shelf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Warrant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September 17, 2025,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(File No. 333-289139), which was initially filed with the SEC, under the U.S. Securities Act on July 31, 2025, as amended on September 17, 2025, utilizing the MJDS. The Registration Statement became automatically effective upon filing of the Amendment pursuant to Rule 467(a) of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21"/>
          <w:szCs w:val="21"/>
          <w:i w:val="1"/>
          <w:iCs w:val="1"/>
          <w:color w:val="auto"/>
        </w:rPr>
        <w:t>"Use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Proceeds"</w:t>
      </w:r>
      <w:r>
        <w:rPr>
          <w:rFonts w:ascii="Times New Roman" w:cs="Times New Roman" w:eastAsia="Times New Roman" w:hAnsi="Times New Roman"/>
          <w:sz w:val="21"/>
          <w:szCs w:val="21"/>
          <w:color w:val="auto"/>
        </w:rPr>
        <w:t>; limited operating history; achieving publicly announced milestones; speculative nature of investment risk; early stage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Warrant Shares is highly speculative; negative operating cash flow; discretion in the use of proceeds; need for additional financing; potential dilution; trading market; significant sales of Common Shares; positive return not guaranteed; application and interpretation of tax laws; enforcement of civil liabilities; and the Corporation's expectation that it will be a "passive foreign investment company"; speculative nature of Warrants.</w:t>
      </w:r>
    </w:p>
    <w:p>
      <w:pPr>
        <w:spacing w:after="0" w:line="3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540" w:right="820"/>
        <w:spacing w:after="0" w:line="242" w:lineRule="auto"/>
        <w:rPr>
          <w:sz w:val="20"/>
          <w:szCs w:val="20"/>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740"/>
        <w:spacing w:after="0" w:line="230" w:lineRule="auto"/>
        <w:rPr>
          <w:sz w:val="20"/>
          <w:szCs w:val="20"/>
          <w:color w:val="auto"/>
        </w:rPr>
      </w:pPr>
      <w:r>
        <w:rPr>
          <w:rFonts w:ascii="Times New Roman" w:cs="Times New Roman" w:eastAsia="Times New Roman" w:hAnsi="Times New Roman"/>
          <w:sz w:val="22"/>
          <w:szCs w:val="22"/>
          <w:color w:val="auto"/>
        </w:rPr>
        <w:t>uncertainty as to the Corporation's ability to raise additional funding; the Corporation's ability to access additional funding; the fluctuation of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the risks associated with pandemics;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 reliance upon industry publications as the Corporation's primary sources for third-party industry data and forecasts; reliance on third parties to plan, conduct and monitor the Corporation's preclinical studies and clinical trials; reliance on third party contract manufacturers to deliver quality clinical and preclinical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7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79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30" w:lineRule="auto"/>
        <w:rPr>
          <w:sz w:val="20"/>
          <w:szCs w:val="20"/>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540"/>
        <w:spacing w:after="0" w:line="230" w:lineRule="auto"/>
        <w:rPr>
          <w:sz w:val="20"/>
          <w:szCs w:val="20"/>
          <w:color w:val="auto"/>
        </w:rPr>
      </w:pPr>
      <w:r>
        <w:rPr>
          <w:rFonts w:ascii="Times New Roman" w:cs="Times New Roman" w:eastAsia="Times New Roman" w:hAnsi="Times New Roman"/>
          <w:sz w:val="22"/>
          <w:szCs w:val="22"/>
          <w:color w:val="auto"/>
        </w:rPr>
        <w:t>the risks of delays and inability to complete clinical trials due to difficulties enrolling patients; competition from other biotechnology and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30" w:lineRule="auto"/>
        <w:rPr>
          <w:sz w:val="20"/>
          <w:szCs w:val="20"/>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the Corporation's ability to fully realize the benefits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40"/>
        <w:spacing w:after="0" w:line="230" w:lineRule="auto"/>
        <w:rPr>
          <w:sz w:val="20"/>
          <w:szCs w:val="20"/>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 the risk of patent-related or other litigation;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60"/>
        <w:spacing w:after="0" w:line="237" w:lineRule="auto"/>
        <w:rPr>
          <w:sz w:val="20"/>
          <w:szCs w:val="20"/>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and other jurisdictions in which the Corporation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are incorporated by reference in this Prospectus Supplement:</w:t>
      </w:r>
    </w:p>
    <w:p>
      <w:pPr>
        <w:spacing w:after="0" w:line="138" w:lineRule="exact"/>
        <w:rPr>
          <w:sz w:val="20"/>
          <w:szCs w:val="20"/>
          <w:color w:val="auto"/>
        </w:rPr>
      </w:pPr>
    </w:p>
    <w:p>
      <w:pPr>
        <w:ind w:left="660" w:right="20" w:hanging="436"/>
        <w:spacing w:after="0" w:line="262"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660" w:hanging="436"/>
        <w:spacing w:after="0" w:line="258"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680" w:hanging="456"/>
        <w:spacing w:after="0"/>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65" w:lineRule="exact"/>
        <w:rPr>
          <w:rFonts w:ascii="Times New Roman" w:cs="Times New Roman" w:eastAsia="Times New Roman" w:hAnsi="Times New Roman"/>
          <w:sz w:val="22"/>
          <w:szCs w:val="22"/>
          <w:color w:val="auto"/>
        </w:rPr>
      </w:pPr>
    </w:p>
    <w:p>
      <w:pPr>
        <w:ind w:left="660" w:hanging="436"/>
        <w:spacing w:after="0" w:line="258"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27" w:lineRule="exact"/>
        <w:rPr>
          <w:rFonts w:ascii="Times New Roman" w:cs="Times New Roman" w:eastAsia="Times New Roman" w:hAnsi="Times New Roman"/>
          <w:sz w:val="22"/>
          <w:szCs w:val="22"/>
          <w:color w:val="auto"/>
        </w:rPr>
      </w:pPr>
    </w:p>
    <w:p>
      <w:pPr>
        <w:ind w:left="660" w:right="20" w:hanging="436"/>
        <w:spacing w:after="0" w:line="262"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jc w:val="both"/>
        <w:ind w:left="660" w:hanging="436"/>
        <w:spacing w:after="0" w:line="241"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(the "</w:t>
      </w:r>
      <w:r>
        <w:rPr>
          <w:rFonts w:ascii="Times New Roman" w:cs="Times New Roman" w:eastAsia="Times New Roman" w:hAnsi="Times New Roman"/>
          <w:sz w:val="22"/>
          <w:szCs w:val="22"/>
          <w:b w:val="1"/>
          <w:bCs w:val="1"/>
          <w:color w:val="auto"/>
        </w:rPr>
        <w:t>June 2025 Private Placement</w:t>
      </w:r>
      <w:r>
        <w:rPr>
          <w:rFonts w:ascii="Times New Roman" w:cs="Times New Roman" w:eastAsia="Times New Roman" w:hAnsi="Times New Roman"/>
          <w:sz w:val="22"/>
          <w:szCs w:val="22"/>
          <w:color w:val="auto"/>
        </w:rPr>
        <w:t>") completed by the Corporation on June 30, 2025, of US$50,000,000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35" w:lineRule="exact"/>
        <w:rPr>
          <w:rFonts w:ascii="Times New Roman" w:cs="Times New Roman" w:eastAsia="Times New Roman" w:hAnsi="Times New Roman"/>
          <w:sz w:val="22"/>
          <w:szCs w:val="22"/>
          <w:color w:val="auto"/>
        </w:rPr>
      </w:pPr>
    </w:p>
    <w:p>
      <w:pPr>
        <w:ind w:left="680" w:hanging="456"/>
        <w:spacing w:after="0"/>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79" w:lineRule="exact"/>
        <w:rPr>
          <w:rFonts w:ascii="Times New Roman" w:cs="Times New Roman" w:eastAsia="Times New Roman" w:hAnsi="Times New Roman"/>
          <w:sz w:val="22"/>
          <w:szCs w:val="22"/>
          <w:color w:val="auto"/>
        </w:rPr>
      </w:pPr>
    </w:p>
    <w:p>
      <w:pPr>
        <w:ind w:left="660" w:right="20" w:hanging="436"/>
        <w:spacing w:after="0" w:line="258" w:lineRule="auto"/>
        <w:tabs>
          <w:tab w:leader="none" w:pos="68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-26670</wp:posOffset>
            </wp:positionV>
            <wp:extent cx="34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from the Corporation's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The Corporation's filings through SEDAR+ and EDGAR are not incorporated by reference in the Prospectus except as specifically set out herein.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and (iii) the consent of the Corporation's Canadian counsel, Aird &amp; Berlis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23"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4260" w:type="dxa"/>
            <w:vAlign w:val="bottom"/>
            <w:tcBorders>
              <w:bottom w:val="single" w:sz="8" w:color="E6EFFF"/>
            </w:tcBorders>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 2025</w:t>
            </w:r>
          </w:p>
        </w:tc>
      </w:tr>
      <w:tr>
        <w:trPr>
          <w:trHeight w:val="210"/>
        </w:trPr>
        <w:tc>
          <w:tcPr>
            <w:tcW w:w="426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C$1.4603</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C$1.3460</w:t>
            </w:r>
          </w:p>
        </w:tc>
      </w:tr>
      <w:tr>
        <w:trPr>
          <w:trHeight w:val="216"/>
        </w:trPr>
        <w:tc>
          <w:tcPr>
            <w:tcW w:w="426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4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C$1.3913</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C$1.4376</w:t>
            </w:r>
          </w:p>
        </w:tc>
      </w:tr>
    </w:tbl>
    <w:p>
      <w:pPr>
        <w:spacing w:after="0" w:line="14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On September 16, 2025, the daily average exchange rate posted by the Bank of Canada for conversion of U.S. dollars into Canadian dollars was US$1.00 = C$1.3748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Warrant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Warrant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Warrant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and tryptamine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20" w:lineRule="auto"/>
        <w:tabs>
          <w:tab w:leader="none" w:pos="164"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Cybin Corp. being the resulting entity. As a result of this amalgamation, Cybin UK Ltd is now a wholly-owned subsidiary of Cybin Corp.</w:t>
      </w:r>
    </w:p>
    <w:p>
      <w:pPr>
        <w:spacing w:after="0" w:line="1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100 granted patents and over 250 pending applications.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active pharmaceutical ingredients intended to be delivered through innovative drug</w:t>
      </w:r>
    </w:p>
    <w:p>
      <w:pPr>
        <w:spacing w:after="0"/>
        <w:rPr>
          <w:sz w:val="20"/>
          <w:szCs w:val="20"/>
          <w:color w:val="auto"/>
        </w:rPr>
      </w:pPr>
      <w:r>
        <w:rPr>
          <w:rFonts w:ascii="Times New Roman" w:cs="Times New Roman" w:eastAsia="Times New Roman" w:hAnsi="Times New Roman"/>
          <w:sz w:val="22"/>
          <w:szCs w:val="22"/>
          <w:color w:val="auto"/>
        </w:rPr>
        <w:t>delivery systems including via 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19"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and neurological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Annual Information Form and Interim MD&amp;A incorporated by reference into this Prospectus Supplement.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August 13, 2025, the date of the Corporation's most recently issued Interim Financial Statements and Interim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3571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57"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See footnote 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w:t>
      </w:r>
    </w:p>
    <w:p>
      <w:pPr>
        <w:spacing w:after="0" w:line="1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is authorized to issue an unlimited number of Common Shares and an unlimited number of preferred shares. As at September 16, 2025, the Corporation had 25,188,217 Common Shares and nil preferred shares issued and outstanding. On September 19, 2024, the Corporation completed the Consolidation whereby the outstanding Common Shares were consolidated on the basis of one new Common Share for every 38 existing Common Shares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571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77" w:lineRule="exact"/>
        <w:rPr>
          <w:sz w:val="20"/>
          <w:szCs w:val="20"/>
          <w:color w:val="auto"/>
        </w:rPr>
      </w:pPr>
    </w:p>
    <w:p>
      <w:pPr>
        <w:ind w:left="5480" w:right="5280" w:hanging="5472"/>
        <w:spacing w:after="0" w:line="296" w:lineRule="auto"/>
        <w:tabs>
          <w:tab w:leader="none" w:pos="158"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There is no assurance that this timeline will be met. See footnote 1.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line="236" w:lineRule="auto"/>
        <w:rPr>
          <w:sz w:val="20"/>
          <w:szCs w:val="20"/>
          <w:color w:val="auto"/>
        </w:rPr>
      </w:pPr>
      <w:r>
        <w:rPr>
          <w:rFonts w:ascii="Times New Roman" w:cs="Times New Roman" w:eastAsia="Times New Roman" w:hAnsi="Times New Roman"/>
          <w:sz w:val="22"/>
          <w:szCs w:val="22"/>
          <w:color w:val="auto"/>
        </w:rPr>
        <w:t>The Warrant Shares are Common Shares and therefore have all of the rights, privileges, restrictions and conditions of other Common Shares of the Corporation. 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will receive all proceeds of the Warrant Exercise Price per whole Warrant Share (after giving effect to the Consolidation) upon issuance of the Warrant Shares upon any exercise of the Warrants from time to time. Assuming that all of the Warrants are exercised prior to the Warrant Expiry Date for cash and that no adjustment based on anti-dilution provisions contained in the Warrant Indenture has taken place, the proceeds to the Corporation will be US$9,665,482.40. There is no assurance as to how many Warrants will be exercised, if any. Accordingly, there is no assurance as to how many Warrant Shares will be issued pursuant to this Prospectus Supplement, if any, or the proceeds of such offering. It is currently anticipated that the net proceeds received from the exercise of Warrants will be used for general corporate and working capital purposes.</w:t>
      </w:r>
    </w:p>
    <w:p>
      <w:pPr>
        <w:spacing w:after="0" w:line="1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use of the net proceeds is subject to change due to the influence of many evolving variables, including those as described under </w:t>
      </w:r>
      <w:r>
        <w:rPr>
          <w:rFonts w:ascii="Times New Roman" w:cs="Times New Roman" w:eastAsia="Times New Roman" w:hAnsi="Times New Roman"/>
          <w:sz w:val="22"/>
          <w:szCs w:val="22"/>
          <w:i w:val="1"/>
          <w:iCs w:val="1"/>
          <w:color w:val="auto"/>
        </w:rPr>
        <w:t>"Stage of Development - Non-Revenue Generating Projects"</w:t>
      </w:r>
      <w:r>
        <w:rPr>
          <w:rFonts w:ascii="Times New Roman" w:cs="Times New Roman" w:eastAsia="Times New Roman" w:hAnsi="Times New Roman"/>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22"/>
          <w:szCs w:val="22"/>
          <w:i w:val="1"/>
          <w:iCs w:val="1"/>
          <w:color w:val="auto"/>
        </w:rPr>
        <w:t>"Cautionary Statement Regarding Forward-Looking Statements"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22"/>
          <w:szCs w:val="22"/>
          <w:i w:val="1"/>
          <w:iCs w:val="1"/>
          <w:color w:val="auto"/>
        </w:rPr>
        <w:t>“Risk Factors – Risk Factors Related to the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Discretion in the Use of Proceeds”</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 Factors Related to the Offering - Negative Operating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Flow”.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Interim MD&amp;A, to which there has been no material changes since the date of the applicable document.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ind w:left="80" w:right="20"/>
        <w:spacing w:after="0" w:line="244" w:lineRule="auto"/>
        <w:rPr>
          <w:sz w:val="20"/>
          <w:szCs w:val="20"/>
          <w:color w:val="auto"/>
        </w:rPr>
      </w:pPr>
      <w:r>
        <w:rPr>
          <w:rFonts w:ascii="Times New Roman" w:cs="Times New Roman" w:eastAsia="Times New Roman" w:hAnsi="Times New Roman"/>
          <w:sz w:val="22"/>
          <w:szCs w:val="22"/>
          <w:color w:val="auto"/>
        </w:rPr>
        <w:t>As of September 16, 2025, the Corporation had 25,188,217 Common Shares issued and outstanding. 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Corporation's cash, indebtedness and shareholders' equity as of June 30, 2025: (a) on an actual basis; and (b) after giving effect to the Offering (assuming all Warrants are exercised prior to the Warrant Expiry Date for cash and that no adjustment based on anti-dilution provisions contained in the Warrant Indenture has taken place). This table should be read in conjunction with the Interim Financial Statements and Interim MD&amp;A. All figures in the table below related to securities are presented on a post-Consolidation basis.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Capital</w:t>
            </w:r>
            <w:r>
              <w:rPr>
                <w:rFonts w:ascii="Times New Roman" w:cs="Times New Roman" w:eastAsia="Times New Roman" w:hAnsi="Times New Roman"/>
                <w:sz w:val="29"/>
                <w:szCs w:val="29"/>
                <w:b w:val="1"/>
                <w:bCs w:val="1"/>
                <w:color w:val="auto"/>
                <w:vertAlign w:val="superscript"/>
              </w:rPr>
              <w:t>(1)</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at June 30, 2025, after</w:t>
            </w:r>
          </w:p>
        </w:tc>
        <w:tc>
          <w:tcPr>
            <w:tcW w:w="0" w:type="dxa"/>
            <w:vAlign w:val="bottom"/>
          </w:tcPr>
          <w:p>
            <w:pPr>
              <w:spacing w:after="0"/>
              <w:rPr>
                <w:sz w:val="1"/>
                <w:szCs w:val="1"/>
                <w:color w:val="auto"/>
              </w:rPr>
            </w:pPr>
          </w:p>
        </w:tc>
      </w:tr>
      <w:tr>
        <w:trPr>
          <w:trHeight w:val="238"/>
        </w:trPr>
        <w:tc>
          <w:tcPr>
            <w:tcW w:w="4160" w:type="dxa"/>
            <w:vAlign w:val="bottom"/>
            <w:gridSpan w:val="2"/>
            <w:vMerge w:val="continue"/>
          </w:tcPr>
          <w:p>
            <w:pPr>
              <w:spacing w:after="0"/>
              <w:rPr>
                <w:sz w:val="20"/>
                <w:szCs w:val="20"/>
                <w:color w:val="auto"/>
              </w:rPr>
            </w:pP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giving effect to the Offering</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E6EFFF"/>
            </w:tcBorders>
            <w:shd w:val="clear" w:color="auto" w:fill="E6EFFF"/>
          </w:tcPr>
          <w:p>
            <w:pPr>
              <w:spacing w:after="0"/>
              <w:rPr>
                <w:sz w:val="18"/>
                <w:szCs w:val="18"/>
                <w:color w:val="auto"/>
              </w:rPr>
            </w:pPr>
          </w:p>
        </w:tc>
        <w:tc>
          <w:tcPr>
            <w:tcW w:w="27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US$118,692,000</w:t>
            </w:r>
          </w:p>
        </w:tc>
        <w:tc>
          <w:tcPr>
            <w:tcW w:w="240" w:type="dxa"/>
            <w:vAlign w:val="bottom"/>
            <w:tcBorders>
              <w:top w:val="single" w:sz="8" w:color="E6EFFF"/>
            </w:tcBorders>
            <w:shd w:val="clear" w:color="auto" w:fill="E6EFFF"/>
          </w:tcPr>
          <w:p>
            <w:pPr>
              <w:spacing w:after="0"/>
              <w:rPr>
                <w:sz w:val="18"/>
                <w:szCs w:val="18"/>
                <w:color w:val="auto"/>
              </w:rPr>
            </w:pPr>
          </w:p>
        </w:tc>
        <w:tc>
          <w:tcPr>
            <w:tcW w:w="3000" w:type="dxa"/>
            <w:vAlign w:val="bottom"/>
            <w:tcBorders>
              <w:top w:val="single" w:sz="8" w:color="auto"/>
            </w:tcBorders>
            <w:shd w:val="clear" w:color="auto" w:fill="E6EFFF"/>
          </w:tcPr>
          <w:p>
            <w:pPr>
              <w:jc w:val="center"/>
              <w:ind w:right="30"/>
              <w:spacing w:after="0"/>
              <w:rPr>
                <w:sz w:val="20"/>
                <w:szCs w:val="20"/>
                <w:color w:val="auto"/>
              </w:rPr>
            </w:pPr>
            <w:r>
              <w:rPr>
                <w:rFonts w:ascii="Times New Roman" w:cs="Times New Roman" w:eastAsia="Times New Roman" w:hAnsi="Times New Roman"/>
                <w:sz w:val="18"/>
                <w:szCs w:val="18"/>
                <w:color w:val="auto"/>
                <w:w w:val="99"/>
              </w:rPr>
              <w:t>US$128,357,482.40</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Loans and Borrowings</w:t>
            </w: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Nil</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Nil</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Common Shares</w:t>
            </w:r>
          </w:p>
        </w:tc>
        <w:tc>
          <w:tcPr>
            <w:tcW w:w="27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23,023,631</w:t>
            </w:r>
          </w:p>
        </w:tc>
        <w:tc>
          <w:tcPr>
            <w:tcW w:w="240" w:type="dxa"/>
            <w:vAlign w:val="bottom"/>
            <w:shd w:val="clear" w:color="auto" w:fill="E6EFFF"/>
          </w:tcPr>
          <w:p>
            <w:pPr>
              <w:spacing w:after="0"/>
              <w:rPr>
                <w:sz w:val="18"/>
                <w:szCs w:val="18"/>
                <w:color w:val="auto"/>
              </w:rPr>
            </w:pPr>
          </w:p>
        </w:tc>
        <w:tc>
          <w:tcPr>
            <w:tcW w:w="300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23,659,518</w:t>
            </w:r>
          </w:p>
        </w:tc>
        <w:tc>
          <w:tcPr>
            <w:tcW w:w="0" w:type="dxa"/>
            <w:vAlign w:val="bottom"/>
          </w:tcPr>
          <w:p>
            <w:pPr>
              <w:spacing w:after="0"/>
              <w:rPr>
                <w:sz w:val="1"/>
                <w:szCs w:val="1"/>
                <w:color w:val="auto"/>
              </w:rPr>
            </w:pPr>
          </w:p>
        </w:tc>
      </w:tr>
      <w:tr>
        <w:trPr>
          <w:trHeight w:val="216"/>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3,945,916</w:t>
            </w:r>
          </w:p>
        </w:tc>
        <w:tc>
          <w:tcPr>
            <w:tcW w:w="240" w:type="dxa"/>
            <w:vAlign w:val="bottom"/>
          </w:tcPr>
          <w:p>
            <w:pPr>
              <w:spacing w:after="0"/>
              <w:rPr>
                <w:sz w:val="18"/>
                <w:szCs w:val="18"/>
                <w:color w:val="auto"/>
              </w:rPr>
            </w:pPr>
          </w:p>
        </w:tc>
        <w:tc>
          <w:tcPr>
            <w:tcW w:w="3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3,945,916</w:t>
            </w:r>
          </w:p>
        </w:tc>
        <w:tc>
          <w:tcPr>
            <w:tcW w:w="0" w:type="dxa"/>
            <w:vAlign w:val="bottom"/>
          </w:tcPr>
          <w:p>
            <w:pPr>
              <w:spacing w:after="0"/>
              <w:rPr>
                <w:sz w:val="1"/>
                <w:szCs w:val="1"/>
                <w:color w:val="auto"/>
              </w:rPr>
            </w:pPr>
          </w:p>
        </w:tc>
      </w:tr>
      <w:tr>
        <w:trPr>
          <w:trHeight w:val="257"/>
        </w:trPr>
        <w:tc>
          <w:tcPr>
            <w:tcW w:w="416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270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(2)</w:t>
            </w:r>
          </w:p>
        </w:tc>
        <w:tc>
          <w:tcPr>
            <w:tcW w:w="240" w:type="dxa"/>
            <w:vAlign w:val="bottom"/>
            <w:shd w:val="clear" w:color="auto" w:fill="E6EFFF"/>
          </w:tcPr>
          <w:p>
            <w:pPr>
              <w:spacing w:after="0"/>
              <w:rPr>
                <w:sz w:val="22"/>
                <w:szCs w:val="22"/>
                <w:color w:val="auto"/>
              </w:rPr>
            </w:pPr>
          </w:p>
        </w:tc>
        <w:tc>
          <w:tcPr>
            <w:tcW w:w="3000" w:type="dxa"/>
            <w:vAlign w:val="bottom"/>
            <w:shd w:val="clear" w:color="auto" w:fill="E6EFFF"/>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(2)</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70" w:lineRule="exact"/>
        <w:rPr>
          <w:sz w:val="20"/>
          <w:szCs w:val="20"/>
          <w:color w:val="auto"/>
        </w:rPr>
      </w:pPr>
    </w:p>
    <w:p>
      <w:pPr>
        <w:ind w:left="700" w:hanging="476"/>
        <w:spacing w:after="0"/>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table does not give effect to issuances of Common Shares or other securities that occurred after June 30, 2025.</w:t>
      </w:r>
    </w:p>
    <w:p>
      <w:pPr>
        <w:spacing w:after="0" w:line="14"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relates to: (i) up to 635,887 Warrant Shares, issuable from time to time upon the exercise of up to 24,163,706 Warrants expected to be issued by the Corporation pursuant to the Offering; and (ii) such indeterminate number of Anti-Dilution Warrant Shares that may be issuable by reason of the anti-dilution provisions contained in the Warrant Indenture.</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Warrants will be governed by the terms of the Warrant Indenture. The following summary of certain anticipated provisions of the Warrant Indenture does not purport to be complete and is subject in its entirety to the detailed provisions of the Warrant Indenture. Reference is made to the Warrant Indenture for the full text of the attributes of the Warrants which will be filed by the Corporation under its corporate profile on SEDAR+ following the closing of the Offering. A register of holders will be maintained at the principal offices of the Warrant Agent in Calgary, Alberta, and is the location at which Warrants may be surrendered for exercise or transfer.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spacing w:after="0" w:line="231" w:lineRule="auto"/>
        <w:rPr>
          <w:sz w:val="20"/>
          <w:szCs w:val="20"/>
          <w:color w:val="auto"/>
        </w:rPr>
      </w:pPr>
      <w:r>
        <w:rPr>
          <w:rFonts w:ascii="Times New Roman" w:cs="Times New Roman" w:eastAsia="Times New Roman" w:hAnsi="Times New Roman"/>
          <w:sz w:val="21"/>
          <w:szCs w:val="21"/>
          <w:color w:val="auto"/>
        </w:rPr>
        <w:t>Each Warrant will entitle the holder thereof to acquire, subject to adjustment in certain circumstances, one thirty-eighth (1/38</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of a Warrant Share at the Warrant Exercise Price per whole Warrant Share (after giving effect to the Consolidation) until the Warrant Expiry Date. In the event the closing price of the Common Shares on Cboe Canada at any time prior to the Warrant Expiry Date is greater than an amount equal to $49.40 for a period of five (5) consecutive trading days, the Corporation shall have the right, but not the obligation, to accelerate the Warrant Expiry Date of the Warrants to the date that is thirty (30) days following the delivery of a notice to the holders of the Warrants, pursuant to the terms of the Warrant Indenture.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Warrant Indenture provides for adjustment in the number of Warrant Shares issuable upon the exercise of the Warrants and/or the exercise price per Warrant Share upon the occurrence of certain events, including:</w:t>
      </w:r>
    </w:p>
    <w:p>
      <w:pPr>
        <w:spacing w:after="0" w:line="131" w:lineRule="exact"/>
        <w:rPr>
          <w:sz w:val="20"/>
          <w:szCs w:val="20"/>
          <w:color w:val="auto"/>
        </w:rPr>
      </w:pPr>
    </w:p>
    <w:p>
      <w:pPr>
        <w:jc w:val="both"/>
        <w:ind w:left="660" w:hanging="436"/>
        <w:spacing w:after="0" w:line="244" w:lineRule="auto"/>
        <w:tabs>
          <w:tab w:leader="none" w:pos="6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or securities exchangeable for or convertible into Common Shares to all or substantially all of the holders of the Common Shares as a stock dividend or other distribution (other than a distribution of Common Shares upon the exercise of Warrants);</w:t>
      </w:r>
    </w:p>
    <w:p>
      <w:pPr>
        <w:spacing w:after="0" w:line="132"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subdivision, redivision or change of the Common Shares into a greater number of shares;</w:t>
      </w:r>
    </w:p>
    <w:p>
      <w:pPr>
        <w:spacing w:after="0" w:line="165"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reduction, combination or consolidation of the Common Shares into a lesser number of shares;</w:t>
      </w:r>
    </w:p>
    <w:p>
      <w:pPr>
        <w:spacing w:after="0" w:line="179" w:lineRule="exact"/>
        <w:rPr>
          <w:rFonts w:ascii="Times New Roman" w:cs="Times New Roman" w:eastAsia="Times New Roman" w:hAnsi="Times New Roman"/>
          <w:sz w:val="22"/>
          <w:szCs w:val="22"/>
          <w:color w:val="auto"/>
        </w:rPr>
      </w:pPr>
    </w:p>
    <w:p>
      <w:pPr>
        <w:jc w:val="both"/>
        <w:ind w:left="660" w:hanging="436"/>
        <w:spacing w:after="0" w:line="238" w:lineRule="auto"/>
        <w:tabs>
          <w:tab w:leader="none" w:pos="71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to all or substantially all of the holders of the Common Shares of rights, options or warrants under which such holders are entitled, during a period expiring not more than 45 days after the record date for such issuance, to subscribe for or purchase Common Shares, or securities exchangeable for or convertible into Common Shares, at a price per share to the holder (or at an exchange or conversion price per share) of less than 95% of the "current market price", as defined in the Warrant Indenture, for the Common Shares on such record date; and</w:t>
      </w:r>
    </w:p>
    <w:p>
      <w:pPr>
        <w:spacing w:after="0" w:line="136" w:lineRule="exact"/>
        <w:rPr>
          <w:rFonts w:ascii="Times New Roman" w:cs="Times New Roman" w:eastAsia="Times New Roman" w:hAnsi="Times New Roman"/>
          <w:sz w:val="22"/>
          <w:szCs w:val="22"/>
          <w:color w:val="auto"/>
        </w:rPr>
      </w:pPr>
    </w:p>
    <w:p>
      <w:pPr>
        <w:jc w:val="both"/>
        <w:ind w:left="660" w:hanging="436"/>
        <w:spacing w:after="0" w:line="244" w:lineRule="auto"/>
        <w:tabs>
          <w:tab w:leader="none" w:pos="6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or distribution to all or substantially all of the holders of the Common Shares of shares of any class other than the Common Shares, rights, options or warrants to acquire Common Shares or securities exchangeable or convertible into Common Shares, of evidences of indebtedness, or any property or other assets.</w:t>
      </w:r>
    </w:p>
    <w:p>
      <w:pPr>
        <w:spacing w:after="0" w:line="1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Warrant Indenture also provides for adjustments in the class and/or number of securities issuable upon exercise of the Warrants and/or exercise price per security in the event of the following additional events: (a) a reclassification of the Common Shares or any compulsory share exchange pursuant to which the Common Shares are effectively converted into or exchanged for other securities, cash or property (other than a share reorganization), (b) a consolidation, amalgamation, arrangement or merger of the Corporation with or into any other corporation or other entity, in which the Corporation is not the surviving entity or the shareholders of the Corporation immediately prior to such consolidation, amalgamation, arrangement or merger do not own, directly or indirectly, at least 50% of the voting power of the surviving entity immediately after such consolidation, amalgamation, arrangement or merger, or (c) a transfer of the undertaking or assets of the Corporation as an entirety or substantially as an entirety to or with another person (other than to a subsidiary) (each, a "</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in certain circumstances, in the event of a Fundamental Transaction, the holder may, subject to certain conditions including Cboe Canada's prior written approval in certain circumstances, require the Corporation or a successor company to purchase the Warrants from the holder by paying to the holder an amount of cash equal to the Black-Scholes value of the remaining unexercised portion of the Warrant on the date of consummation of such Fundamental Transaction; provided, however, that, if the Fundamental Transaction is not within the Corporation's control, including not approved by the Corporation's board of directors, the holder will only be entitled to receive from the Corporation or any successor company, as of the date of consummation of such Fundamental Transaction, the same type or form of consideration (and in the same proportion), at the Black-Scholes value of the unexercised portion of the Warrant, that is being offered and paid to the shareholders of the Corporation in connection with the Fundamental Transaction, whether that consideration is in the form of securities, cash, other property or any combination thereof, or whether the shareholders are given the choice to receive from among alternative forms of consideration in connection with the Fundamental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spacing w:after="0"/>
        <w:rPr>
          <w:sz w:val="20"/>
          <w:szCs w:val="20"/>
          <w:color w:val="auto"/>
        </w:rPr>
      </w:pPr>
      <w:r>
        <w:rPr>
          <w:rFonts w:ascii="Times New Roman" w:cs="Times New Roman" w:eastAsia="Times New Roman" w:hAnsi="Times New Roman"/>
          <w:sz w:val="22"/>
          <w:szCs w:val="22"/>
          <w:color w:val="auto"/>
        </w:rPr>
        <w:t>The Corporation also covenants in the Warrant Indenture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14 days prior to the record date or effective date, as the case may be, of such events.</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 fractional Common Shares will be issuable to any holder of Warrants upon the exercise thereof, and no cash or other consideration will be paid in lieu of fractional shares. The holding of Warrants will not make the holder thereof a shareholder of the Corporation or entitle such holder to any right or interest in respect of the Warrants except as expressly provided in the Warrant Indenture. Holders of Warrants will not have any voting or pre-emptive rights or any other rights of a holder of Common Shares.</w:t>
      </w:r>
    </w:p>
    <w:p>
      <w:pPr>
        <w:spacing w:after="0" w:line="1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Warrant Indenture provides that, from time to time, the Warrant Agent and the Corporation, without the consent of the holders of Warrants, may be able to amend or supplement the Warrant Indenture for certain purposes, including rectifying any ambiguities, defective provisions, clerical omissions or mistakes, or other errors contained in the Warrant Indenture or in any deed or indenture supplemental or ancillary to the Warrant Indenture, provided that, in the opinion of the Warrant Agent, relying on counsel, the rights of the holders of Warrants are not prejudiced, as a group. Any amendment or supplement to the Warrant Indenture that is prejudicial to the interests of the holders of Warrants, as a group, will be subject to approval by an "Extraordinary Resolution", which will be defined in the Warrant Indenture as a resolution either: (i) passed at a meeting of the holders of Warrants at which there are holders of Warrants present in person or represented by proxy representing at least 20% of the aggregate number of the then outstanding Warrants and passed by the affirmative vote of holders of Warrants representing not less than 66 2/3% of the aggregate number of all the then outstanding Warrants represented at the meeting; or (ii) adopted by an instrument in writing signed by the holders of Warrants representing not less than 66 2/3% of the number of all of the then outstanding Warrants.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Warrants will not be listed for trading on any stock exchange or market quotation system.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filed the 2023 Warrant Share Prospectus Supplement to the 2023 Base Prospectus on August 18, 2023, with the securities commission in the province of Ontario, and, in connection therewith, filed a prospectus supplement dated August 18, 2023 to its registration statement on Form F-10 with the SEC relating to the Warrant Shares.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2023 Warrant Share Prospectus Supplement in order to maintain the registration of the Offering of the Warrant Shares under the U.S. Securities Act, beyond the expiry date of the 2023 Base Prospectus under Canadian rules.</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Warrants were initially qualified for distribution by the Former Canadian Unit Supplement to the 2021 Base Shelf, filed with the securities commission or similar regulatory authority in each of the provinces of Canada, other than Québec, and, in connection therewith, the U.S. Previous Prospectus Supplement to its Prior Registration Statement filed with the SEC in connection with the Unit Offering, pursuant to which the Corporation qualified the distribution of 24,264,706 Units at a price of US$0.34 per Unit pursuant to the terms of the underwriting agreement entered into between the Corporation and the Underwriters on August 1, 2023. The Unit Offering was completed on August 4, 2023. The Warrant Exercise Price was determined by negotiation between the Corporation and the Underwriters.</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listed the Warrant Shares offered by this Prospectus Supplement on Cboe Canada and the NYSE American. The Warrants are not listed on Cboe Canada or the NYSE American. There is currently no market through which the Warrants may be sold and purchasers may not be able to resell the Warrants purchased under the Offering. This may affect the pricing of the securities in the secondary market, the transparency and availability of trading prices, the liquidity of the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This Prospectus Supplement registers the offering of the securities to which it relates under the U.S. Securities Act in accordance with the MJDS. This Prospectus Supplement does not qualify in any of the provinces or territories of Canada the distribution of the Warrant Shares to which it relates. The Warrant Shares to which this Prospectus Supplement relates will be sold directly by the Corporation to holders of Warrants upon any exercise of such Warrants. No underwriters, dealers or agents have been involved in the preparation of this Prospectus Supplement or the Base Shelf Prospectus, nor will be involved in these sales.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Cboe Canada and the NYSE American under the symbol "CYBN". The following table sets forth the reported monthly range of high and low prices per Common Share and total monthly volumes traded on Cboe Canada and the NYSE American for each of the months indicated during the 12-month period prior to the date of this Prospectus Supplement.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Cboe Canada Price Range</w:t>
            </w: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73"/>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4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September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14.43</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9.25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622,414</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October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15.95</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3"/>
              </w:rPr>
              <w:t>11.25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234,904</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19.46</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658,562</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December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12.25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272,739</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January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rPr>
              <w:t>12.45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204,121</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February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3"/>
              </w:rPr>
              <w:t>11.15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302,579</w:t>
            </w:r>
          </w:p>
        </w:tc>
      </w:tr>
      <w:tr>
        <w:trPr>
          <w:trHeight w:val="216"/>
        </w:trPr>
        <w:tc>
          <w:tcPr>
            <w:tcW w:w="152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8.91</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174,695</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2025</w:t>
            </w:r>
          </w:p>
        </w:tc>
        <w:tc>
          <w:tcPr>
            <w:tcW w:w="23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6.95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223,736</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May 2025</w:t>
            </w:r>
          </w:p>
        </w:tc>
        <w:tc>
          <w:tcPr>
            <w:tcW w:w="2340" w:type="dxa"/>
            <w:vAlign w:val="bottom"/>
            <w:shd w:val="clear" w:color="auto" w:fill="E6EFFF"/>
          </w:tcPr>
          <w:p>
            <w:pPr>
              <w:jc w:val="right"/>
              <w:ind w:right="890"/>
              <w:spacing w:after="0"/>
              <w:rPr>
                <w:sz w:val="20"/>
                <w:szCs w:val="20"/>
                <w:color w:val="auto"/>
              </w:rPr>
            </w:pPr>
            <w:r>
              <w:rPr>
                <w:rFonts w:ascii="Times New Roman" w:cs="Times New Roman" w:eastAsia="Times New Roman" w:hAnsi="Times New Roman"/>
                <w:sz w:val="18"/>
                <w:szCs w:val="18"/>
                <w:color w:val="auto"/>
              </w:rPr>
              <w:t>11.74</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8.40</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217,266</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June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12.56</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9.85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189,178</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July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12.18</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9.98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261,253</w:t>
            </w:r>
          </w:p>
        </w:tc>
      </w:tr>
      <w:tr>
        <w:trPr>
          <w:trHeight w:val="216"/>
        </w:trPr>
        <w:tc>
          <w:tcPr>
            <w:tcW w:w="3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August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5"/>
              </w:rPr>
              <w:t>8.80</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229,553</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(1-16)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10.33</w:t>
            </w:r>
          </w:p>
        </w:tc>
        <w:tc>
          <w:tcPr>
            <w:tcW w:w="4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660" w:type="dxa"/>
            <w:vAlign w:val="bottom"/>
            <w:shd w:val="clear" w:color="auto" w:fill="E6EFFF"/>
          </w:tcPr>
          <w:p>
            <w:pPr>
              <w:jc w:val="center"/>
              <w:ind w:right="590"/>
              <w:spacing w:after="0"/>
              <w:rPr>
                <w:sz w:val="20"/>
                <w:szCs w:val="20"/>
                <w:color w:val="auto"/>
              </w:rPr>
            </w:pPr>
            <w:r>
              <w:rPr>
                <w:rFonts w:ascii="Times New Roman" w:cs="Times New Roman" w:eastAsia="Times New Roman" w:hAnsi="Times New Roman"/>
                <w:sz w:val="18"/>
                <w:szCs w:val="18"/>
                <w:color w:val="auto"/>
                <w:w w:val="95"/>
              </w:rPr>
              <w:t>8.04</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251,663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40" w:hanging="432"/>
        <w:spacing w:after="0" w:line="237" w:lineRule="auto"/>
        <w:tabs>
          <w:tab w:leader="none" w:pos="47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Cboe Canada was C$8.32.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460" w:type="dxa"/>
            <w:vAlign w:val="bottom"/>
          </w:tcPr>
          <w:p>
            <w:pPr>
              <w:spacing w:after="0"/>
              <w:rPr>
                <w:sz w:val="20"/>
                <w:szCs w:val="20"/>
                <w:color w:val="auto"/>
              </w:rPr>
            </w:pPr>
          </w:p>
        </w:tc>
      </w:tr>
      <w:tr>
        <w:trPr>
          <w:trHeight w:val="472"/>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1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6.20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July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7.26</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September (1-16)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8,649,057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40" w:right="20" w:hanging="432"/>
        <w:spacing w:after="0" w:line="237" w:lineRule="auto"/>
        <w:tabs>
          <w:tab w:leader="none" w:pos="4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the NYSE American was US$6.04.</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 Principal</w:t>
            </w: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0"/>
        </w:trPr>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Issuance / Exercise / Conversion</w:t>
            </w:r>
          </w:p>
        </w:tc>
      </w:tr>
      <w:tr>
        <w:trPr>
          <w:trHeight w:val="275"/>
        </w:trPr>
        <w:tc>
          <w:tcPr>
            <w:tcW w:w="28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Date of Issuance</w:t>
            </w:r>
          </w:p>
        </w:tc>
        <w:tc>
          <w:tcPr>
            <w:tcW w:w="2880" w:type="dxa"/>
            <w:vAlign w:val="bottom"/>
            <w:gridSpan w:val="2"/>
          </w:tcPr>
          <w:p>
            <w:pPr>
              <w:jc w:val="center"/>
              <w:ind w:right="4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640" w:type="dxa"/>
            <w:vAlign w:val="bottom"/>
          </w:tcPr>
          <w:p>
            <w:pPr>
              <w:jc w:val="right"/>
              <w:ind w:right="30"/>
              <w:spacing w:after="0" w:line="276" w:lineRule="exact"/>
              <w:rPr>
                <w:sz w:val="20"/>
                <w:szCs w:val="20"/>
                <w:color w:val="auto"/>
              </w:rPr>
            </w:pPr>
            <w:r>
              <w:rPr>
                <w:rFonts w:ascii="Times New Roman" w:cs="Times New Roman" w:eastAsia="Times New Roman" w:hAnsi="Times New Roman"/>
                <w:sz w:val="18"/>
                <w:szCs w:val="18"/>
                <w:b w:val="1"/>
                <w:bCs w:val="1"/>
                <w:color w:val="auto"/>
              </w:rPr>
              <w:t>Price Per Security (CAD)</w:t>
            </w:r>
            <w:r>
              <w:rPr>
                <w:rFonts w:ascii="Times New Roman" w:cs="Times New Roman" w:eastAsia="Times New Roman" w:hAnsi="Times New Roman"/>
                <w:sz w:val="29"/>
                <w:szCs w:val="29"/>
                <w:b w:val="1"/>
                <w:bCs w:val="1"/>
                <w:color w:val="auto"/>
                <w:vertAlign w:val="superscript"/>
              </w:rPr>
              <w:t>(1)(2)</w:t>
            </w:r>
          </w:p>
        </w:tc>
      </w:tr>
      <w:tr>
        <w:trPr>
          <w:trHeight w:val="210"/>
        </w:trPr>
        <w:tc>
          <w:tcPr>
            <w:tcW w:w="23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November 27, 2024</w:t>
            </w:r>
          </w:p>
        </w:tc>
        <w:tc>
          <w:tcPr>
            <w:tcW w:w="560" w:type="dxa"/>
            <w:vAlign w:val="bottom"/>
            <w:tcBorders>
              <w:top w:val="single" w:sz="8" w:color="E6EFFF"/>
            </w:tcBorders>
            <w:shd w:val="clear" w:color="auto" w:fill="E6EFFF"/>
          </w:tcPr>
          <w:p>
            <w:pPr>
              <w:spacing w:after="0"/>
              <w:rPr>
                <w:sz w:val="18"/>
                <w:szCs w:val="18"/>
                <w:color w:val="auto"/>
              </w:rPr>
            </w:pPr>
          </w:p>
        </w:tc>
        <w:tc>
          <w:tcPr>
            <w:tcW w:w="23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80,100</w:t>
            </w:r>
          </w:p>
        </w:tc>
        <w:tc>
          <w:tcPr>
            <w:tcW w:w="580" w:type="dxa"/>
            <w:vAlign w:val="bottom"/>
            <w:tcBorders>
              <w:top w:val="single" w:sz="8" w:color="E6EFFF"/>
            </w:tcBorders>
            <w:shd w:val="clear" w:color="auto" w:fill="E6EFFF"/>
          </w:tcPr>
          <w:p>
            <w:pPr>
              <w:spacing w:after="0"/>
              <w:rPr>
                <w:sz w:val="18"/>
                <w:szCs w:val="18"/>
                <w:color w:val="auto"/>
              </w:rPr>
            </w:pPr>
          </w:p>
        </w:tc>
        <w:tc>
          <w:tcPr>
            <w:tcW w:w="22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580" w:type="dxa"/>
            <w:vAlign w:val="bottom"/>
            <w:tcBorders>
              <w:top w:val="single" w:sz="8" w:color="E6EFFF"/>
            </w:tcBorders>
            <w:shd w:val="clear" w:color="auto" w:fill="E6EFFF"/>
          </w:tcPr>
          <w:p>
            <w:pPr>
              <w:spacing w:after="0"/>
              <w:rPr>
                <w:sz w:val="18"/>
                <w:szCs w:val="18"/>
                <w:color w:val="auto"/>
              </w:rPr>
            </w:pPr>
          </w:p>
        </w:tc>
        <w:tc>
          <w:tcPr>
            <w:tcW w:w="2640" w:type="dxa"/>
            <w:vAlign w:val="bottom"/>
            <w:tcBorders>
              <w:top w:val="single" w:sz="8" w:color="auto"/>
            </w:tcBorders>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$14.37</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21,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17,100</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$12.71</w:t>
            </w:r>
          </w:p>
        </w:tc>
      </w:tr>
      <w:tr>
        <w:trPr>
          <w:trHeight w:val="256"/>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22,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$13.08</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23,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$13.33</w:t>
            </w:r>
          </w:p>
        </w:tc>
      </w:tr>
      <w:tr>
        <w:trPr>
          <w:trHeight w:val="256"/>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24,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34,000</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$14.11</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27,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15,082</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$14.16</w:t>
            </w:r>
          </w:p>
        </w:tc>
      </w:tr>
      <w:tr>
        <w:trPr>
          <w:trHeight w:val="256"/>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29,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31,738</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$13.48</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30,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32,000</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$13.69</w:t>
            </w:r>
          </w:p>
        </w:tc>
      </w:tr>
      <w:tr>
        <w:trPr>
          <w:trHeight w:val="256"/>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January 31,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49,496</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$13.80</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February 3,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$13.79</w:t>
            </w:r>
          </w:p>
        </w:tc>
      </w:tr>
      <w:tr>
        <w:trPr>
          <w:trHeight w:val="256"/>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February 4,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25,500</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$13.74</w:t>
            </w:r>
          </w:p>
        </w:tc>
      </w:tr>
      <w:tr>
        <w:trPr>
          <w:trHeight w:val="257"/>
        </w:trPr>
        <w:tc>
          <w:tcPr>
            <w:tcW w:w="2860" w:type="dxa"/>
            <w:vAlign w:val="bottom"/>
            <w:gridSpan w:val="2"/>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February 5, 2025</w:t>
            </w:r>
            <w:r>
              <w:rPr>
                <w:rFonts w:ascii="Times New Roman" w:cs="Times New Roman" w:eastAsia="Times New Roman" w:hAnsi="Times New Roman"/>
                <w:sz w:val="29"/>
                <w:szCs w:val="29"/>
                <w:color w:val="auto"/>
                <w:w w:val="95"/>
                <w:vertAlign w:val="superscript"/>
              </w:rPr>
              <w:t>(3)</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326,800</w:t>
            </w:r>
          </w:p>
        </w:tc>
        <w:tc>
          <w:tcPr>
            <w:tcW w:w="580" w:type="dxa"/>
            <w:vAlign w:val="bottom"/>
          </w:tcPr>
          <w:p>
            <w:pPr>
              <w:spacing w:after="0"/>
              <w:rPr>
                <w:sz w:val="22"/>
                <w:szCs w:val="22"/>
                <w:color w:val="auto"/>
              </w:rPr>
            </w:pPr>
          </w:p>
        </w:tc>
        <w:tc>
          <w:tcPr>
            <w:tcW w:w="28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$13.86</w:t>
            </w:r>
          </w:p>
        </w:tc>
      </w:tr>
      <w:tr>
        <w:trPr>
          <w:trHeight w:val="257"/>
        </w:trPr>
        <w:tc>
          <w:tcPr>
            <w:tcW w:w="2860" w:type="dxa"/>
            <w:vAlign w:val="bottom"/>
            <w:gridSpan w:val="2"/>
            <w:shd w:val="clear" w:color="auto" w:fill="E6EFFF"/>
          </w:tcPr>
          <w:p>
            <w:pPr>
              <w:jc w:val="center"/>
              <w:ind w:right="540"/>
              <w:spacing w:after="0" w:line="256" w:lineRule="exact"/>
              <w:rPr>
                <w:sz w:val="20"/>
                <w:szCs w:val="20"/>
                <w:color w:val="auto"/>
              </w:rPr>
            </w:pPr>
            <w:r>
              <w:rPr>
                <w:rFonts w:ascii="Times New Roman" w:cs="Times New Roman" w:eastAsia="Times New Roman" w:hAnsi="Times New Roman"/>
                <w:sz w:val="18"/>
                <w:szCs w:val="18"/>
                <w:color w:val="auto"/>
                <w:w w:val="95"/>
              </w:rPr>
              <w:t>February 6, 2025</w:t>
            </w:r>
            <w:r>
              <w:rPr>
                <w:rFonts w:ascii="Times New Roman" w:cs="Times New Roman" w:eastAsia="Times New Roman" w:hAnsi="Times New Roman"/>
                <w:sz w:val="29"/>
                <w:szCs w:val="29"/>
                <w:color w:val="auto"/>
                <w:w w:val="95"/>
                <w:vertAlign w:val="superscript"/>
              </w:rPr>
              <w:t>(3)</w:t>
            </w:r>
          </w:p>
        </w:tc>
        <w:tc>
          <w:tcPr>
            <w:tcW w:w="23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280,800</w:t>
            </w:r>
          </w:p>
        </w:tc>
        <w:tc>
          <w:tcPr>
            <w:tcW w:w="580" w:type="dxa"/>
            <w:vAlign w:val="bottom"/>
            <w:shd w:val="clear" w:color="auto" w:fill="E6EFFF"/>
          </w:tcPr>
          <w:p>
            <w:pPr>
              <w:spacing w:after="0"/>
              <w:rPr>
                <w:sz w:val="22"/>
                <w:szCs w:val="22"/>
                <w:color w:val="auto"/>
              </w:rPr>
            </w:pPr>
          </w:p>
        </w:tc>
        <w:tc>
          <w:tcPr>
            <w:tcW w:w="2860" w:type="dxa"/>
            <w:vAlign w:val="bottom"/>
            <w:gridSpan w:val="2"/>
            <w:shd w:val="clear" w:color="auto" w:fill="E6EFFF"/>
          </w:tcPr>
          <w:p>
            <w:pPr>
              <w:jc w:val="center"/>
              <w:ind w:right="580"/>
              <w:spacing w:after="0"/>
              <w:rPr>
                <w:sz w:val="20"/>
                <w:szCs w:val="20"/>
                <w:color w:val="auto"/>
              </w:rPr>
            </w:pPr>
            <w:r>
              <w:rPr>
                <w:rFonts w:ascii="Times New Roman" w:cs="Times New Roman" w:eastAsia="Times New Roman" w:hAnsi="Times New Roman"/>
                <w:sz w:val="18"/>
                <w:szCs w:val="18"/>
                <w:color w:val="auto"/>
              </w:rPr>
              <w:t>Common Shares</w:t>
            </w:r>
          </w:p>
        </w:tc>
        <w:tc>
          <w:tcPr>
            <w:tcW w:w="2640" w:type="dxa"/>
            <w:vAlign w:val="bottom"/>
            <w:shd w:val="clear" w:color="auto" w:fill="E6EFFF"/>
          </w:tcPr>
          <w:p>
            <w:pPr>
              <w:jc w:val="right"/>
              <w:ind w:right="990"/>
              <w:spacing w:after="0"/>
              <w:rPr>
                <w:sz w:val="20"/>
                <w:szCs w:val="20"/>
                <w:color w:val="auto"/>
              </w:rPr>
            </w:pPr>
            <w:r>
              <w:rPr>
                <w:rFonts w:ascii="Times New Roman" w:cs="Times New Roman" w:eastAsia="Times New Roman" w:hAnsi="Times New Roman"/>
                <w:sz w:val="18"/>
                <w:szCs w:val="18"/>
                <w:color w:val="auto"/>
              </w:rPr>
              <w:t>$13.72</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7"/>
          <w:szCs w:val="17"/>
          <w:color w:val="auto"/>
        </w:rPr>
        <w:t>February 7, 2025</w:t>
      </w:r>
      <w:r>
        <w:rPr>
          <w:rFonts w:ascii="Times New Roman" w:cs="Times New Roman" w:eastAsia="Times New Roman" w:hAnsi="Times New Roman"/>
          <w:sz w:val="28"/>
          <w:szCs w:val="28"/>
          <w:color w:val="auto"/>
          <w:vertAlign w:val="superscript"/>
        </w:rPr>
        <w:t>(3)</w:t>
      </w:r>
    </w:p>
    <w:p>
      <w:pPr>
        <w:spacing w:after="0" w:line="191" w:lineRule="auto"/>
        <w:rPr>
          <w:sz w:val="20"/>
          <w:szCs w:val="20"/>
          <w:color w:val="auto"/>
        </w:rPr>
      </w:pPr>
      <w:r>
        <w:rPr>
          <w:rFonts w:ascii="Times New Roman" w:cs="Times New Roman" w:eastAsia="Times New Roman" w:hAnsi="Times New Roman"/>
          <w:sz w:val="17"/>
          <w:szCs w:val="17"/>
          <w:color w:val="auto"/>
        </w:rPr>
        <w:t>February 10,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14,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18,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19,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20, 2025</w:t>
      </w:r>
      <w:r>
        <w:rPr>
          <w:rFonts w:ascii="Times New Roman" w:cs="Times New Roman" w:eastAsia="Times New Roman" w:hAnsi="Times New Roman"/>
          <w:sz w:val="28"/>
          <w:szCs w:val="28"/>
          <w:color w:val="auto"/>
          <w:vertAlign w:val="superscript"/>
        </w:rPr>
        <w:t>(4)</w:t>
      </w:r>
    </w:p>
    <w:p>
      <w:pPr>
        <w:spacing w:after="0" w:line="192" w:lineRule="auto"/>
        <w:rPr>
          <w:sz w:val="20"/>
          <w:szCs w:val="20"/>
          <w:color w:val="auto"/>
        </w:rPr>
      </w:pPr>
      <w:r>
        <w:rPr>
          <w:rFonts w:ascii="Times New Roman" w:cs="Times New Roman" w:eastAsia="Times New Roman" w:hAnsi="Times New Roman"/>
          <w:sz w:val="17"/>
          <w:szCs w:val="17"/>
          <w:color w:val="auto"/>
        </w:rPr>
        <w:t>February 21,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24, 2025</w:t>
      </w:r>
      <w:r>
        <w:rPr>
          <w:rFonts w:ascii="Times New Roman" w:cs="Times New Roman" w:eastAsia="Times New Roman" w:hAnsi="Times New Roman"/>
          <w:sz w:val="28"/>
          <w:szCs w:val="28"/>
          <w:color w:val="auto"/>
          <w:vertAlign w:val="superscript"/>
        </w:rPr>
        <w:t>(4)</w:t>
      </w:r>
    </w:p>
    <w:p>
      <w:pPr>
        <w:spacing w:after="0" w:line="191" w:lineRule="auto"/>
        <w:rPr>
          <w:sz w:val="20"/>
          <w:szCs w:val="20"/>
          <w:color w:val="auto"/>
        </w:rPr>
      </w:pPr>
      <w:r>
        <w:rPr>
          <w:rFonts w:ascii="Times New Roman" w:cs="Times New Roman" w:eastAsia="Times New Roman" w:hAnsi="Times New Roman"/>
          <w:sz w:val="17"/>
          <w:szCs w:val="17"/>
          <w:color w:val="auto"/>
        </w:rPr>
        <w:t>February 26, 2025</w:t>
      </w:r>
      <w:r>
        <w:rPr>
          <w:rFonts w:ascii="Times New Roman" w:cs="Times New Roman" w:eastAsia="Times New Roman" w:hAnsi="Times New Roman"/>
          <w:sz w:val="28"/>
          <w:szCs w:val="28"/>
          <w:color w:val="auto"/>
          <w:vertAlign w:val="superscript"/>
        </w:rPr>
        <w:t>(4)</w:t>
      </w:r>
    </w:p>
    <w:p>
      <w:pPr>
        <w:spacing w:after="0" w:line="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March 7, 2025</w:t>
      </w:r>
    </w:p>
    <w:p>
      <w:pPr>
        <w:jc w:val="center"/>
        <w:ind w:right="1240"/>
        <w:spacing w:after="0" w:line="190" w:lineRule="auto"/>
        <w:rPr>
          <w:sz w:val="20"/>
          <w:szCs w:val="20"/>
          <w:color w:val="auto"/>
        </w:rPr>
      </w:pPr>
      <w:r>
        <w:rPr>
          <w:rFonts w:ascii="Times New Roman" w:cs="Times New Roman" w:eastAsia="Times New Roman" w:hAnsi="Times New Roman"/>
          <w:sz w:val="18"/>
          <w:szCs w:val="18"/>
          <w:color w:val="auto"/>
        </w:rPr>
        <w:t>March 13, 2024</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14,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17,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March 19,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20,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March 21,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24,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25,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March 26,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27,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March 28,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March 31,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April 14,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April 15,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April 16,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April 17,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April 21,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April 22,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April 23,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April 24,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April 25,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1,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2,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May 5,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15,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May 16,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19,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20,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May 21,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May 22,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May 29,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June 4, 2025</w:t>
      </w:r>
      <w:r>
        <w:rPr>
          <w:rFonts w:ascii="Times New Roman" w:cs="Times New Roman" w:eastAsia="Times New Roman" w:hAnsi="Times New Roman"/>
          <w:sz w:val="29"/>
          <w:szCs w:val="29"/>
          <w:color w:val="auto"/>
          <w:vertAlign w:val="superscript"/>
        </w:rPr>
        <w:t>(4)</w:t>
      </w:r>
    </w:p>
    <w:p>
      <w:pPr>
        <w:jc w:val="center"/>
        <w:ind w:right="1240"/>
        <w:spacing w:after="0" w:line="185" w:lineRule="auto"/>
        <w:rPr>
          <w:sz w:val="20"/>
          <w:szCs w:val="20"/>
          <w:color w:val="auto"/>
        </w:rPr>
      </w:pPr>
      <w:r>
        <w:rPr>
          <w:rFonts w:ascii="Times New Roman" w:cs="Times New Roman" w:eastAsia="Times New Roman" w:hAnsi="Times New Roman"/>
          <w:sz w:val="18"/>
          <w:szCs w:val="18"/>
          <w:color w:val="auto"/>
        </w:rPr>
        <w:t>June 6, 2025</w:t>
      </w:r>
      <w:r>
        <w:rPr>
          <w:rFonts w:ascii="Times New Roman" w:cs="Times New Roman" w:eastAsia="Times New Roman" w:hAnsi="Times New Roman"/>
          <w:sz w:val="29"/>
          <w:szCs w:val="29"/>
          <w:color w:val="auto"/>
          <w:vertAlign w:val="superscript"/>
        </w:rPr>
        <w:t>(4)</w:t>
      </w:r>
    </w:p>
    <w:p>
      <w:pPr>
        <w:jc w:val="center"/>
        <w:ind w:right="1240"/>
        <w:spacing w:after="0" w:line="184" w:lineRule="auto"/>
        <w:rPr>
          <w:sz w:val="20"/>
          <w:szCs w:val="20"/>
          <w:color w:val="auto"/>
        </w:rPr>
      </w:pPr>
      <w:r>
        <w:rPr>
          <w:rFonts w:ascii="Times New Roman" w:cs="Times New Roman" w:eastAsia="Times New Roman" w:hAnsi="Times New Roman"/>
          <w:sz w:val="18"/>
          <w:szCs w:val="18"/>
          <w:color w:val="auto"/>
        </w:rPr>
        <w:t>June 9, 2025</w:t>
      </w:r>
      <w:r>
        <w:rPr>
          <w:rFonts w:ascii="Times New Roman" w:cs="Times New Roman" w:eastAsia="Times New Roman" w:hAnsi="Times New Roman"/>
          <w:sz w:val="29"/>
          <w:szCs w:val="29"/>
          <w:color w:val="auto"/>
          <w:vertAlign w:val="superscript"/>
        </w:rPr>
        <w:t>(4)</w:t>
      </w:r>
    </w:p>
    <w:p>
      <w:pPr>
        <w:spacing w:after="0" w:line="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June 11, 2025</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92"/>
              </w:rPr>
              <w:t>85,000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$13.48</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57,000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$12.74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106,000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$13.20</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125,100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$13.66</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66,000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$13.15</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33,550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$12.97</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21,994</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$12.98</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36,999</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$12.94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60,868</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$12.20</w:t>
            </w:r>
          </w:p>
        </w:tc>
      </w:tr>
      <w:tr>
        <w:trPr>
          <w:trHeight w:val="238"/>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$10.45</w:t>
            </w:r>
          </w:p>
        </w:tc>
      </w:tr>
      <w:tr>
        <w:trPr>
          <w:trHeight w:val="234"/>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$10.11</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13,400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$10.39</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12,000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$10.43</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$10.44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$10.34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9,000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$10.28</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$10.14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14,500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$10.03</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7,500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4,600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$9.74</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1,271</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25,500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87,500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$10.64</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16,336</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17,000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$10.29</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107,700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$10.37</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55,000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$10.41</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9,000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$10.13</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55,849</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$9.83</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20,000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35,700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$9.43</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37,000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$9.37</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$9.34</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36,400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$9.00</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45,000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43,500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$9.31</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221,311</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$10.22</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316,800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34,000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$9.88</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112,413</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$11.38</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$11.45</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13,600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$12.53</w:t>
            </w:r>
          </w:p>
        </w:tc>
      </w:tr>
      <w:tr>
        <w:trPr>
          <w:trHeight w:val="256"/>
        </w:trPr>
        <w:tc>
          <w:tcPr>
            <w:tcW w:w="16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15,000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-7114540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-6788785</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-6463030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-6137275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-5811520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-5511165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-5185410</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-4859655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-4533900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-4208145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-3882390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-3557270</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-3230880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-2905125</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-2579370</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-2253615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-1928495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-1602105</wp:posOffset>
            </wp:positionV>
            <wp:extent cx="713232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-1276350</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-950595</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-624840</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-299720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128905</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740" w:space="720"/>
            <w:col w:w="6460"/>
          </w:cols>
          <w:pgMar w:left="700" w:top="318" w:right="1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3"/>
        </w:trPr>
        <w:tc>
          <w:tcPr>
            <w:tcW w:w="2700" w:type="dxa"/>
            <w:vAlign w:val="bottom"/>
            <w:shd w:val="clear" w:color="auto" w:fill="E6EFFF"/>
          </w:tcPr>
          <w:p>
            <w:pPr>
              <w:jc w:val="center"/>
              <w:ind w:right="350"/>
              <w:spacing w:after="0"/>
              <w:rPr>
                <w:sz w:val="20"/>
                <w:szCs w:val="20"/>
                <w:color w:val="auto"/>
              </w:rPr>
            </w:pPr>
            <w:r>
              <w:rPr>
                <w:rFonts w:ascii="Times New Roman" w:cs="Times New Roman" w:eastAsia="Times New Roman" w:hAnsi="Times New Roman"/>
                <w:sz w:val="18"/>
                <w:szCs w:val="18"/>
                <w:color w:val="auto"/>
                <w:w w:val="95"/>
              </w:rPr>
              <w:t>June 12, 2025</w:t>
            </w:r>
            <w:r>
              <w:rPr>
                <w:rFonts w:ascii="Times New Roman" w:cs="Times New Roman" w:eastAsia="Times New Roman" w:hAnsi="Times New Roman"/>
                <w:sz w:val="29"/>
                <w:szCs w:val="29"/>
                <w:color w:val="auto"/>
                <w:w w:val="95"/>
                <w:vertAlign w:val="superscript"/>
              </w:rPr>
              <w:t>(4)</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10,578</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$12.59</w:t>
            </w:r>
          </w:p>
        </w:tc>
      </w:tr>
      <w:tr>
        <w:trPr>
          <w:trHeight w:val="257"/>
        </w:trPr>
        <w:tc>
          <w:tcPr>
            <w:tcW w:w="2700" w:type="dxa"/>
            <w:vAlign w:val="bottom"/>
          </w:tcPr>
          <w:p>
            <w:pPr>
              <w:jc w:val="center"/>
              <w:ind w:right="350"/>
              <w:spacing w:after="0" w:line="256" w:lineRule="exact"/>
              <w:rPr>
                <w:sz w:val="20"/>
                <w:szCs w:val="20"/>
                <w:color w:val="auto"/>
              </w:rPr>
            </w:pPr>
            <w:r>
              <w:rPr>
                <w:rFonts w:ascii="Times New Roman" w:cs="Times New Roman" w:eastAsia="Times New Roman" w:hAnsi="Times New Roman"/>
                <w:sz w:val="18"/>
                <w:szCs w:val="18"/>
                <w:color w:val="auto"/>
                <w:w w:val="95"/>
              </w:rPr>
              <w:t>June 16, 2025</w:t>
            </w:r>
            <w:r>
              <w:rPr>
                <w:rFonts w:ascii="Times New Roman" w:cs="Times New Roman" w:eastAsia="Times New Roman" w:hAnsi="Times New Roman"/>
                <w:sz w:val="29"/>
                <w:szCs w:val="29"/>
                <w:color w:val="auto"/>
                <w:w w:val="95"/>
                <w:vertAlign w:val="superscript"/>
              </w:rPr>
              <w:t>(4)</w:t>
            </w: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18,236</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$11.92</w:t>
            </w:r>
          </w:p>
        </w:tc>
      </w:tr>
      <w:tr>
        <w:trPr>
          <w:trHeight w:val="257"/>
        </w:trPr>
        <w:tc>
          <w:tcPr>
            <w:tcW w:w="2700" w:type="dxa"/>
            <w:vAlign w:val="bottom"/>
            <w:shd w:val="clear" w:color="auto" w:fill="E6EFFF"/>
          </w:tcPr>
          <w:p>
            <w:pPr>
              <w:jc w:val="center"/>
              <w:ind w:right="350"/>
              <w:spacing w:after="0" w:line="256" w:lineRule="exact"/>
              <w:rPr>
                <w:sz w:val="20"/>
                <w:szCs w:val="20"/>
                <w:color w:val="auto"/>
              </w:rPr>
            </w:pPr>
            <w:r>
              <w:rPr>
                <w:rFonts w:ascii="Times New Roman" w:cs="Times New Roman" w:eastAsia="Times New Roman" w:hAnsi="Times New Roman"/>
                <w:sz w:val="18"/>
                <w:szCs w:val="18"/>
                <w:color w:val="auto"/>
                <w:w w:val="95"/>
              </w:rPr>
              <w:t>June 18, 2025</w:t>
            </w:r>
            <w:r>
              <w:rPr>
                <w:rFonts w:ascii="Times New Roman" w:cs="Times New Roman" w:eastAsia="Times New Roman" w:hAnsi="Times New Roman"/>
                <w:sz w:val="29"/>
                <w:szCs w:val="29"/>
                <w:color w:val="auto"/>
                <w:w w:val="95"/>
                <w:vertAlign w:val="superscript"/>
              </w:rPr>
              <w:t>(4)</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30,000</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$11.07</w:t>
            </w:r>
          </w:p>
        </w:tc>
      </w:tr>
      <w:tr>
        <w:trPr>
          <w:trHeight w:val="256"/>
        </w:trPr>
        <w:tc>
          <w:tcPr>
            <w:tcW w:w="2700" w:type="dxa"/>
            <w:vAlign w:val="bottom"/>
          </w:tcPr>
          <w:p>
            <w:pPr>
              <w:jc w:val="center"/>
              <w:ind w:right="350"/>
              <w:spacing w:after="0" w:line="256" w:lineRule="exact"/>
              <w:rPr>
                <w:sz w:val="20"/>
                <w:szCs w:val="20"/>
                <w:color w:val="auto"/>
              </w:rPr>
            </w:pPr>
            <w:r>
              <w:rPr>
                <w:rFonts w:ascii="Times New Roman" w:cs="Times New Roman" w:eastAsia="Times New Roman" w:hAnsi="Times New Roman"/>
                <w:sz w:val="18"/>
                <w:szCs w:val="18"/>
                <w:color w:val="auto"/>
                <w:w w:val="95"/>
              </w:rPr>
              <w:t>June 30, 2025</w:t>
            </w:r>
            <w:r>
              <w:rPr>
                <w:rFonts w:ascii="Times New Roman" w:cs="Times New Roman" w:eastAsia="Times New Roman" w:hAnsi="Times New Roman"/>
                <w:sz w:val="29"/>
                <w:szCs w:val="29"/>
                <w:color w:val="auto"/>
                <w:w w:val="95"/>
                <w:vertAlign w:val="superscript"/>
              </w:rPr>
              <w:t>(5)</w:t>
            </w:r>
          </w:p>
        </w:tc>
        <w:tc>
          <w:tcPr>
            <w:tcW w:w="2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US$50,000,000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Convertible Debentures</w:t>
            </w:r>
          </w:p>
        </w:tc>
        <w:tc>
          <w:tcPr>
            <w:tcW w:w="24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See note (6)</w:t>
            </w:r>
          </w:p>
        </w:tc>
      </w:tr>
      <w:tr>
        <w:trPr>
          <w:trHeight w:val="257"/>
        </w:trPr>
        <w:tc>
          <w:tcPr>
            <w:tcW w:w="2700" w:type="dxa"/>
            <w:vAlign w:val="bottom"/>
            <w:shd w:val="clear" w:color="auto" w:fill="E6EFFF"/>
          </w:tcPr>
          <w:p>
            <w:pPr>
              <w:jc w:val="center"/>
              <w:ind w:right="330"/>
              <w:spacing w:after="0" w:line="256" w:lineRule="exact"/>
              <w:rPr>
                <w:sz w:val="20"/>
                <w:szCs w:val="20"/>
                <w:color w:val="auto"/>
              </w:rPr>
            </w:pPr>
            <w:r>
              <w:rPr>
                <w:rFonts w:ascii="Times New Roman" w:cs="Times New Roman" w:eastAsia="Times New Roman" w:hAnsi="Times New Roman"/>
                <w:sz w:val="18"/>
                <w:szCs w:val="18"/>
                <w:color w:val="auto"/>
                <w:w w:val="96"/>
              </w:rPr>
              <w:t>July 17, 2025</w:t>
            </w:r>
            <w:r>
              <w:rPr>
                <w:rFonts w:ascii="Times New Roman" w:cs="Times New Roman" w:eastAsia="Times New Roman" w:hAnsi="Times New Roman"/>
                <w:sz w:val="29"/>
                <w:szCs w:val="29"/>
                <w:color w:val="auto"/>
                <w:w w:val="96"/>
                <w:vertAlign w:val="superscript"/>
              </w:rPr>
              <w:t>(7)</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566,394</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2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August 15, 2025</w:t>
            </w: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53,800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700" w:type="dxa"/>
            <w:vAlign w:val="bottom"/>
            <w:shd w:val="clear" w:color="auto" w:fill="E6EFFF"/>
          </w:tcPr>
          <w:p>
            <w:pPr>
              <w:jc w:val="center"/>
              <w:ind w:right="330"/>
              <w:spacing w:after="0"/>
              <w:rPr>
                <w:sz w:val="20"/>
                <w:szCs w:val="20"/>
                <w:color w:val="auto"/>
              </w:rPr>
            </w:pPr>
            <w:r>
              <w:rPr>
                <w:rFonts w:ascii="Times New Roman" w:cs="Times New Roman" w:eastAsia="Times New Roman" w:hAnsi="Times New Roman"/>
                <w:sz w:val="18"/>
                <w:szCs w:val="18"/>
                <w:color w:val="auto"/>
              </w:rPr>
              <w:t>August 15, 2025</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80,000</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r>
      <w:tr>
        <w:trPr>
          <w:trHeight w:val="257"/>
        </w:trPr>
        <w:tc>
          <w:tcPr>
            <w:tcW w:w="2700" w:type="dxa"/>
            <w:vAlign w:val="bottom"/>
          </w:tcPr>
          <w:p>
            <w:pPr>
              <w:jc w:val="center"/>
              <w:ind w:right="330"/>
              <w:spacing w:after="0" w:line="256" w:lineRule="exact"/>
              <w:rPr>
                <w:sz w:val="20"/>
                <w:szCs w:val="20"/>
                <w:color w:val="auto"/>
              </w:rPr>
            </w:pPr>
            <w:r>
              <w:rPr>
                <w:rFonts w:ascii="Times New Roman" w:cs="Times New Roman" w:eastAsia="Times New Roman" w:hAnsi="Times New Roman"/>
                <w:sz w:val="18"/>
                <w:szCs w:val="18"/>
                <w:color w:val="auto"/>
                <w:w w:val="95"/>
              </w:rPr>
              <w:t>August 25, 2025</w:t>
            </w:r>
            <w:r>
              <w:rPr>
                <w:rFonts w:ascii="Times New Roman" w:cs="Times New Roman" w:eastAsia="Times New Roman" w:hAnsi="Times New Roman"/>
                <w:sz w:val="29"/>
                <w:szCs w:val="29"/>
                <w:color w:val="auto"/>
                <w:w w:val="95"/>
                <w:vertAlign w:val="superscript"/>
              </w:rPr>
              <w:t>(7)</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1,166,486</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$9.54</w:t>
            </w:r>
          </w:p>
        </w:tc>
      </w:tr>
      <w:tr>
        <w:trPr>
          <w:trHeight w:val="257"/>
        </w:trPr>
        <w:tc>
          <w:tcPr>
            <w:tcW w:w="2700" w:type="dxa"/>
            <w:vAlign w:val="bottom"/>
            <w:shd w:val="clear" w:color="auto" w:fill="E6EFFF"/>
          </w:tcPr>
          <w:p>
            <w:pPr>
              <w:jc w:val="center"/>
              <w:ind w:right="330"/>
              <w:spacing w:after="0" w:line="256" w:lineRule="exact"/>
              <w:rPr>
                <w:sz w:val="20"/>
                <w:szCs w:val="20"/>
                <w:color w:val="auto"/>
              </w:rPr>
            </w:pPr>
            <w:r>
              <w:rPr>
                <w:rFonts w:ascii="Times New Roman" w:cs="Times New Roman" w:eastAsia="Times New Roman" w:hAnsi="Times New Roman"/>
                <w:sz w:val="18"/>
                <w:szCs w:val="18"/>
                <w:color w:val="auto"/>
                <w:w w:val="95"/>
              </w:rPr>
              <w:t>August 28, 2025</w:t>
            </w:r>
            <w:r>
              <w:rPr>
                <w:rFonts w:ascii="Times New Roman" w:cs="Times New Roman" w:eastAsia="Times New Roman" w:hAnsi="Times New Roman"/>
                <w:sz w:val="29"/>
                <w:szCs w:val="29"/>
                <w:color w:val="auto"/>
                <w:w w:val="95"/>
                <w:vertAlign w:val="superscript"/>
              </w:rPr>
              <w:t>(7)</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423,812</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$9.85</w:t>
            </w:r>
          </w:p>
        </w:tc>
      </w:tr>
      <w:tr>
        <w:trPr>
          <w:trHeight w:val="257"/>
        </w:trPr>
        <w:tc>
          <w:tcPr>
            <w:tcW w:w="2700" w:type="dxa"/>
            <w:vAlign w:val="bottom"/>
          </w:tcPr>
          <w:p>
            <w:pPr>
              <w:jc w:val="center"/>
              <w:ind w:right="330"/>
              <w:spacing w:after="0" w:line="256" w:lineRule="exact"/>
              <w:rPr>
                <w:sz w:val="20"/>
                <w:szCs w:val="20"/>
                <w:color w:val="auto"/>
              </w:rPr>
            </w:pPr>
            <w:r>
              <w:rPr>
                <w:rFonts w:ascii="Times New Roman" w:cs="Times New Roman" w:eastAsia="Times New Roman" w:hAnsi="Times New Roman"/>
                <w:sz w:val="18"/>
                <w:szCs w:val="18"/>
                <w:color w:val="auto"/>
                <w:w w:val="95"/>
              </w:rPr>
              <w:t>August 28, 2025</w:t>
            </w:r>
            <w:r>
              <w:rPr>
                <w:rFonts w:ascii="Times New Roman" w:cs="Times New Roman" w:eastAsia="Times New Roman" w:hAnsi="Times New Roman"/>
                <w:sz w:val="29"/>
                <w:szCs w:val="29"/>
                <w:color w:val="auto"/>
                <w:w w:val="95"/>
                <w:vertAlign w:val="superscript"/>
              </w:rPr>
              <w:t>(8)</w:t>
            </w:r>
          </w:p>
        </w:tc>
        <w:tc>
          <w:tcPr>
            <w:tcW w:w="2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7,894</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$9.50</w:t>
            </w:r>
          </w:p>
        </w:tc>
      </w:tr>
      <w:tr>
        <w:trPr>
          <w:trHeight w:val="216"/>
        </w:trPr>
        <w:tc>
          <w:tcPr>
            <w:tcW w:w="2700" w:type="dxa"/>
            <w:vAlign w:val="bottom"/>
            <w:shd w:val="clear" w:color="auto" w:fill="E6EFFF"/>
          </w:tcPr>
          <w:p>
            <w:pPr>
              <w:jc w:val="center"/>
              <w:ind w:right="330"/>
              <w:spacing w:after="0"/>
              <w:rPr>
                <w:sz w:val="20"/>
                <w:szCs w:val="20"/>
                <w:color w:val="auto"/>
              </w:rPr>
            </w:pPr>
            <w:r>
              <w:rPr>
                <w:rFonts w:ascii="Times New Roman" w:cs="Times New Roman" w:eastAsia="Times New Roman" w:hAnsi="Times New Roman"/>
                <w:sz w:val="18"/>
                <w:szCs w:val="18"/>
                <w:color w:val="auto"/>
              </w:rPr>
              <w:t>August 29, 2025</w:t>
            </w:r>
          </w:p>
        </w:tc>
        <w:tc>
          <w:tcPr>
            <w:tcW w:w="27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15,000</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spacing w:after="0" w:line="14" w:lineRule="exact"/>
        <w:rPr>
          <w:rFonts w:ascii="Times New Roman" w:cs="Times New Roman" w:eastAsia="Times New Roman" w:hAnsi="Times New Roman"/>
          <w:sz w:val="22"/>
          <w:szCs w:val="22"/>
          <w:color w:val="auto"/>
        </w:rPr>
      </w:pPr>
    </w:p>
    <w:p>
      <w:pPr>
        <w:ind w:left="440" w:hanging="432"/>
        <w:spacing w:after="0" w:line="230" w:lineRule="auto"/>
        <w:tabs>
          <w:tab w:leader="none" w:pos="4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2023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2023 ATM Program was qualified by the prospectus supplement dated August 23, 2023.</w:t>
      </w:r>
    </w:p>
    <w:p>
      <w:pPr>
        <w:spacing w:after="0" w:line="2" w:lineRule="exact"/>
        <w:rPr>
          <w:rFonts w:ascii="Times New Roman" w:cs="Times New Roman" w:eastAsia="Times New Roman" w:hAnsi="Times New Roman"/>
          <w:sz w:val="22"/>
          <w:szCs w:val="22"/>
          <w:color w:val="auto"/>
        </w:rPr>
      </w:pPr>
    </w:p>
    <w:p>
      <w:pPr>
        <w:jc w:val="both"/>
        <w:ind w:left="440" w:hanging="432"/>
        <w:spacing w:after="0" w:line="230" w:lineRule="auto"/>
        <w:tabs>
          <w:tab w:leader="none" w:pos="4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current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allows the Corporation to issue and sell up to US$100,000,000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2025 ATM Program is qualified by the prospectus supplement dated February 10, 2025.</w:t>
      </w:r>
    </w:p>
    <w:p>
      <w:pPr>
        <w:spacing w:after="0" w:line="2"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440" w:right="20" w:hanging="432"/>
        <w:spacing w:after="0" w:line="230" w:lineRule="auto"/>
        <w:tabs>
          <w:tab w:leader="none" w:pos="4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 (as defined in the Securities Purchase Agreement).</w:t>
      </w:r>
    </w:p>
    <w:p>
      <w:pPr>
        <w:spacing w:after="0" w:line="1" w:lineRule="exact"/>
        <w:rPr>
          <w:rFonts w:ascii="Times New Roman" w:cs="Times New Roman" w:eastAsia="Times New Roman" w:hAnsi="Times New Roman"/>
          <w:sz w:val="22"/>
          <w:szCs w:val="22"/>
          <w:color w:val="auto"/>
        </w:rPr>
      </w:pPr>
    </w:p>
    <w:p>
      <w:pPr>
        <w:ind w:left="480" w:hanging="472"/>
        <w:spacing w:after="0" w:line="230" w:lineRule="auto"/>
        <w:tabs>
          <w:tab w:leader="none" w:pos="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480" w:hanging="472"/>
        <w:spacing w:after="0"/>
        <w:tabs>
          <w:tab w:leader="none" w:pos="4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Warrant Shares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0" w:name="page21"/>
    <w:bookmarkEnd w:id="20"/>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Warrant Shares is Highly Speculative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Warrant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Discretion in the Use of Proceeds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Times New Roman" w:cs="Times New Roman" w:eastAsia="Times New Roman" w:hAnsi="Times New Roman"/>
          <w:sz w:val="22"/>
          <w:szCs w:val="22"/>
          <w:i w:val="1"/>
          <w:iCs w:val="1"/>
          <w:color w:val="auto"/>
        </w:rPr>
        <w:t>See “Risk Factors – Risk Factors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 Factors Related to the Offering - Potential Dilution”.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 Factors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Potential Need for Additional Financing”.</w:t>
      </w:r>
    </w:p>
    <w:p>
      <w:pPr>
        <w:spacing w:after="0" w:line="14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On June 30, 2025, the Corporation entered into the Securities Purchase Agreement with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in connection with the June 2025 Private Placement of Convertible Debentures. In connection with the Securities Purchase Agreement, the Corporation and High Trail also entered into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on the terms of the Securities Purchase Agreement and the Convertible Debentures, at the Conversion Price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which shall be determined at a future date, upon mutual agreement of the parties, and would require similar registration rights to permit High Trail to offer up to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for sale or other disposition from time to time in the United States. If all of the Registrable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are issued and outstanding, they would represent a substantial percentage of the Corporation’s public float and of the outstanding Common Shares. As of September 16, 2025, the Registrable Common Shares covered by the July Prospectus Supplement would represent approximately 79%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Risk Factors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the Offering – Volatile Market Price 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 Factors – Risk Factors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Offering – Need for Additional Financing”</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Based on current business plans and financial expectations, the Corporation expects to be a PFIC (as defined herein) for its current tax year and may be a PFIC in future tax years. If the Corporation is a PFIC for any year during a U.S. Holder's (as defined herein) holding period of Warrant Shares, then such U.S. Holder generally will be required to treat any gain realized upon a disposition of the Warrant Shares, or any so-called "excess distribution" received on its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herein) or a Mark-to-Market Election (as defined herein).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Warrant Shares over the U.S. Holder's basis therein. This paragraph is qualified in its entirety by the discussion below under the heading " </w:t>
      </w:r>
      <w:r>
        <w:rPr>
          <w:rFonts w:ascii="Times New Roman" w:cs="Times New Roman" w:eastAsia="Times New Roman" w:hAnsi="Times New Roman"/>
          <w:sz w:val="22"/>
          <w:szCs w:val="22"/>
          <w:i w:val="1"/>
          <w:iCs w:val="1"/>
          <w:color w:val="auto"/>
        </w:rPr>
        <w:t>Certain United States Federal Income Tax Considerations to U.S. Holders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Warrant Shares received upon exercise of the Warrants.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i w:val="1"/>
          <w:iCs w:val="1"/>
          <w:color w:val="auto"/>
        </w:rPr>
        <w:t>Speculative Nature of Warrants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Warrants do not confer any rights of Common Share ownership on their holders, such as voting rights or the right to receive dividends, but rather merely represent the right to acquire Warrant Shares at a fixed price for a limited period of time. Specifically, commencing on the date of issuance, holders of the Warrants may exercise their right to acquire Warrant Shares at the Warrant Exercise Price per whole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Warrant Shares will ever equal or exceed the exercise price of the Warrants, and consequently, whether it will ever be profitable for holders of the Warrants to exercise the Warrants.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is no existing trading market for the Warrants and there can be no assurance that a liquid market will develop or be maintained for the Warrants, or that an investor will be able to sell any of the Warrants at a particular time (if at all).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following is, as of the date of this Prospectus Supplement, a summary of the principal Canadian federal income tax considerations under the Tax Act, generally applicable to an investor who acquires, as beneficial owner, Common Shares pursuant to the Offering, including, if applicable, upon the exercise of the Warrants, and who, for the purposes of the Tax Act and at all relevant times, holds the Common Shares as capital property and deals at arm's length and is not affiliated with the Corporation, the Underwriters and any subsequent purchaser of such securities (a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For purposes of this summary, and for greater certainty, references to "Common Shares" shall include Warrant Shares and Anti-Dilution Warrant Shares. Generally, the Common Shares will be considered to be capital property to a Holder, provided the Holder does not hold or use the Common Shares in the course of carrying on a business of trading or dealing in securities and such Holder has not acquired them in one or more transactions considered to be an adventure or concern in the nature of trade.</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Warrant Shares, controlled by a non-resident person, or group of non-resident persons that do not deal at arm's length with each other, for purposes of the "foreign affiliate dumping" rules in section 212.3 of the Tax Act. Such Holders should consult their tax advisors.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based on their particular circumstances.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any other currency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Exercise of Warrants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 gain or loss will be realized by a Holder on the exercise of a Warrant to acquire a Common Share. When a Warrant is exercised, the Holder's cost of the Common Share acquired thereby will be equal to the aggregate of the Holder's adjusted cost base of such Warrant and the exercise price paid for the Common Share. The Holder's adjusted cost base of the Common Share so acquired will be determined by averaging the cost of the Common Share with the adjusted cost base to the Holder of all Common Shares of the Corporation held as capital property, by the holder, immediately before the acquisition of the Common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Resident Holders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applies to Holders who, for the purposes of the Tax Act and any applicable income tax treaty or convention, are or are deemed to be resident in Canada at all relevant times (herein, "</w:t>
      </w:r>
      <w:r>
        <w:rPr>
          <w:rFonts w:ascii="Times New Roman" w:cs="Times New Roman" w:eastAsia="Times New Roman" w:hAnsi="Times New Roman"/>
          <w:sz w:val="22"/>
          <w:szCs w:val="22"/>
          <w:b w:val="1"/>
          <w:bCs w:val="1"/>
          <w:color w:val="auto"/>
        </w:rPr>
        <w:t>Resident Holders</w:t>
      </w:r>
      <w:r>
        <w:rPr>
          <w:rFonts w:ascii="Times New Roman" w:cs="Times New Roman" w:eastAsia="Times New Roman" w:hAnsi="Times New Roman"/>
          <w:sz w:val="22"/>
          <w:szCs w:val="22"/>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line="236" w:lineRule="auto"/>
        <w:rPr>
          <w:sz w:val="20"/>
          <w:szCs w:val="20"/>
          <w:color w:val="auto"/>
        </w:rPr>
      </w:pPr>
      <w:r>
        <w:rPr>
          <w:rFonts w:ascii="Times New Roman" w:cs="Times New Roman" w:eastAsia="Times New Roman" w:hAnsi="Times New Roman"/>
          <w:sz w:val="22"/>
          <w:szCs w:val="22"/>
          <w:color w:val="auto"/>
        </w:rPr>
        <w:t>A dividend received or deemed to be received on the Common Shares held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the Resident Holder's taxable income for the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Resident Holder who disposes, or is deemed to dispose, a Common Share (other than a disposition to the Corporation that is not a sale in the open market in the manner in which shares would normally be purchased by any member of the public in an open market) will generally realize a capital gain (or capital loss) equal to the amount, if any, by which the proceeds of disposition, net of any reasonable costs of disposition, exceed (or are exceeded by) the aggregate of the adjusted cost base to the Resident Holder of such Common Shares immediately before the disposition or deemed disposition. The taxation of capital gains and losses is generally described below under the heading "</w:t>
      </w:r>
      <w:r>
        <w:rPr>
          <w:rFonts w:ascii="Times New Roman" w:cs="Times New Roman" w:eastAsia="Times New Roman" w:hAnsi="Times New Roman"/>
          <w:sz w:val="22"/>
          <w:szCs w:val="22"/>
          <w:i w:val="1"/>
          <w:iCs w:val="1"/>
          <w:color w:val="auto"/>
        </w:rPr>
        <w:t>Capital Gains and Capital Losses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 Gains and Capital Losses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Generally, a Resident Holder is required to include in computing income for a taxation year one-half of the amount of any capital gain (a "</w:t>
      </w:r>
      <w:r>
        <w:rPr>
          <w:rFonts w:ascii="Times New Roman" w:cs="Times New Roman" w:eastAsia="Times New Roman" w:hAnsi="Times New Roman"/>
          <w:sz w:val="22"/>
          <w:szCs w:val="22"/>
          <w:b w:val="1"/>
          <w:bCs w:val="1"/>
          <w:color w:val="auto"/>
        </w:rPr>
        <w:t>taxable capital gain</w:t>
      </w:r>
      <w:r>
        <w:rPr>
          <w:rFonts w:ascii="Times New Roman" w:cs="Times New Roman" w:eastAsia="Times New Roman" w:hAnsi="Times New Roman"/>
          <w:sz w:val="22"/>
          <w:szCs w:val="22"/>
          <w:color w:val="auto"/>
        </w:rPr>
        <w:t>") realized by the Resident Holder in such taxation year. Subject to and in accordance with the rules contained in the Tax Act, a Resident Holder is required to deduct one-half of the amount of any capital loss (an "</w:t>
      </w:r>
      <w:r>
        <w:rPr>
          <w:rFonts w:ascii="Times New Roman" w:cs="Times New Roman" w:eastAsia="Times New Roman" w:hAnsi="Times New Roman"/>
          <w:sz w:val="22"/>
          <w:szCs w:val="22"/>
          <w:b w:val="1"/>
          <w:bCs w:val="1"/>
          <w:color w:val="auto"/>
        </w:rPr>
        <w:t>allowable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capital loss</w:t>
      </w:r>
      <w:r>
        <w:rPr>
          <w:rFonts w:ascii="Times New Roman" w:cs="Times New Roman" w:eastAsia="Times New Roman" w:hAnsi="Times New Roman"/>
          <w:sz w:val="22"/>
          <w:szCs w:val="22"/>
          <w:color w:val="auto"/>
        </w:rPr>
        <w:t>") realized in a particular taxation year against taxable capital gains realized by the Resident Holder in the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(or on a share for which the Common Share has been substituted), to the extent and under the circumstances described in the Tax Act. Similar rules may apply where a Resident Holder that is a corporation is a member of a partnership or a beneficiary of a trust that owns Common Shares. Resident Holders to whom these rules may be relevant should consult their own tax advisors.</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throughout the relevant taxation year a "Canadian-controlled private corporation" or, at any time in the year, is or is deemed to be a "substantive CCPC" (each as defined in the Tax Act) may be liable to pay an additional tax (refundable in certain circumstances) on certain investment income, including amounts in respect of net taxable capital gains. Such Resident Holders should consult their own tax advisors.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Minimum Tax</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Taxation of Non-Resident Holders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is generally applicable to Holders who, at all relevant times, for the purposes of the Tax Act and any applicable income tax treaty and convention, (i) are neither resident nor deemed to be resident in Canada, and (ii) do not and will not use or hold, and are not and will not be deemed to use or hold, the Common Shares in the course of business (including an adventure or concern in the nature of trade) carried on or deemed to be carried on in Canada. Holders who meet all of the foregoing requirements are referred to herein as "</w:t>
      </w:r>
      <w:r>
        <w:rPr>
          <w:rFonts w:ascii="Times New Roman" w:cs="Times New Roman" w:eastAsia="Times New Roman" w:hAnsi="Times New Roman"/>
          <w:sz w:val="22"/>
          <w:szCs w:val="22"/>
          <w:b w:val="1"/>
          <w:bCs w:val="1"/>
          <w:color w:val="auto"/>
        </w:rPr>
        <w:t>Non-Resident Holders</w:t>
      </w:r>
      <w:r>
        <w:rPr>
          <w:rFonts w:ascii="Times New Roman" w:cs="Times New Roman" w:eastAsia="Times New Roman" w:hAnsi="Times New Roman"/>
          <w:sz w:val="22"/>
          <w:szCs w:val="22"/>
          <w:color w:val="auto"/>
        </w:rPr>
        <w:t>", and this portion of the summary only addresses such Non-Resident Holders. 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Dividends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Dividends paid or credited or deemed to be paid or credited to a Non-Resident Holder by the Corporation on the Common Shares will be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rFonts w:ascii="Times New Roman" w:cs="Times New Roman" w:eastAsia="Times New Roman" w:hAnsi="Times New Roman"/>
          <w:sz w:val="22"/>
          <w:szCs w:val="22"/>
          <w:i w:val="1"/>
          <w:iCs w:val="1"/>
          <w:color w:val="auto"/>
        </w:rPr>
        <w:t>Canada-United States Tax Convention (1980),</w:t>
      </w:r>
      <w:r>
        <w:rPr>
          <w:rFonts w:ascii="Times New Roman" w:cs="Times New Roman" w:eastAsia="Times New Roman" w:hAnsi="Times New Roman"/>
          <w:sz w:val="22"/>
          <w:szCs w:val="22"/>
          <w:color w:val="auto"/>
        </w:rPr>
        <w:t xml:space="preserve"> as amended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the rate of withholding tax on dividends paid or credited to a Non-Resident Holder who is the beneficial owner of the dividends, resident in the U.S. for purposes of the Treaty and entitled to full benefits under the Treaty (a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is generally reduced to 15% of the gross amount of the dividends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such Common Share constitutes (or is deemed to constitute)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Provided the Common Shares are listed on a "designated stock exchange", as defined in the Tax Act (which currently includes Cboe Canada and the NYSE American), at the time of disposition or deemed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w:t>
      </w:r>
    </w:p>
    <w:p>
      <w:pPr>
        <w:spacing w:after="0" w:line="2" w:lineRule="exact"/>
        <w:rPr>
          <w:sz w:val="20"/>
          <w:szCs w:val="20"/>
          <w:color w:val="auto"/>
        </w:rPr>
      </w:pPr>
    </w:p>
    <w:p>
      <w:pPr>
        <w:jc w:val="both"/>
        <w:ind w:firstLine="8"/>
        <w:spacing w:after="0" w:line="243" w:lineRule="auto"/>
        <w:tabs>
          <w:tab w:leader="none" w:pos="31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may be deemed to be taxable Canadian property of a Non-Resident Holder.</w:t>
      </w:r>
    </w:p>
    <w:p>
      <w:pPr>
        <w:spacing w:after="0" w:line="1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Common Shares constitute "taxable Canadian property".</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 In cases where a Non-Resident Holder disposes, or is deemed to have disposed, Common Shares that are, or are deemed to be,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22"/>
          <w:szCs w:val="22"/>
          <w:i w:val="1"/>
          <w:iCs w:val="1"/>
          <w:color w:val="auto"/>
        </w:rPr>
        <w:t>Taxation of Resident Holders - Capital Gains and Capital Losses</w:t>
      </w:r>
      <w:r>
        <w:rPr>
          <w:rFonts w:ascii="Times New Roman" w:cs="Times New Roman" w:eastAsia="Times New Roman" w:hAnsi="Times New Roman"/>
          <w:sz w:val="22"/>
          <w:szCs w:val="22"/>
          <w:color w:val="auto"/>
        </w:rPr>
        <w:t>" will generally be applicable to such disposition.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who may hold Common Shares as taxable Canadian property should consult their own tax advisors.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 TO U.S. HOLDERS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Warrant Shares received upon exercise of the Warrants. This summary is for general information purposes only and does not purport to be a complete analysis or listing of all potential U.S. federal income tax considerations that may apply to a U.S. Holder arising from and relating to the acquisition, ownership and disposition of Warrant Shares. In addition, this summary does not take into account the individual facts and circumstances of any particular U.S. Holder that may affect the U.S. federal income tax considerations relevant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and non-U.S. tax consequences to U.S. Holders of the acquisition, ownership and disposition of Warrant Shares. In addition, except as specifically set forth below, this summary does not discuss applicable income tax reporting requirements. Each prospective U.S. Holder should consult its own tax advisors regarding the U.S. federal, U.S. state and local, and non-U.S. tax consequences relating to the acquisition, ownership and disposition of Warrant Shares.</w:t>
      </w:r>
    </w:p>
    <w:p>
      <w:pPr>
        <w:spacing w:after="0" w:line="1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 opinion from legal counsel or ruling from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has been requested, or will be obtained, regarding the U.S. federal income tax consequences of the acquisition, ownership and disposition of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Canada-United States Tax Convention (1980) (the "</w:t>
      </w:r>
      <w:r>
        <w:rPr>
          <w:rFonts w:ascii="Times New Roman" w:cs="Times New Roman" w:eastAsia="Times New Roman" w:hAnsi="Times New Roman"/>
          <w:sz w:val="22"/>
          <w:szCs w:val="22"/>
          <w:b w:val="1"/>
          <w:bCs w:val="1"/>
          <w:color w:val="auto"/>
        </w:rPr>
        <w:t>Canada-U.S. Tax Convention</w:t>
      </w:r>
      <w:r>
        <w:rPr>
          <w:rFonts w:ascii="Times New Roman" w:cs="Times New Roman" w:eastAsia="Times New Roman" w:hAnsi="Times New Roman"/>
          <w:sz w:val="22"/>
          <w:szCs w:val="22"/>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retroactively. This summary does not discuss the potential effects, whether adverse or beneficial, of any proposed legislation that, if enacted, could be applied on a retroactive or prospective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summary, the term "U.S. Holder" means a beneficial owner of Warrant Shares received upon exercise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Warrants that is for U.S. federal income tax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-424180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Non-U.S. Holders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purposes of this summary, a "non-U.S. Holder" is a beneficial owner of Warrant Shares that is not a U.S. Holder and is not a partnership for U.S. federal income tax purposes. This summary does not address the U.S. federal income tax considerations applicable to non-U.S. Holders. Accordingly, a non-U.S. Holder should consult its own tax advisors regarding the U.S. federal, U.S. state and local and non-U.S. tax consequences (including the potential application and operation of any income tax treaties) relating to the acquisition, ownership and disposition of Warrant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 Subject to Special U.S. Federal Income Tax Rules Not Addressed</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Warrant Shares as part of a straddle, hedge, conversion transaction, constructive sale, or other integrated transaction; (f) acquire Warrant Shares in connection with the exercise or cancellation of employee stock options or otherwise as compensation for services; (g) hold Warrant Shares other than as a capital asset within the meaning of Section 1221 of the Code (generally, property held for investment purposes); (h) are subject to the alternative minimum tax; (i) are subject to special tax accounting rules with respect to Warrant Shares; (j) are partnerships or other "pass-through" entities (and partners or other investors in such partnerships); (k) are S corporations (and shareholders thereof); (l) are U.S. expatriates or former long-term residents of the United States; (m) hold Warrant Shares in connection with a trade or business, permanent establishment, or fixed base outside the United States; (n) own, have owned or will own (directly, indirectly, or by attribution) 10% or more of the total combined voting power or value of the outstanding shares of the Corporation; or (o) are deemed to sell Warrant Shares under the constructive sale provisions of the Code. U.S. Holders that are subject to special provisions under the Code, including, but not limited to, U.S. Holders described immediately above, should consult their own tax advisors regarding the U.S. federal, U.S. state and local, and non-U.S. tax consequences relating to the acquisition, ownership and disposition of Warrant Shares.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If an entity or arrangement that is classified as a partnership (or other "pass-through" entity) for U.S. federal income tax purposes holds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Warrant Shares. .</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the Corporation were to constitute a "passive foreign investment company" within the meaning of Section 1297(a) of the Code (a "</w:t>
      </w:r>
      <w:r>
        <w:rPr>
          <w:rFonts w:ascii="Times New Roman" w:cs="Times New Roman" w:eastAsia="Times New Roman" w:hAnsi="Times New Roman"/>
          <w:sz w:val="21"/>
          <w:szCs w:val="21"/>
          <w:b w:val="1"/>
          <w:bCs w:val="1"/>
          <w:color w:val="auto"/>
        </w:rPr>
        <w:t>PFIC</w:t>
      </w:r>
      <w:r>
        <w:rPr>
          <w:rFonts w:ascii="Times New Roman" w:cs="Times New Roman" w:eastAsia="Times New Roman" w:hAnsi="Times New Roman"/>
          <w:sz w:val="21"/>
          <w:szCs w:val="21"/>
          <w:color w:val="auto"/>
        </w:rPr>
        <w:t>", as defined below) for any year during a U.S. Holder's holding period, then certain potentially adverse rules would affect the U.S. federal income tax consequences to a U.S. Holder as a result of the acquisition, ownership and disposition of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1"/>
          <w:szCs w:val="21"/>
          <w:b w:val="1"/>
          <w:bCs w:val="1"/>
          <w:color w:val="auto"/>
        </w:rPr>
        <w:t>Subsidiary PFIC</w:t>
      </w:r>
      <w:r>
        <w:rPr>
          <w:rFonts w:ascii="Times New Roman" w:cs="Times New Roman" w:eastAsia="Times New Roman" w:hAnsi="Times New Roman"/>
          <w:sz w:val="21"/>
          <w:szCs w:val="21"/>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Warrant Shares. Accordingly, U.S. Holders should be aware that they could be subject to tax under the PFIC rules even if no distributions are received and no redemptions or other dispositions of Warrant Shares are made.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Warrant Shares, the U.S. federal income tax consequences to such U.S. Holder of the acquisition, ownership, and disposition of Warrant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with respect to the Warrant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"Non-Electing U.S. Holder".</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Warrant Shares; and (b) any "excess distribution" received on the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Warrant Shares, if shorter).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21"/>
          <w:szCs w:val="21"/>
          <w:color w:val="auto"/>
        </w:rPr>
        <w:t>Under Section 1291 of the Code, if the Corporation is a PFIC, any gain recognized on the sale or other taxable disposition of Warrant Shares (including an indirect disposition of the stock of any Subsidiary PFIC), and any "excess distribution" received on the Warrant Shares or with respect to the stock of a Subsidiary PFIC, must be ratably allocated to each day in a Non-Electing U.S. Holder's holding period for the respective Warrant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Warrant Shares by electing to recognize gain (which will be taxed under the rules of Section 1291 of the Code discussed above), but not loss, as if such Warrant Shares were sold on the last day of the last tax year for which the Corporation was a PFIC.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 U.S. Holder that makes a timely and effective QEF Election for the first tax year in which the holding period of its Warrant Shares begins generally will not be subject to the rules of Section 1291 of the Code discussed above with respect to its Warrant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Warrant Shares to reflect the amount included in income or allowed as a tax-free distribution because of such QEF Election. In addition, a U.S. Holder that makes a QEF Election generally will recognize capital gain or loss on the sale or other taxable disposition of Warrant Shares.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Warrant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Warrant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Warrant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Warrant Shares. If a U.S. Holder owns PFIC stock indirectly through another PFIC, separate QEF Elections must be made for the PFIC in which the U.S. Holder is a direct shareholder and the Subsidiary PFIC for the QEF rules to apply to both PFICs.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with respect to the Warrant Shares only if the Warrant Shares are marketable stock. The Warrant Shares generally will be "marketable stock" if the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Warrant Shares generally will not be subject to the default rules of Section 1291 of the Code discussed above with respect to such Warrant Shares. However, if a U.S. Holder does not make a Mark-to-Market Election beginning in the first tax year of such U.S. Holder's holding period for the Warrant Shares for which the Corporation is a PFIC and such U.S. Holder has not made a timely QEF Election, the default rules of Section 1291 of the Code discussed above will apply to certain dispositions of, and distributions on, the Warrant Shares.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will include in ordinary income, for each tax year in which the Corporation is a PFIC, an amount equal to the excess, if any, of (a) the fair market value of the Warrant Shares, as of the close of such tax year over (b) such U.S. Holder's adjusted tax basis in such Warrant Shares. A U.S. Holder that makes a Mark-to-Market Election will be allowed a deduction in an amount equal to the excess, if any, of (a) such U.S. Holder's adjusted tax basis in the Warrant Shares, over (b) the fair market value of such Warrant Shares (but only to the extent of the net amount of previously included income as a result of the Mark-to-Market Election for prior tax years).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Warrant Shares to reflect the amount included in gross income or allowed as a deduction because of such Mark-to-Market Election. In addition, upon a sale or other taxable disposition of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Warrant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Warrant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Warrant Shares that would otherwise be tax-deferred (e.g., gifts and exchanges pursuant to corporate reorganizations). However, the specific U.S. federal income tax consequences to a U.S. Holder may vary based on the manner in which Warrant Shares are transferred.</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Warrant Shares as security for a loan will, except as may be provided in Treasury Regulations, be treated as having made a taxable disposition of such Warrant Shares.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a U.S. Holder who acquires Warrant Shares from a decedent will not receive a "step up" in tax basis of such Warrant Shares to fair market value unless such decedent had a timely and effective QEF Election in place.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PFIC rules are complex, and each U.S. Holder should consult its own tax advisors regarding the PFIC rules and how the PFIC rules may affect the U.S. federal income tax consequences of the acquisition, ownership, and disposition of Warrant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Warrant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Warrant Shares</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 U.S. Holder that receives a distribution, including a constructive distribution, with respect to a Common Share or Warrant Share will be required to include the amount of such distribution in gross income as a dividend (without reduction for any Canadian income tax withheld from such distribution) to the extent of the current and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Warrant Shares, and thereafter as gain from the sale or exchange of such Warrant Shares. (see the section below entitled "</w:t>
      </w:r>
      <w:r>
        <w:rPr>
          <w:rFonts w:ascii="Times New Roman" w:cs="Times New Roman" w:eastAsia="Times New Roman" w:hAnsi="Times New Roman"/>
          <w:sz w:val="22"/>
          <w:szCs w:val="22"/>
          <w:i w:val="1"/>
          <w:iCs w:val="1"/>
          <w:color w:val="auto"/>
        </w:rPr>
        <w:t>Sale or Other Taxable Disposition of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Shares</w:t>
      </w:r>
      <w:r>
        <w:rPr>
          <w:rFonts w:ascii="Times New Roman" w:cs="Times New Roman" w:eastAsia="Times New Roman" w:hAnsi="Times New Roman"/>
          <w:sz w:val="22"/>
          <w:szCs w:val="22"/>
          <w:color w:val="auto"/>
        </w:rPr>
        <w:t>"). However, the Corporation does not intend to maintain the calculations of its earnings and profits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 federal income tax principles, and each U.S. Holder should therefore assume that any distribution by the Corporation with respect to the Warrant Shares will constitute ordinary dividend income. Dividends received on Warrant Shares by corporate U.S. Holders generally will not be eligible for the "dividends received deduction". Subject to applicable limitations and provided the Corporation is eligible for the benefits of the Canada-U.S. Tax Convention or the Warrant Shares are readily tradable on a U.S.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Warrant Shares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generally will recognize gain or loss on the sale or other taxable disposition of the Warrant Shares in an amount equal to the difference, if any, between (a) the U.S. dollar value of cash received plus the fair market value of any property received and (b) such U.S. Holder's adjusted tax basis in such Warrant Shares sold or otherwise disposed of. A U.S. Holder's tax basis in Warrant Shares generally will be such U.S. Holder's U.S. dollar cost for such Warrant Shares. Any such gain or loss generally will be capital gain or loss, which will be long-term capital gain or loss if, at the time of the sale or other disposition, the Warrant Shares have been held for more than one year.</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Warrant Shares, generally will be equal to the U.S. dollar value of such foreign currency based on the exchange rate applicable on the date of receipt or, if applicable, the date of settlement if the Registrable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Warrant Shares will be treated as foreign-source income, and generally will be treated as "passive category income" or "general category income" for U.S. foreign tax credit purposes. Any gain or loss recognized on a sale or other disposition of Warrant Shares generally will be U.S.-source gain or loss. Certain U.S. Holders that are eligible for the benefits of the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 can be no assurance that those requirements will be satisfied. The Treasury Department has released guidance temporarily pausing the application of certain of the Foreign Tax Credit Regulations.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Warrant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Payments made within the U.S. or by a U.S. payor or U.S. middleman, of dividends on, and proceeds arising from the sale or other taxable disposition of Warrant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WARRANT SHARES. U.S. HOLDERS SHOULD CONSULT THEIR OWN TAX ADVISORS AS TO THE TAX CONSIDERATIONS APPLICABLE TO THEM IN LIGHT OF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 to U.S. Holders"</w:t>
      </w:r>
      <w:r>
        <w:rPr>
          <w:rFonts w:ascii="Times New Roman" w:cs="Times New Roman" w:eastAsia="Times New Roman" w:hAnsi="Times New Roman"/>
          <w:sz w:val="22"/>
          <w:szCs w:val="22"/>
          <w:color w:val="auto"/>
        </w:rPr>
        <w:t>, as well as certain other legal matters relating to the issue and sale of the Warrant Shares offered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hereby, will be passed upon on behalf of the Corporation by Aird &amp; Berlis LLP.</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17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Warrants or Warrant Shares who reside in the United States to effect service within the United States upon those directors, officers and experts who are not residents of the United States. It may also be difficult for holders of the Warrant Shares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or "Blue Sky" laws of any state within the United States.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Warrant Shares under this Prospectus Supplement and the accompanying Base Shelf Prospectus.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125095</wp:posOffset>
            </wp:positionV>
            <wp:extent cx="1945640" cy="1183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4"/>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2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1720" w:type="dxa"/>
            <w:vAlign w:val="bottom"/>
            <w:gridSpan w:val="5"/>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2"/>
        </w:trPr>
        <w:tc>
          <w:tcPr>
            <w:tcW w:w="31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660" w:type="dxa"/>
            <w:vAlign w:val="bottom"/>
            <w:gridSpan w:val="11"/>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8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1160" w:type="dxa"/>
            <w:vAlign w:val="bottom"/>
            <w:tcBorders>
              <w:top w:val="single" w:sz="8" w:color="0000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1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23</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880" w:type="dxa"/>
            <w:vAlign w:val="bottom"/>
            <w:tcBorders>
              <w:bottom w:val="single" w:sz="8" w:color="0000EE"/>
            </w:tcBorders>
            <w:gridSpan w:val="12"/>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520" w:type="dxa"/>
            <w:vAlign w:val="bottom"/>
            <w:tcBorders>
              <w:bottom w:val="single" w:sz="8" w:color="0000EE"/>
            </w:tcBorders>
            <w:gridSpan w:val="1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40" w:type="dxa"/>
            <w:vAlign w:val="bottom"/>
            <w:tcBorders>
              <w:bottom w:val="single" w:sz="8" w:color="0000EE"/>
            </w:tcBorders>
            <w:gridSpan w:val="16"/>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260" w:type="dxa"/>
            <w:vAlign w:val="bottom"/>
            <w:tcBorders>
              <w:bottom w:val="single" w:sz="8" w:color="0000EE"/>
            </w:tcBorders>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395"/>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left="680" w:hanging="348"/>
        <w:spacing w:after="0"/>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272" w:lineRule="auto"/>
        <w:tabs>
          <w:tab w:leader="none" w:pos="16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2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2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0" w:name="page61"/>
    <w:bookmarkEnd w:id="60"/>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2"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56" w:gutter="0" w:footer="0" w:header="0"/>
          <w:type w:val="continuous"/>
        </w:sectPr>
      </w:pPr>
    </w:p>
    <w:bookmarkStart w:id="62" w:name="page63"/>
    <w:bookmarkEnd w:id="62"/>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2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6"/>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7"/>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6"/>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70" w:name="page71"/>
    <w:bookmarkEnd w:id="70"/>
    <w:p>
      <w:pPr>
        <w:ind w:left="660" w:hanging="436"/>
        <w:spacing w:after="0" w:line="242"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79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1"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923" w:gutter="0" w:footer="0" w:header="0"/>
          <w:type w:val="continuous"/>
        </w:sectPr>
      </w:pPr>
    </w:p>
    <w:bookmarkStart w:id="77" w:name="page78"/>
    <w:bookmarkEnd w:id="77"/>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2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1" w:name="page82"/>
    <w:bookmarkEnd w:id="81"/>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24"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2"/>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7"/>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lowerLetter"/>
      <w:start w:val="2"/>
    </w:lvl>
  </w:abstractNum>
  <w:abstractNum w:abstractNumId="11">
    <w:nsid w:val="7C83E458"/>
    <w:multiLevelType w:val="hybridMultilevel"/>
    <w:lvl w:ilvl="0">
      <w:lvlJc w:val="left"/>
      <w:lvlText w:val="1"/>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5"/>
      <w:numFmt w:val="bullet"/>
      <w:start w:val="1"/>
    </w:lvl>
  </w:abstractNum>
  <w:abstractNum w:abstractNumId="18">
    <w:nsid w:val="2443A858"/>
    <w:multiLevelType w:val="hybridMultilevel"/>
    <w:lvl w:ilvl="0">
      <w:lvlJc w:val="left"/>
      <w:lvlText w:val="9"/>
      <w:numFmt w:val="bullet"/>
      <w:start w:val="1"/>
    </w:lvl>
  </w:abstractNum>
  <w:abstractNum w:abstractNumId="19">
    <w:nsid w:val="2D1D5AE9"/>
    <w:multiLevelType w:val="hybridMultilevel"/>
    <w:lvl w:ilvl="0">
      <w:lvlJc w:val="left"/>
      <w:lvlText w:val="%1"/>
      <w:numFmt w:val="decimal"/>
      <w:start w:val="10"/>
    </w:lvl>
  </w:abstractNum>
  <w:abstractNum w:abstractNumId="20">
    <w:nsid w:val="6763845E"/>
    <w:multiLevelType w:val="hybridMultilevel"/>
    <w:lvl w:ilvl="0">
      <w:lvlJc w:val="left"/>
      <w:lvlText w:val="%1"/>
      <w:numFmt w:val="decimal"/>
      <w:start w:val="11"/>
    </w:lvl>
  </w:abstractNum>
  <w:abstractNum w:abstractNumId="21">
    <w:nsid w:val="75A2A8D4"/>
    <w:multiLevelType w:val="hybridMultilevel"/>
    <w:lvl w:ilvl="0">
      <w:lvlJc w:val="left"/>
      <w:lvlText w:val="%1"/>
      <w:numFmt w:val="decimal"/>
      <w:start w:val="14"/>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7"/>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2025-09-18T05:26:03Z</dcterms:created>
  <dcterms:modified xsi:type="dcterms:W3CDTF">2025-09-18T05:26:03Z</dcterms:modified>
</cp:coreProperties>
</file>