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File No. 333-272706</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both"/>
        <w:spacing w:after="0" w:line="279" w:lineRule="auto"/>
        <w:rPr>
          <w:sz w:val="20"/>
          <w:szCs w:val="20"/>
          <w:color w:val="auto"/>
        </w:rPr>
      </w:pPr>
      <w:r>
        <w:rPr>
          <w:rFonts w:ascii="Arial" w:cs="Arial" w:eastAsia="Arial" w:hAnsi="Arial"/>
          <w:sz w:val="19"/>
          <w:szCs w:val="19"/>
          <w:i w:val="1"/>
          <w:iCs w:val="1"/>
          <w:color w:val="auto"/>
        </w:rPr>
        <w:t>This prospectus supplement (the "</w:t>
      </w:r>
      <w:r>
        <w:rPr>
          <w:rFonts w:ascii="Arial" w:cs="Arial" w:eastAsia="Arial" w:hAnsi="Arial"/>
          <w:sz w:val="19"/>
          <w:szCs w:val="19"/>
          <w:b w:val="1"/>
          <w:bCs w:val="1"/>
          <w:i w:val="1"/>
          <w:iCs w:val="1"/>
          <w:color w:val="auto"/>
        </w:rPr>
        <w:t>Prospectus Supplement</w:t>
      </w:r>
      <w:r>
        <w:rPr>
          <w:rFonts w:ascii="Arial" w:cs="Arial" w:eastAsia="Arial" w:hAnsi="Arial"/>
          <w:sz w:val="19"/>
          <w:szCs w:val="19"/>
          <w:i w:val="1"/>
          <w:iCs w:val="1"/>
          <w:color w:val="auto"/>
        </w:rPr>
        <w:t>"), together with the short form base shelf prospectus dated August 17, 2023 to which it relates, as amended or supplemented (the "</w:t>
      </w:r>
      <w:r>
        <w:rPr>
          <w:rFonts w:ascii="Arial" w:cs="Arial" w:eastAsia="Arial" w:hAnsi="Arial"/>
          <w:sz w:val="19"/>
          <w:szCs w:val="19"/>
          <w:b w:val="1"/>
          <w:bCs w:val="1"/>
          <w:i w:val="1"/>
          <w:iCs w:val="1"/>
          <w:color w:val="auto"/>
        </w:rPr>
        <w:t>Base Shelf Prospectus</w:t>
      </w:r>
      <w:r>
        <w:rPr>
          <w:rFonts w:ascii="Arial" w:cs="Arial" w:eastAsia="Arial" w:hAnsi="Arial"/>
          <w:sz w:val="19"/>
          <w:szCs w:val="19"/>
          <w:i w:val="1"/>
          <w:iCs w:val="1"/>
          <w:color w:val="auto"/>
        </w:rPr>
        <w:t>"), and each document deemed to be incorporated by reference into this Prospectus Supplement and the Base Shelf Prospectus, as amended or supplemented (collectively, the "</w:t>
      </w:r>
      <w:r>
        <w:rPr>
          <w:rFonts w:ascii="Arial" w:cs="Arial" w:eastAsia="Arial" w:hAnsi="Arial"/>
          <w:sz w:val="19"/>
          <w:szCs w:val="19"/>
          <w:b w:val="1"/>
          <w:bCs w:val="1"/>
          <w:i w:val="1"/>
          <w:iCs w:val="1"/>
          <w:color w:val="auto"/>
        </w:rPr>
        <w:t>Prospectus</w:t>
      </w:r>
      <w:r>
        <w:rPr>
          <w:rFonts w:ascii="Arial" w:cs="Arial" w:eastAsia="Arial" w:hAnsi="Arial"/>
          <w:sz w:val="19"/>
          <w:szCs w:val="19"/>
          <w:i w:val="1"/>
          <w:iCs w:val="1"/>
          <w:color w:val="auto"/>
        </w:rPr>
        <w:t xml:space="preserve">"), constitutes a public offering of these securities only in those jurisdictions where they may be lawfully offered for sale and only by persons permitted to sell such securities. </w:t>
      </w:r>
      <w:r>
        <w:rPr>
          <w:rFonts w:ascii="Arial" w:cs="Arial" w:eastAsia="Arial" w:hAnsi="Arial"/>
          <w:sz w:val="19"/>
          <w:szCs w:val="19"/>
          <w:b w:val="1"/>
          <w:bCs w:val="1"/>
          <w:i w:val="1"/>
          <w:iCs w:val="1"/>
          <w:color w:val="auto"/>
        </w:rPr>
        <w:t>No securities regulatory authority has expressed</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an opinion about these securities and it is an offence to claim otherwise.</w:t>
      </w:r>
    </w:p>
    <w:p>
      <w:pPr>
        <w:spacing w:after="0" w:line="150" w:lineRule="exact"/>
        <w:rPr>
          <w:sz w:val="24"/>
          <w:szCs w:val="24"/>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 xml:space="preserve">Information has been incorporated by reference in the Prospectus from documents filed with securities commissions or similar authorities in Canada. </w:t>
      </w:r>
      <w:r>
        <w:rPr>
          <w:rFonts w:ascii="Arial" w:cs="Arial" w:eastAsia="Arial" w:hAnsi="Arial"/>
          <w:sz w:val="19"/>
          <w:szCs w:val="19"/>
          <w:i w:val="1"/>
          <w:iCs w:val="1"/>
          <w:color w:val="auto"/>
        </w:rPr>
        <w:t>Copies of the documents incorporated herein by reference may be obtained on request without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 xml:space="preserve">charge from the Secretary of Cybin Inc. at 100 King Street West, Suite 5600, Toronto, Ontario M5X 1C9, telephone 1-866-292-4601, and are also available electronically at </w:t>
      </w:r>
      <w:r>
        <w:rPr>
          <w:rFonts w:ascii="Arial" w:cs="Arial" w:eastAsia="Arial" w:hAnsi="Arial"/>
          <w:sz w:val="19"/>
          <w:szCs w:val="19"/>
          <w:i w:val="1"/>
          <w:iCs w:val="1"/>
          <w:u w:val="single" w:color="auto"/>
          <w:color w:val="0563C1"/>
        </w:rPr>
        <w:t>www.sedarplus.ca</w:t>
      </w:r>
      <w:r>
        <w:rPr>
          <w:rFonts w:ascii="Arial" w:cs="Arial" w:eastAsia="Arial" w:hAnsi="Arial"/>
          <w:sz w:val="19"/>
          <w:szCs w:val="19"/>
          <w:i w:val="1"/>
          <w:iCs w:val="1"/>
          <w:color w:val="auto"/>
        </w:rPr>
        <w:t xml:space="preserve"> and </w:t>
      </w:r>
      <w:r>
        <w:rPr>
          <w:rFonts w:ascii="Arial" w:cs="Arial" w:eastAsia="Arial" w:hAnsi="Arial"/>
          <w:sz w:val="19"/>
          <w:szCs w:val="19"/>
          <w:i w:val="1"/>
          <w:iCs w:val="1"/>
          <w:u w:val="single" w:color="auto"/>
          <w:color w:val="0563C1"/>
        </w:rPr>
        <w:t>www.sec.gov/edgar</w:t>
      </w:r>
      <w:r>
        <w:rPr>
          <w:rFonts w:ascii="Arial" w:cs="Arial" w:eastAsia="Arial" w:hAnsi="Arial"/>
          <w:sz w:val="19"/>
          <w:szCs w:val="19"/>
          <w:i w:val="1"/>
          <w:iCs w:val="1"/>
          <w:color w:val="auto"/>
        </w:rPr>
        <w:t>.</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THE SHORT FORM BASE SHELF PROSPECTUS DATED AUGUST 17, 2023</w:t>
      </w:r>
    </w:p>
    <w:p>
      <w:pPr>
        <w:spacing w:after="0" w:line="195" w:lineRule="exact"/>
        <w:rPr>
          <w:sz w:val="24"/>
          <w:szCs w:val="24"/>
          <w:color w:val="auto"/>
        </w:rPr>
      </w:pPr>
    </w:p>
    <w:p>
      <w:pPr>
        <w:spacing w:after="0"/>
        <w:tabs>
          <w:tab w:leader="none" w:pos="10020" w:val="left"/>
        </w:tabs>
        <w:rPr>
          <w:sz w:val="20"/>
          <w:szCs w:val="20"/>
          <w:color w:val="auto"/>
        </w:rPr>
      </w:pPr>
      <w:r>
        <w:rPr>
          <w:rFonts w:ascii="Arial" w:cs="Arial" w:eastAsia="Arial" w:hAnsi="Arial"/>
          <w:sz w:val="18"/>
          <w:szCs w:val="18"/>
          <w:i w:val="1"/>
          <w:iCs w:val="1"/>
          <w:u w:val="single" w:color="auto"/>
          <w:color w:val="auto"/>
        </w:rPr>
        <w:t>New Issue</w:t>
      </w:r>
      <w:r>
        <w:rPr>
          <w:sz w:val="20"/>
          <w:szCs w:val="20"/>
          <w:color w:val="auto"/>
        </w:rPr>
        <w:tab/>
      </w:r>
      <w:r>
        <w:rPr>
          <w:rFonts w:ascii="Arial" w:cs="Arial" w:eastAsia="Arial" w:hAnsi="Arial"/>
          <w:sz w:val="16"/>
          <w:szCs w:val="16"/>
          <w:color w:val="auto"/>
        </w:rPr>
        <w:t>August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306070</wp:posOffset>
            </wp:positionV>
            <wp:extent cx="1405890" cy="840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5020"/>
        <w:spacing w:after="0"/>
        <w:rPr>
          <w:sz w:val="20"/>
          <w:szCs w:val="20"/>
          <w:color w:val="auto"/>
        </w:rPr>
      </w:pPr>
      <w:r>
        <w:rPr>
          <w:rFonts w:ascii="Arial" w:cs="Arial" w:eastAsia="Arial" w:hAnsi="Arial"/>
          <w:sz w:val="22"/>
          <w:szCs w:val="22"/>
          <w:b w:val="1"/>
          <w:bCs w:val="1"/>
          <w:color w:val="auto"/>
        </w:rPr>
        <w:t>CYBIN INC.</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US$30,000,000</w:t>
      </w:r>
    </w:p>
    <w:p>
      <w:pPr>
        <w:spacing w:after="0" w:line="206" w:lineRule="exact"/>
        <w:rPr>
          <w:sz w:val="24"/>
          <w:szCs w:val="24"/>
          <w:color w:val="auto"/>
        </w:rPr>
      </w:pPr>
    </w:p>
    <w:p>
      <w:pPr>
        <w:jc w:val="both"/>
        <w:spacing w:after="0" w:line="274" w:lineRule="auto"/>
        <w:rPr>
          <w:sz w:val="20"/>
          <w:szCs w:val="20"/>
          <w:color w:val="auto"/>
        </w:rPr>
      </w:pPr>
      <w:r>
        <w:rPr>
          <w:rFonts w:ascii="Arial" w:cs="Arial" w:eastAsia="Arial" w:hAnsi="Arial"/>
          <w:sz w:val="19"/>
          <w:szCs w:val="19"/>
          <w:color w:val="auto"/>
        </w:rPr>
        <w:t>Cybin Inc. ("</w:t>
      </w:r>
      <w:r>
        <w:rPr>
          <w:rFonts w:ascii="Arial" w:cs="Arial" w:eastAsia="Arial" w:hAnsi="Arial"/>
          <w:sz w:val="19"/>
          <w:szCs w:val="19"/>
          <w:b w:val="1"/>
          <w:bCs w:val="1"/>
          <w:color w:val="auto"/>
        </w:rPr>
        <w:t>Cybin</w:t>
      </w:r>
      <w:r>
        <w:rPr>
          <w:rFonts w:ascii="Arial" w:cs="Arial" w:eastAsia="Arial" w:hAnsi="Arial"/>
          <w:sz w:val="19"/>
          <w:szCs w:val="19"/>
          <w:color w:val="auto"/>
        </w:rPr>
        <w:t>" or the "</w:t>
      </w:r>
      <w:r>
        <w:rPr>
          <w:rFonts w:ascii="Arial" w:cs="Arial" w:eastAsia="Arial" w:hAnsi="Arial"/>
          <w:sz w:val="19"/>
          <w:szCs w:val="19"/>
          <w:b w:val="1"/>
          <w:bCs w:val="1"/>
          <w:color w:val="auto"/>
        </w:rPr>
        <w:t>Corporation</w:t>
      </w:r>
      <w:r>
        <w:rPr>
          <w:rFonts w:ascii="Arial" w:cs="Arial" w:eastAsia="Arial" w:hAnsi="Arial"/>
          <w:sz w:val="19"/>
          <w:szCs w:val="19"/>
          <w:color w:val="auto"/>
        </w:rPr>
        <w:t>") has entered into a purchase agreement (the "</w:t>
      </w:r>
      <w:r>
        <w:rPr>
          <w:rFonts w:ascii="Arial" w:cs="Arial" w:eastAsia="Arial" w:hAnsi="Arial"/>
          <w:sz w:val="19"/>
          <w:szCs w:val="19"/>
          <w:b w:val="1"/>
          <w:bCs w:val="1"/>
          <w:color w:val="auto"/>
        </w:rPr>
        <w:t>Purchase Agreement</w:t>
      </w:r>
      <w:r>
        <w:rPr>
          <w:rFonts w:ascii="Arial" w:cs="Arial" w:eastAsia="Arial" w:hAnsi="Arial"/>
          <w:sz w:val="19"/>
          <w:szCs w:val="19"/>
          <w:color w:val="auto"/>
        </w:rPr>
        <w:t>") dated May 30, 2023, with Lincoln Park Capital Fund, LLC (the "</w:t>
      </w:r>
      <w:r>
        <w:rPr>
          <w:rFonts w:ascii="Arial" w:cs="Arial" w:eastAsia="Arial" w:hAnsi="Arial"/>
          <w:sz w:val="19"/>
          <w:szCs w:val="19"/>
          <w:b w:val="1"/>
          <w:bCs w:val="1"/>
          <w:color w:val="auto"/>
        </w:rPr>
        <w:t>Investor</w:t>
      </w:r>
      <w:r>
        <w:rPr>
          <w:rFonts w:ascii="Arial" w:cs="Arial" w:eastAsia="Arial" w:hAnsi="Arial"/>
          <w:sz w:val="19"/>
          <w:szCs w:val="19"/>
          <w:color w:val="auto"/>
        </w:rPr>
        <w:t>"), relating to the sale of common shares in the capital of the Corporation (the "</w:t>
      </w:r>
      <w:r>
        <w:rPr>
          <w:rFonts w:ascii="Arial" w:cs="Arial" w:eastAsia="Arial" w:hAnsi="Arial"/>
          <w:sz w:val="19"/>
          <w:szCs w:val="19"/>
          <w:b w:val="1"/>
          <w:bCs w:val="1"/>
          <w:color w:val="auto"/>
        </w:rPr>
        <w:t>Common Shares</w:t>
      </w:r>
      <w:r>
        <w:rPr>
          <w:rFonts w:ascii="Arial" w:cs="Arial" w:eastAsia="Arial" w:hAnsi="Arial"/>
          <w:sz w:val="19"/>
          <w:szCs w:val="19"/>
          <w:color w:val="auto"/>
        </w:rPr>
        <w:t>"). In accordance with the terms of the Purchase Agreement, the Corporation is qualifying the distribution and sale of Common Shares to the Investor for a total maximum aggregate purchase price of US$30,000,000 during the 36-month term of the Purchase Agreement (the "</w:t>
      </w:r>
      <w:r>
        <w:rPr>
          <w:rFonts w:ascii="Arial" w:cs="Arial" w:eastAsia="Arial" w:hAnsi="Arial"/>
          <w:sz w:val="19"/>
          <w:szCs w:val="19"/>
          <w:b w:val="1"/>
          <w:bCs w:val="1"/>
          <w:color w:val="auto"/>
        </w:rPr>
        <w:t>Offering</w:t>
      </w:r>
      <w:r>
        <w:rPr>
          <w:rFonts w:ascii="Arial" w:cs="Arial" w:eastAsia="Arial" w:hAnsi="Arial"/>
          <w:sz w:val="19"/>
          <w:szCs w:val="19"/>
          <w:color w:val="auto"/>
        </w:rPr>
        <w:t>"). The Offering is being made only in the United States under a registration statement filed under the United States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on Form F-10, as amended (File No. 333-272706)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filed and effective with the United States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xml:space="preserve">"). </w:t>
      </w:r>
      <w:r>
        <w:rPr>
          <w:rFonts w:ascii="Arial" w:cs="Arial" w:eastAsia="Arial" w:hAnsi="Arial"/>
          <w:sz w:val="19"/>
          <w:szCs w:val="19"/>
          <w:b w:val="1"/>
          <w:bCs w:val="1"/>
          <w:color w:val="auto"/>
        </w:rPr>
        <w:t>None of the Common Shares issued pursuant to the Purchase Agreement will be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offered for sale or sold by the Corporation or the Investor on the Neo Exchange Inc., now operating as Cboe Canada (the "NEO") or to purchasers in Canada. </w:t>
      </w:r>
      <w:r>
        <w:rPr>
          <w:rFonts w:ascii="Arial" w:cs="Arial" w:eastAsia="Arial" w:hAnsi="Arial"/>
          <w:sz w:val="19"/>
          <w:szCs w:val="19"/>
          <w:color w:val="auto"/>
        </w:rPr>
        <w:t>See "Plan of Distribution".</w:t>
      </w:r>
    </w:p>
    <w:p>
      <w:pPr>
        <w:spacing w:after="0" w:line="158" w:lineRule="exact"/>
        <w:rPr>
          <w:sz w:val="24"/>
          <w:szCs w:val="24"/>
          <w:color w:val="auto"/>
        </w:rPr>
      </w:pPr>
    </w:p>
    <w:p>
      <w:pPr>
        <w:jc w:val="both"/>
        <w:spacing w:after="0" w:line="238" w:lineRule="auto"/>
        <w:rPr>
          <w:sz w:val="20"/>
          <w:szCs w:val="20"/>
          <w:color w:val="auto"/>
        </w:rPr>
      </w:pPr>
      <w:r>
        <w:rPr>
          <w:rFonts w:ascii="Arial" w:cs="Arial" w:eastAsia="Arial" w:hAnsi="Arial"/>
          <w:sz w:val="22"/>
          <w:szCs w:val="22"/>
          <w:color w:val="auto"/>
        </w:rPr>
        <w:t>The Common Shares offered to the Investor hereunder include up to US$30,000,000 worth of Common Shares, which the Corporation may issue and sell to the Investor, in the Corporation's sole discretion, from time to time during the 36-month term of the Purchase Agreement commencing on the Commencement Date (as defined herein), upon the terms and subject to the conditions and limitations contained in the Purchase Agreement.</w:t>
      </w:r>
    </w:p>
    <w:p>
      <w:pPr>
        <w:spacing w:after="0" w:line="185" w:lineRule="exact"/>
        <w:rPr>
          <w:sz w:val="24"/>
          <w:szCs w:val="24"/>
          <w:color w:val="auto"/>
        </w:rPr>
      </w:pPr>
    </w:p>
    <w:p>
      <w:pPr>
        <w:spacing w:after="0"/>
        <w:rPr>
          <w:sz w:val="20"/>
          <w:szCs w:val="20"/>
          <w:color w:val="auto"/>
        </w:rPr>
      </w:pPr>
      <w:r>
        <w:rPr>
          <w:rFonts w:ascii="Arial" w:cs="Arial" w:eastAsia="Arial" w:hAnsi="Arial"/>
          <w:sz w:val="19"/>
          <w:szCs w:val="19"/>
          <w:color w:val="auto"/>
        </w:rPr>
        <w:t>This Prospectus Supplement also qualifies for distribution the resale of these Common Shares by the Investor to the public.</w:t>
      </w:r>
    </w:p>
    <w:p>
      <w:pPr>
        <w:spacing w:after="0" w:line="241" w:lineRule="exact"/>
        <w:rPr>
          <w:sz w:val="24"/>
          <w:szCs w:val="24"/>
          <w:color w:val="auto"/>
        </w:rPr>
      </w:pPr>
    </w:p>
    <w:p>
      <w:pPr>
        <w:jc w:val="both"/>
        <w:spacing w:after="0" w:line="236" w:lineRule="auto"/>
        <w:rPr>
          <w:sz w:val="20"/>
          <w:szCs w:val="20"/>
          <w:color w:val="auto"/>
        </w:rPr>
      </w:pPr>
      <w:r>
        <w:rPr>
          <w:rFonts w:ascii="Arial" w:cs="Arial" w:eastAsia="Arial" w:hAnsi="Arial"/>
          <w:sz w:val="22"/>
          <w:szCs w:val="22"/>
          <w:color w:val="auto"/>
        </w:rPr>
        <w:t>The Common Shares are listed on the NEO under the trading symbol "CYBN", and in the United States on the NYSE American LLC stock exchange (the "</w:t>
      </w:r>
      <w:r>
        <w:rPr>
          <w:rFonts w:ascii="Arial" w:cs="Arial" w:eastAsia="Arial" w:hAnsi="Arial"/>
          <w:sz w:val="22"/>
          <w:szCs w:val="22"/>
          <w:b w:val="1"/>
          <w:bCs w:val="1"/>
          <w:color w:val="auto"/>
        </w:rPr>
        <w:t>NYSE American</w:t>
      </w:r>
      <w:r>
        <w:rPr>
          <w:rFonts w:ascii="Arial" w:cs="Arial" w:eastAsia="Arial" w:hAnsi="Arial"/>
          <w:sz w:val="22"/>
          <w:szCs w:val="22"/>
          <w:color w:val="auto"/>
        </w:rPr>
        <w:t>") under the symbol "CYBN". On May 29, 2023, the last trading day prior to the announcement of the Offering, the closing price of the Common Shares listed on the NEO was $0.395, and on May 26, 2023, the last trading day on the NYSE American prior to the announcement of the Offering, the closing price of the Common Shares listed on the NYSE American was US$0.2925.</w:t>
      </w:r>
    </w:p>
    <w:p>
      <w:pPr>
        <w:spacing w:after="0" w:line="181" w:lineRule="exact"/>
        <w:rPr>
          <w:sz w:val="24"/>
          <w:szCs w:val="24"/>
          <w:color w:val="auto"/>
        </w:rPr>
      </w:pPr>
    </w:p>
    <w:p>
      <w:pPr>
        <w:jc w:val="both"/>
        <w:spacing w:after="0" w:line="289" w:lineRule="auto"/>
        <w:rPr>
          <w:sz w:val="20"/>
          <w:szCs w:val="20"/>
          <w:color w:val="auto"/>
        </w:rPr>
      </w:pPr>
      <w:r>
        <w:rPr>
          <w:rFonts w:ascii="Arial" w:cs="Arial" w:eastAsia="Arial" w:hAnsi="Arial"/>
          <w:sz w:val="19"/>
          <w:szCs w:val="19"/>
          <w:b w:val="1"/>
          <w:bCs w:val="1"/>
          <w:color w:val="auto"/>
        </w:rPr>
        <w:t>The Investor will not engage in any transactions that stabilize the price of the Common Shares. No underwriter or dealer involved in the distribution, no affiliate of such an underwriter or dealer and no person or company acting jointly or in concert with such an underwriter or dealer has over-allotted, or will over-allot, securities in connection with the distribution or effect any other transactions that are intended to stabilize or maintain the market price of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77" w:right="339" w:bottom="1163" w:gutter="0" w:footer="0" w:header="0"/>
        </w:sectPr>
      </w:pPr>
    </w:p>
    <w:bookmarkStart w:id="1" w:name="page2"/>
    <w:bookmarkEnd w:id="1"/>
    <w:p>
      <w:pPr>
        <w:jc w:val="both"/>
        <w:spacing w:after="0" w:line="278" w:lineRule="auto"/>
        <w:rPr>
          <w:sz w:val="20"/>
          <w:szCs w:val="20"/>
          <w:color w:val="auto"/>
        </w:rPr>
      </w:pPr>
      <w:r>
        <w:rPr>
          <w:rFonts w:ascii="Arial" w:cs="Arial" w:eastAsia="Arial" w:hAnsi="Arial"/>
          <w:sz w:val="19"/>
          <w:szCs w:val="19"/>
          <w:b w:val="1"/>
          <w:bCs w:val="1"/>
          <w:color w:val="auto"/>
        </w:rPr>
        <w:t>Prospective investors should be aware that the acquisition of the securities described herein may have tax consequences both in Canada and the United States. Such consequences, for investors who are resident in, or citizens of, the United States, may not be described fully in this Prospectus Supplement or the accompanying Prospectus, including the Canadian federal income tax consequences applicable to a foreign controlled Canadian corporation that acquires Common Shares pursuant to this Offering. Investors should read the tax discussion in this Prospectus Supplement and consult their own tax advisors with respect to their own particular circumstances. See "</w:t>
      </w:r>
      <w:r>
        <w:rPr>
          <w:rFonts w:ascii="Arial" w:cs="Arial" w:eastAsia="Arial" w:hAnsi="Arial"/>
          <w:sz w:val="19"/>
          <w:szCs w:val="19"/>
          <w:b w:val="1"/>
          <w:bCs w:val="1"/>
          <w:i w:val="1"/>
          <w:iCs w:val="1"/>
          <w:color w:val="auto"/>
        </w:rPr>
        <w:t>Certain Canadian Federal Income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Tax Considerations</w:t>
      </w:r>
      <w:r>
        <w:rPr>
          <w:rFonts w:ascii="Arial" w:cs="Arial" w:eastAsia="Arial" w:hAnsi="Arial"/>
          <w:sz w:val="19"/>
          <w:szCs w:val="19"/>
          <w:b w:val="1"/>
          <w:bCs w:val="1"/>
          <w:color w:val="auto"/>
        </w:rPr>
        <w:t>", "</w:t>
      </w:r>
      <w:r>
        <w:rPr>
          <w:rFonts w:ascii="Arial" w:cs="Arial" w:eastAsia="Arial" w:hAnsi="Arial"/>
          <w:sz w:val="19"/>
          <w:szCs w:val="19"/>
          <w:b w:val="1"/>
          <w:bCs w:val="1"/>
          <w:i w:val="1"/>
          <w:iCs w:val="1"/>
          <w:color w:val="auto"/>
        </w:rPr>
        <w:t>Certain United States Federal Income Tax Considerations</w:t>
      </w:r>
      <w:r>
        <w:rPr>
          <w:rFonts w:ascii="Arial" w:cs="Arial" w:eastAsia="Arial" w:hAnsi="Arial"/>
          <w:sz w:val="19"/>
          <w:szCs w:val="19"/>
          <w:b w:val="1"/>
          <w:bCs w:val="1"/>
          <w:color w:val="auto"/>
        </w:rPr>
        <w:t>" and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An investment in the Common Shares is highly speculative and involves significant risks that you should consider before purchasing Common Shares. See the </w:t>
      </w:r>
      <w:r>
        <w:rPr>
          <w:rFonts w:ascii="Arial" w:cs="Arial" w:eastAsia="Arial" w:hAnsi="Arial"/>
          <w:sz w:val="21"/>
          <w:szCs w:val="21"/>
          <w:b w:val="1"/>
          <w:bCs w:val="1"/>
          <w:i w:val="1"/>
          <w:iCs w:val="1"/>
          <w:color w:val="auto"/>
        </w:rPr>
        <w:t>"Risk Factors"</w:t>
      </w:r>
      <w:r>
        <w:rPr>
          <w:rFonts w:ascii="Arial" w:cs="Arial" w:eastAsia="Arial" w:hAnsi="Arial"/>
          <w:sz w:val="21"/>
          <w:szCs w:val="21"/>
          <w:b w:val="1"/>
          <w:bCs w:val="1"/>
          <w:color w:val="auto"/>
        </w:rPr>
        <w:t xml:space="preserve"> section in this Prospectus Supplement, and the accompanying Base Shelf Prospectus and the risk factors in the Corporation's documents which are incorporated by reference herein for a description of risks involved in an investment in Common Shares.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The Offering is being made by a Canadian issuer that is permitted, under a multijurisdictional disclosure system adopted by the United States and Canada ("MJDS"), to prepare this Prospectus Supplement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Canada, that the majority of its officers and directors are residents of Canada, that many of the experts named in this Prospectus Supplement and the Prospectus are not residents of the United States, and that a substantial portion of the assets of the Corporation and such persons are located outside the United States. See </w:t>
      </w:r>
      <w:r>
        <w:rPr>
          <w:rFonts w:ascii="Arial" w:cs="Arial" w:eastAsia="Arial" w:hAnsi="Arial"/>
          <w:sz w:val="19"/>
          <w:szCs w:val="19"/>
          <w:b w:val="1"/>
          <w:bCs w:val="1"/>
          <w:i w:val="1"/>
          <w:iCs w:val="1"/>
          <w:color w:val="auto"/>
        </w:rPr>
        <w:t>"Enforcement of Civil Liabilities".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financial information of the Corporation incorporated by reference in the Prospectus is presented in Canadian dollars. Unless otherwise noted herein, all references to "US$" are to United States dollars and all references to "C$" or "$", are to Canadian dollars. See "</w:t>
      </w:r>
      <w:r>
        <w:rPr>
          <w:rFonts w:ascii="Arial" w:cs="Arial" w:eastAsia="Arial" w:hAnsi="Arial"/>
          <w:sz w:val="19"/>
          <w:szCs w:val="19"/>
          <w:i w:val="1"/>
          <w:iCs w:val="1"/>
          <w:color w:val="auto"/>
        </w:rPr>
        <w:t>Exchange Rate</w:t>
      </w:r>
      <w:r>
        <w:rPr>
          <w:rFonts w:ascii="Arial" w:cs="Arial" w:eastAsia="Arial" w:hAnsi="Arial"/>
          <w:sz w:val="19"/>
          <w:szCs w:val="19"/>
          <w:color w:val="auto"/>
        </w:rPr>
        <w:t>". Certain totals, subtotals and percentages may not precisely reconcile due to rounding.</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The Corporation's head and registered office is located at 100 King Street West, Suite 5600, Toronto, ON M5X 1C9.</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THESE SECURITIES HAVE NOT BEEN APPROVED OR DISAPPROVED BY THE SEC OR BY ANY STATE OR CANADIAN SECURITIES COMMISSION OR REGULATORY AUTHORITY, NOR HAS THE SEC OR ANY STATE OR CANADIAN SECURITIES COMMISSION PASSED UPON THE ACCURACY OR ADEQUACY OF THIS PROSPECTUS SUPPLEMENT OR THE ACCOMPANYING PROSPECTUS. ANY REPRESENTATION TO THE CONTRARY IS A CRIMINAL OFFENCE.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Prospectus Supplement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gridSpan w:val="28"/>
            <w:shd w:val="clear" w:color="auto" w:fill="EEEEEE"/>
          </w:tcPr>
          <w:p>
            <w:pPr>
              <w:ind w:left="20"/>
              <w:spacing w:after="0"/>
              <w:rPr>
                <w:sz w:val="20"/>
                <w:szCs w:val="20"/>
                <w:color w:val="auto"/>
              </w:rPr>
            </w:pPr>
            <w:r>
              <w:rPr>
                <w:rFonts w:ascii="Arial" w:cs="Arial" w:eastAsia="Arial" w:hAnsi="Arial"/>
                <w:sz w:val="18"/>
                <w:szCs w:val="18"/>
                <w:color w:val="0000EE"/>
              </w:rPr>
              <w:t>ABOUT THIS PROSPECTUS</w:t>
            </w:r>
          </w:p>
        </w:tc>
        <w:tc>
          <w:tcPr>
            <w:tcW w:w="22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0000EE"/>
                <w:w w:val="78"/>
              </w:rPr>
              <w:t>S-1</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CAUTIONARY STATEMENT REGARDING FORWARD-LOOKING INFORMATION</w:t>
            </w:r>
          </w:p>
        </w:tc>
        <w:tc>
          <w:tcPr>
            <w:tcW w:w="2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gridSpan w:val="4"/>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8"/>
              </w:rPr>
              <w:t>S-1</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DOCUMENTS INCORPORATED BY REFERENCE</w:t>
            </w:r>
          </w:p>
        </w:tc>
        <w:tc>
          <w:tcPr>
            <w:tcW w:w="2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gridSpan w:val="4"/>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8"/>
              </w:rPr>
              <w:t>S-3</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DOCUMENTS FILED AS PART OF THE REGISTRATION STATEMENT</w:t>
            </w:r>
          </w:p>
        </w:tc>
        <w:tc>
          <w:tcPr>
            <w:tcW w:w="2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gridSpan w:val="4"/>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8"/>
              </w:rPr>
              <w:t>S-5</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CURRENCY AND EXCHANGE RATE INFORMATION</w:t>
            </w:r>
          </w:p>
        </w:tc>
        <w:tc>
          <w:tcPr>
            <w:tcW w:w="2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gridSpan w:val="4"/>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8"/>
              </w:rPr>
              <w:t>S-5</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THE CORPORATION</w:t>
            </w:r>
          </w:p>
        </w:tc>
        <w:tc>
          <w:tcPr>
            <w:tcW w:w="2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gridSpan w:val="4"/>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8"/>
              </w:rPr>
              <w:t>S-5</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36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DESCRIPTION OF THE COMMON SHARES</w:t>
            </w:r>
          </w:p>
        </w:tc>
        <w:tc>
          <w:tcPr>
            <w:tcW w:w="2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gridSpan w:val="4"/>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8"/>
              </w:rPr>
              <w:t>S-7</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USE OF PROCEEDS</w:t>
            </w:r>
          </w:p>
        </w:tc>
        <w:tc>
          <w:tcPr>
            <w:tcW w:w="2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gridSpan w:val="4"/>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8"/>
              </w:rPr>
              <w:t>S-7</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36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CONSOLIDATED CAPITALIZATION</w:t>
            </w:r>
          </w:p>
        </w:tc>
        <w:tc>
          <w:tcPr>
            <w:tcW w:w="2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gridSpan w:val="4"/>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8"/>
              </w:rPr>
              <w:t>S-8</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PLAN OF DISTRIBUTION</w:t>
            </w:r>
          </w:p>
        </w:tc>
        <w:tc>
          <w:tcPr>
            <w:tcW w:w="22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gridSpan w:val="4"/>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8"/>
              </w:rPr>
              <w:t>S-9</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TRADING PRICE AND VOLUME</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S-14</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PRIOR SALES</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S-15</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340" w:type="dxa"/>
            <w:vAlign w:val="bottom"/>
            <w:tcBorders>
              <w:top w:val="single" w:sz="8" w:color="EEEEEE"/>
            </w:tcBorders>
          </w:tcPr>
          <w:p>
            <w:pPr>
              <w:spacing w:after="0"/>
              <w:rPr>
                <w:sz w:val="21"/>
                <w:szCs w:val="21"/>
                <w:color w:val="auto"/>
              </w:rPr>
            </w:pPr>
          </w:p>
        </w:tc>
        <w:tc>
          <w:tcPr>
            <w:tcW w:w="8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36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RISK FACTORS</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S-19</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EEEEEE"/>
            </w:tcBorders>
          </w:tcPr>
          <w:p>
            <w:pPr>
              <w:spacing w:after="0"/>
              <w:rPr>
                <w:sz w:val="21"/>
                <w:szCs w:val="21"/>
                <w:color w:val="auto"/>
              </w:rPr>
            </w:pPr>
          </w:p>
        </w:tc>
        <w:tc>
          <w:tcPr>
            <w:tcW w:w="8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36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CERTAIN CANADIAN INCOME TAX CONSIDERATIONS</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S-21</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CERTAIN UNITED STATES FEDERAL INCOME TAX CONSIDERATIONS</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S-23</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EXPERTS</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S-30</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340" w:type="dxa"/>
            <w:vAlign w:val="bottom"/>
            <w:tcBorders>
              <w:top w:val="single" w:sz="8" w:color="EEEEEE"/>
            </w:tcBorders>
          </w:tcPr>
          <w:p>
            <w:pPr>
              <w:spacing w:after="0"/>
              <w:rPr>
                <w:sz w:val="21"/>
                <w:szCs w:val="21"/>
                <w:color w:val="auto"/>
              </w:rPr>
            </w:pPr>
          </w:p>
        </w:tc>
        <w:tc>
          <w:tcPr>
            <w:tcW w:w="8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36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AUDITORS, TRANSFER AGENT AND REGISTRAR</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S-30</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ADDITIONAL INFORMATION</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S-31</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189"/>
        </w:trPr>
        <w:tc>
          <w:tcPr>
            <w:tcW w:w="20" w:type="dxa"/>
            <w:vAlign w:val="bottom"/>
            <w:shd w:val="clear" w:color="auto" w:fill="EEEEEE"/>
          </w:tcPr>
          <w:p>
            <w:pPr>
              <w:spacing w:after="0"/>
              <w:rPr>
                <w:sz w:val="16"/>
                <w:szCs w:val="16"/>
                <w:color w:val="auto"/>
              </w:rPr>
            </w:pPr>
          </w:p>
        </w:tc>
        <w:tc>
          <w:tcPr>
            <w:tcW w:w="8660" w:type="dxa"/>
            <w:vAlign w:val="bottom"/>
            <w:gridSpan w:val="27"/>
            <w:shd w:val="clear" w:color="auto" w:fill="EEEEEE"/>
          </w:tcPr>
          <w:p>
            <w:pPr>
              <w:spacing w:after="0" w:line="189" w:lineRule="exact"/>
              <w:rPr>
                <w:sz w:val="20"/>
                <w:szCs w:val="20"/>
                <w:color w:val="auto"/>
              </w:rPr>
            </w:pPr>
            <w:r>
              <w:rPr>
                <w:rFonts w:ascii="Arial" w:cs="Arial" w:eastAsia="Arial" w:hAnsi="Arial"/>
                <w:sz w:val="18"/>
                <w:szCs w:val="18"/>
                <w:color w:val="0000EE"/>
              </w:rPr>
              <w:t>ENFORCEABILITY OF CIVIL LIABILITIES BY U.S. INVESTORS</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S-31</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78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34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36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6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0000EE"/>
            </w:tcBorders>
            <w:shd w:val="clear" w:color="auto" w:fill="EEEEEE"/>
          </w:tcPr>
          <w:p>
            <w:pPr>
              <w:spacing w:after="0"/>
              <w:rPr>
                <w:sz w:val="2"/>
                <w:szCs w:val="2"/>
                <w:color w:val="auto"/>
              </w:rPr>
            </w:pPr>
          </w:p>
        </w:tc>
        <w:tc>
          <w:tcPr>
            <w:tcW w:w="320" w:type="dxa"/>
            <w:vAlign w:val="bottom"/>
            <w:tcBorders>
              <w:top w:val="single" w:sz="8" w:color="0000EE"/>
            </w:tcBorders>
            <w:shd w:val="clear" w:color="auto" w:fill="EEEEEE"/>
          </w:tcPr>
          <w:p>
            <w:pPr>
              <w:spacing w:after="0"/>
              <w:rPr>
                <w:sz w:val="2"/>
                <w:szCs w:val="2"/>
                <w:color w:val="auto"/>
              </w:rPr>
            </w:pPr>
          </w:p>
        </w:tc>
        <w:tc>
          <w:tcPr>
            <w:tcW w:w="44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160" w:type="dxa"/>
            <w:vAlign w:val="bottom"/>
            <w:tcBorders>
              <w:top w:val="single" w:sz="8" w:color="0000EE"/>
            </w:tcBorders>
            <w:shd w:val="clear" w:color="auto" w:fill="EEEEEE"/>
          </w:tcPr>
          <w:p>
            <w:pPr>
              <w:spacing w:after="0"/>
              <w:rPr>
                <w:sz w:val="2"/>
                <w:szCs w:val="2"/>
                <w:color w:val="auto"/>
              </w:rPr>
            </w:pPr>
          </w:p>
        </w:tc>
        <w:tc>
          <w:tcPr>
            <w:tcW w:w="280" w:type="dxa"/>
            <w:vAlign w:val="bottom"/>
            <w:tcBorders>
              <w:top w:val="single" w:sz="8" w:color="0000EE"/>
            </w:tcBorders>
            <w:shd w:val="clear" w:color="auto" w:fill="EEEEEE"/>
          </w:tcPr>
          <w:p>
            <w:pPr>
              <w:spacing w:after="0"/>
              <w:rPr>
                <w:sz w:val="2"/>
                <w:szCs w:val="2"/>
                <w:color w:val="auto"/>
              </w:rPr>
            </w:pPr>
          </w:p>
        </w:tc>
        <w:tc>
          <w:tcPr>
            <w:tcW w:w="48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42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700" w:type="dxa"/>
            <w:vAlign w:val="bottom"/>
            <w:tcBorders>
              <w:top w:val="single" w:sz="8" w:color="EEEEEE"/>
            </w:tcBorders>
            <w:shd w:val="clear" w:color="auto" w:fill="EEEEEE"/>
          </w:tcPr>
          <w:p>
            <w:pPr>
              <w:spacing w:after="0"/>
              <w:rPr>
                <w:sz w:val="2"/>
                <w:szCs w:val="2"/>
                <w:color w:val="auto"/>
              </w:rPr>
            </w:pPr>
          </w:p>
        </w:tc>
        <w:tc>
          <w:tcPr>
            <w:tcW w:w="2220" w:type="dxa"/>
            <w:vAlign w:val="bottom"/>
            <w:tcBorders>
              <w:top w:val="single" w:sz="8" w:color="EEEEEE"/>
            </w:tcBorders>
            <w:shd w:val="clear" w:color="auto" w:fill="EEEEEE"/>
          </w:tcPr>
          <w:p>
            <w:pPr>
              <w:spacing w:after="0"/>
              <w:rPr>
                <w:sz w:val="2"/>
                <w:szCs w:val="2"/>
                <w:color w:val="auto"/>
              </w:rPr>
            </w:pPr>
          </w:p>
        </w:tc>
        <w:tc>
          <w:tcPr>
            <w:tcW w:w="2200" w:type="dxa"/>
            <w:vAlign w:val="bottom"/>
            <w:tcBorders>
              <w:top w:val="single" w:sz="8" w:color="EEEEEE"/>
            </w:tcBorders>
            <w:shd w:val="clear" w:color="auto" w:fill="EEEEEE"/>
          </w:tcPr>
          <w:p>
            <w:pPr>
              <w:spacing w:after="0"/>
              <w:rPr>
                <w:sz w:val="2"/>
                <w:szCs w:val="2"/>
                <w:color w:val="auto"/>
              </w:rPr>
            </w:pPr>
          </w:p>
        </w:tc>
        <w:tc>
          <w:tcPr>
            <w:tcW w:w="100" w:type="dxa"/>
            <w:vAlign w:val="bottom"/>
            <w:tcBorders>
              <w:top w:val="single" w:sz="8" w:color="0000EE"/>
            </w:tcBorders>
            <w:shd w:val="clear" w:color="auto" w:fill="EEEEEE"/>
          </w:tcPr>
          <w:p>
            <w:pPr>
              <w:spacing w:after="0"/>
              <w:rPr>
                <w:sz w:val="2"/>
                <w:szCs w:val="2"/>
                <w:color w:val="auto"/>
              </w:rPr>
            </w:pPr>
          </w:p>
        </w:tc>
        <w:tc>
          <w:tcPr>
            <w:tcW w:w="60" w:type="dxa"/>
            <w:vAlign w:val="bottom"/>
            <w:tcBorders>
              <w:top w:val="single" w:sz="8" w:color="0000EE"/>
            </w:tcBorders>
            <w:shd w:val="clear" w:color="auto" w:fill="EEEEEE"/>
          </w:tcPr>
          <w:p>
            <w:pPr>
              <w:spacing w:after="0"/>
              <w:rPr>
                <w:sz w:val="2"/>
                <w:szCs w:val="2"/>
                <w:color w:val="auto"/>
              </w:rPr>
            </w:pPr>
          </w:p>
        </w:tc>
        <w:tc>
          <w:tcPr>
            <w:tcW w:w="100" w:type="dxa"/>
            <w:vAlign w:val="bottom"/>
            <w:tcBorders>
              <w:top w:val="single" w:sz="8" w:color="0000EE"/>
            </w:tcBorders>
            <w:shd w:val="clear" w:color="auto" w:fill="EEEEEE"/>
          </w:tcPr>
          <w:p>
            <w:pPr>
              <w:spacing w:after="0"/>
              <w:rPr>
                <w:sz w:val="2"/>
                <w:szCs w:val="2"/>
                <w:color w:val="auto"/>
              </w:rPr>
            </w:pPr>
          </w:p>
        </w:tc>
        <w:tc>
          <w:tcPr>
            <w:tcW w:w="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r>
        <w:trPr>
          <w:trHeight w:val="469"/>
        </w:trPr>
        <w:tc>
          <w:tcPr>
            <w:tcW w:w="8680" w:type="dxa"/>
            <w:vAlign w:val="bottom"/>
            <w:gridSpan w:val="28"/>
          </w:tcPr>
          <w:p>
            <w:pPr>
              <w:spacing w:after="0"/>
              <w:rPr>
                <w:sz w:val="20"/>
                <w:szCs w:val="20"/>
                <w:color w:val="auto"/>
              </w:rPr>
            </w:pPr>
            <w:r>
              <w:rPr>
                <w:rFonts w:ascii="Arial" w:cs="Arial" w:eastAsia="Arial" w:hAnsi="Arial"/>
                <w:sz w:val="22"/>
                <w:szCs w:val="22"/>
                <w:b w:val="1"/>
                <w:bCs w:val="1"/>
                <w:color w:val="auto"/>
              </w:rPr>
              <w:t>Base Shelf Prospectus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GENERAL MATTERS</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1</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CAUTION REGARDING FORWARD LOOKING INFORMATION</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1</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TRADEMARKS AND SERVICE MARKS</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3</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MARKETING MATERIALS</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4</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MARKET AND INDUSTRY DATA</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4</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DOCUMENTS INCORPORATED BY REFERENCE</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4</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DOCUMENTS FILED AS PART OF THE REGISTRATION STATEMENT</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5</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THE CORPORATION</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5</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36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REGULATORY OVERVIEW</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9</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COMPLIANCE PROGRAM</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21</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CONSOLIDATED CAPITALIZATION</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22</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8680" w:type="dxa"/>
            <w:vAlign w:val="bottom"/>
            <w:gridSpan w:val="28"/>
            <w:shd w:val="clear" w:color="auto" w:fill="EEEEEE"/>
          </w:tcPr>
          <w:p>
            <w:pPr>
              <w:ind w:left="20"/>
              <w:spacing w:after="0" w:line="189" w:lineRule="exact"/>
              <w:rPr>
                <w:sz w:val="20"/>
                <w:szCs w:val="20"/>
                <w:color w:val="auto"/>
              </w:rPr>
            </w:pPr>
            <w:r>
              <w:rPr>
                <w:rFonts w:ascii="Arial" w:cs="Arial" w:eastAsia="Arial" w:hAnsi="Arial"/>
                <w:sz w:val="18"/>
                <w:szCs w:val="18"/>
                <w:color w:val="0000EE"/>
              </w:rPr>
              <w:t>USE OF PROCEEDS</w:t>
            </w:r>
          </w:p>
        </w:tc>
        <w:tc>
          <w:tcPr>
            <w:tcW w:w="2560" w:type="dxa"/>
            <w:vAlign w:val="bottom"/>
            <w:gridSpan w:val="6"/>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rPr>
              <w:t>22</w:t>
            </w:r>
          </w:p>
        </w:tc>
      </w:tr>
      <w:tr>
        <w:trPr>
          <w:trHeight w:val="243"/>
        </w:trPr>
        <w:tc>
          <w:tcPr>
            <w:tcW w:w="20" w:type="dxa"/>
            <w:vAlign w:val="bottom"/>
            <w:tcBorders>
              <w:top w:val="single" w:sz="8" w:color="EEEE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36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4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320" w:type="dxa"/>
            <w:vAlign w:val="bottom"/>
            <w:tcBorders>
              <w:top w:val="single" w:sz="8" w:color="EEEEEE"/>
            </w:tcBorders>
          </w:tcPr>
          <w:p>
            <w:pPr>
              <w:spacing w:after="0"/>
              <w:rPr>
                <w:sz w:val="21"/>
                <w:szCs w:val="21"/>
                <w:color w:val="auto"/>
              </w:rPr>
            </w:pPr>
          </w:p>
        </w:tc>
        <w:tc>
          <w:tcPr>
            <w:tcW w:w="44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160" w:type="dxa"/>
            <w:vAlign w:val="bottom"/>
            <w:tcBorders>
              <w:top w:val="single" w:sz="8" w:color="EEEEEE"/>
            </w:tcBorders>
          </w:tcPr>
          <w:p>
            <w:pPr>
              <w:spacing w:after="0"/>
              <w:rPr>
                <w:sz w:val="21"/>
                <w:szCs w:val="21"/>
                <w:color w:val="auto"/>
              </w:rPr>
            </w:pPr>
          </w:p>
        </w:tc>
        <w:tc>
          <w:tcPr>
            <w:tcW w:w="28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20" w:type="dxa"/>
            <w:vAlign w:val="bottom"/>
            <w:tcBorders>
              <w:top w:val="single" w:sz="8" w:color="EEEE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700" w:type="dxa"/>
            <w:vAlign w:val="bottom"/>
            <w:tcBorders>
              <w:top w:val="single" w:sz="8" w:color="EEEEEE"/>
            </w:tcBorders>
          </w:tcPr>
          <w:p>
            <w:pPr>
              <w:spacing w:after="0"/>
              <w:rPr>
                <w:sz w:val="21"/>
                <w:szCs w:val="21"/>
                <w:color w:val="auto"/>
              </w:rPr>
            </w:pPr>
          </w:p>
        </w:tc>
        <w:tc>
          <w:tcPr>
            <w:tcW w:w="2220" w:type="dxa"/>
            <w:vAlign w:val="bottom"/>
            <w:tcBorders>
              <w:top w:val="single" w:sz="8" w:color="EEEEEE"/>
            </w:tcBorders>
          </w:tcPr>
          <w:p>
            <w:pPr>
              <w:spacing w:after="0"/>
              <w:rPr>
                <w:sz w:val="21"/>
                <w:szCs w:val="21"/>
                <w:color w:val="auto"/>
              </w:rPr>
            </w:pPr>
          </w:p>
        </w:tc>
        <w:tc>
          <w:tcPr>
            <w:tcW w:w="2200" w:type="dxa"/>
            <w:vAlign w:val="bottom"/>
            <w:tcBorders>
              <w:top w:val="single" w:sz="8" w:color="EEEEEE"/>
            </w:tcBorders>
          </w:tcPr>
          <w:p>
            <w:pPr>
              <w:spacing w:after="0"/>
              <w:rPr>
                <w:sz w:val="21"/>
                <w:szCs w:val="21"/>
                <w:color w:val="auto"/>
              </w:rPr>
            </w:pPr>
          </w:p>
        </w:tc>
        <w:tc>
          <w:tcPr>
            <w:tcW w:w="100" w:type="dxa"/>
            <w:vAlign w:val="bottom"/>
            <w:tcBorders>
              <w:top w:val="single" w:sz="8" w:color="EEEEEE"/>
            </w:tcBorders>
          </w:tcPr>
          <w:p>
            <w:pPr>
              <w:spacing w:after="0"/>
              <w:rPr>
                <w:sz w:val="21"/>
                <w:szCs w:val="21"/>
                <w:color w:val="auto"/>
              </w:rPr>
            </w:pPr>
          </w:p>
        </w:tc>
        <w:tc>
          <w:tcPr>
            <w:tcW w:w="60" w:type="dxa"/>
            <w:vAlign w:val="bottom"/>
            <w:tcBorders>
              <w:top w:val="single" w:sz="8" w:color="EEEE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144"/>
        </w:trPr>
        <w:tc>
          <w:tcPr>
            <w:tcW w:w="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4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00" w:type="dxa"/>
            <w:vAlign w:val="bottom"/>
            <w:shd w:val="clear" w:color="auto" w:fill="EEEEEE"/>
          </w:tcPr>
          <w:p>
            <w:pPr>
              <w:spacing w:after="0"/>
              <w:rPr>
                <w:sz w:val="12"/>
                <w:szCs w:val="12"/>
                <w:color w:val="auto"/>
              </w:rPr>
            </w:pPr>
          </w:p>
        </w:tc>
        <w:tc>
          <w:tcPr>
            <w:tcW w:w="2220" w:type="dxa"/>
            <w:vAlign w:val="bottom"/>
            <w:shd w:val="clear" w:color="auto" w:fill="EEEEEE"/>
          </w:tcPr>
          <w:p>
            <w:pPr>
              <w:spacing w:after="0"/>
              <w:rPr>
                <w:sz w:val="12"/>
                <w:szCs w:val="12"/>
                <w:color w:val="auto"/>
              </w:rPr>
            </w:pPr>
          </w:p>
        </w:tc>
        <w:tc>
          <w:tcPr>
            <w:tcW w:w="22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r>
    </w:tbl>
    <w:p>
      <w:pPr>
        <w:sectPr>
          <w:pgSz w:w="11900" w:h="16900" w:orient="portrait"/>
          <w:cols w:equalWidth="0" w:num="1">
            <w:col w:w="11240"/>
          </w:cols>
          <w:pgMar w:left="320" w:top="111"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40" w:type="dxa"/>
            <w:vAlign w:val="bottom"/>
            <w:gridSpan w:val="9"/>
            <w:shd w:val="clear" w:color="auto" w:fill="EEEEEE"/>
          </w:tcPr>
          <w:p>
            <w:pPr>
              <w:ind w:left="20"/>
              <w:spacing w:after="0"/>
              <w:rPr>
                <w:sz w:val="20"/>
                <w:szCs w:val="20"/>
                <w:color w:val="auto"/>
              </w:rPr>
            </w:pPr>
            <w:r>
              <w:rPr>
                <w:rFonts w:ascii="Arial" w:cs="Arial" w:eastAsia="Arial" w:hAnsi="Arial"/>
                <w:sz w:val="18"/>
                <w:szCs w:val="18"/>
                <w:color w:val="0000EE"/>
              </w:rPr>
              <w:t>DIVIDEND POLICY</w:t>
            </w:r>
          </w:p>
        </w:tc>
        <w:tc>
          <w:tcPr>
            <w:tcW w:w="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0000EE"/>
                <w:w w:val="79"/>
              </w:rPr>
              <w:t>24</w:t>
            </w:r>
          </w:p>
        </w:tc>
      </w:tr>
      <w:tr>
        <w:trPr>
          <w:trHeight w:val="243"/>
        </w:trPr>
        <w:tc>
          <w:tcPr>
            <w:tcW w:w="20" w:type="dxa"/>
            <w:vAlign w:val="bottom"/>
            <w:tcBorders>
              <w:top w:val="single" w:sz="8" w:color="EEEE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200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c>
          <w:tcPr>
            <w:tcW w:w="6680" w:type="dxa"/>
            <w:vAlign w:val="bottom"/>
            <w:tcBorders>
              <w:top w:val="single" w:sz="8" w:color="EEEE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11040" w:type="dxa"/>
            <w:vAlign w:val="bottom"/>
            <w:gridSpan w:val="9"/>
            <w:shd w:val="clear" w:color="auto" w:fill="EEEEEE"/>
          </w:tcPr>
          <w:p>
            <w:pPr>
              <w:ind w:left="20"/>
              <w:spacing w:after="0" w:line="189" w:lineRule="exact"/>
              <w:rPr>
                <w:sz w:val="20"/>
                <w:szCs w:val="20"/>
                <w:color w:val="auto"/>
              </w:rPr>
            </w:pPr>
            <w:r>
              <w:rPr>
                <w:rFonts w:ascii="Arial" w:cs="Arial" w:eastAsia="Arial" w:hAnsi="Arial"/>
                <w:sz w:val="18"/>
                <w:szCs w:val="18"/>
                <w:color w:val="0000EE"/>
              </w:rPr>
              <w:t>DESCRIPTION OF SECURITIES BEING DISTRIBUTED</w:t>
            </w:r>
          </w:p>
        </w:tc>
        <w:tc>
          <w:tcPr>
            <w:tcW w:w="200" w:type="dxa"/>
            <w:vAlign w:val="bottom"/>
            <w:gridSpan w:val="2"/>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9"/>
              </w:rPr>
              <w:t>24</w:t>
            </w:r>
          </w:p>
        </w:tc>
      </w:tr>
      <w:tr>
        <w:trPr>
          <w:trHeight w:val="243"/>
        </w:trPr>
        <w:tc>
          <w:tcPr>
            <w:tcW w:w="20" w:type="dxa"/>
            <w:vAlign w:val="bottom"/>
            <w:tcBorders>
              <w:top w:val="single" w:sz="8" w:color="EEEE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c>
          <w:tcPr>
            <w:tcW w:w="6680" w:type="dxa"/>
            <w:vAlign w:val="bottom"/>
            <w:tcBorders>
              <w:top w:val="single" w:sz="8" w:color="EEEE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11040" w:type="dxa"/>
            <w:vAlign w:val="bottom"/>
            <w:gridSpan w:val="9"/>
            <w:shd w:val="clear" w:color="auto" w:fill="EEEEEE"/>
          </w:tcPr>
          <w:p>
            <w:pPr>
              <w:ind w:left="20"/>
              <w:spacing w:after="0" w:line="189" w:lineRule="exact"/>
              <w:rPr>
                <w:sz w:val="20"/>
                <w:szCs w:val="20"/>
                <w:color w:val="auto"/>
              </w:rPr>
            </w:pPr>
            <w:r>
              <w:rPr>
                <w:rFonts w:ascii="Arial" w:cs="Arial" w:eastAsia="Arial" w:hAnsi="Arial"/>
                <w:sz w:val="18"/>
                <w:szCs w:val="18"/>
                <w:color w:val="0000EE"/>
              </w:rPr>
              <w:t>PLAN OF DISTRIBUTION</w:t>
            </w:r>
          </w:p>
        </w:tc>
        <w:tc>
          <w:tcPr>
            <w:tcW w:w="200" w:type="dxa"/>
            <w:vAlign w:val="bottom"/>
            <w:gridSpan w:val="2"/>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9"/>
              </w:rPr>
              <w:t>28</w:t>
            </w:r>
          </w:p>
        </w:tc>
      </w:tr>
      <w:tr>
        <w:trPr>
          <w:trHeight w:val="243"/>
        </w:trPr>
        <w:tc>
          <w:tcPr>
            <w:tcW w:w="20" w:type="dxa"/>
            <w:vAlign w:val="bottom"/>
            <w:tcBorders>
              <w:top w:val="single" w:sz="8" w:color="EEEE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0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c>
          <w:tcPr>
            <w:tcW w:w="6680" w:type="dxa"/>
            <w:vAlign w:val="bottom"/>
            <w:tcBorders>
              <w:top w:val="single" w:sz="8" w:color="EEEE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11040" w:type="dxa"/>
            <w:vAlign w:val="bottom"/>
            <w:gridSpan w:val="9"/>
            <w:shd w:val="clear" w:color="auto" w:fill="EEEEEE"/>
          </w:tcPr>
          <w:p>
            <w:pPr>
              <w:ind w:left="20"/>
              <w:spacing w:after="0" w:line="189" w:lineRule="exact"/>
              <w:rPr>
                <w:sz w:val="20"/>
                <w:szCs w:val="20"/>
                <w:color w:val="auto"/>
              </w:rPr>
            </w:pPr>
            <w:r>
              <w:rPr>
                <w:rFonts w:ascii="Arial" w:cs="Arial" w:eastAsia="Arial" w:hAnsi="Arial"/>
                <w:sz w:val="18"/>
                <w:szCs w:val="18"/>
                <w:color w:val="0000EE"/>
              </w:rPr>
              <w:t>RISK FACTORS</w:t>
            </w:r>
          </w:p>
        </w:tc>
        <w:tc>
          <w:tcPr>
            <w:tcW w:w="200" w:type="dxa"/>
            <w:vAlign w:val="bottom"/>
            <w:gridSpan w:val="2"/>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9"/>
              </w:rPr>
              <w:t>29</w:t>
            </w:r>
          </w:p>
        </w:tc>
      </w:tr>
      <w:tr>
        <w:trPr>
          <w:trHeight w:val="243"/>
        </w:trPr>
        <w:tc>
          <w:tcPr>
            <w:tcW w:w="20" w:type="dxa"/>
            <w:vAlign w:val="bottom"/>
            <w:tcBorders>
              <w:top w:val="single" w:sz="8" w:color="EEEE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220" w:type="dxa"/>
            <w:vAlign w:val="bottom"/>
            <w:tcBorders>
              <w:top w:val="single" w:sz="8" w:color="EEEE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200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c>
          <w:tcPr>
            <w:tcW w:w="6680" w:type="dxa"/>
            <w:vAlign w:val="bottom"/>
            <w:tcBorders>
              <w:top w:val="single" w:sz="8" w:color="EEEE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11040" w:type="dxa"/>
            <w:vAlign w:val="bottom"/>
            <w:gridSpan w:val="9"/>
            <w:shd w:val="clear" w:color="auto" w:fill="EEEEEE"/>
          </w:tcPr>
          <w:p>
            <w:pPr>
              <w:ind w:left="20"/>
              <w:spacing w:after="0" w:line="189" w:lineRule="exact"/>
              <w:rPr>
                <w:sz w:val="20"/>
                <w:szCs w:val="20"/>
                <w:color w:val="auto"/>
              </w:rPr>
            </w:pPr>
            <w:r>
              <w:rPr>
                <w:rFonts w:ascii="Arial" w:cs="Arial" w:eastAsia="Arial" w:hAnsi="Arial"/>
                <w:sz w:val="18"/>
                <w:szCs w:val="18"/>
                <w:color w:val="0000EE"/>
              </w:rPr>
              <w:t>CERTAIN FEDERAL INCOME TAX CONSIDERATIONS</w:t>
            </w:r>
          </w:p>
        </w:tc>
        <w:tc>
          <w:tcPr>
            <w:tcW w:w="200" w:type="dxa"/>
            <w:vAlign w:val="bottom"/>
            <w:gridSpan w:val="2"/>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9"/>
              </w:rPr>
              <w:t>34</w:t>
            </w:r>
          </w:p>
        </w:tc>
      </w:tr>
      <w:tr>
        <w:trPr>
          <w:trHeight w:val="243"/>
        </w:trPr>
        <w:tc>
          <w:tcPr>
            <w:tcW w:w="20" w:type="dxa"/>
            <w:vAlign w:val="bottom"/>
            <w:tcBorders>
              <w:top w:val="single" w:sz="8" w:color="EEEE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200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680" w:type="dxa"/>
            <w:vAlign w:val="bottom"/>
            <w:tcBorders>
              <w:top w:val="single" w:sz="8" w:color="EEEE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223"/>
        </w:trPr>
        <w:tc>
          <w:tcPr>
            <w:tcW w:w="11040" w:type="dxa"/>
            <w:vAlign w:val="bottom"/>
            <w:gridSpan w:val="9"/>
            <w:shd w:val="clear" w:color="auto" w:fill="EEEEEE"/>
          </w:tcPr>
          <w:p>
            <w:pPr>
              <w:ind w:left="20"/>
              <w:spacing w:after="0" w:line="189" w:lineRule="exact"/>
              <w:rPr>
                <w:sz w:val="20"/>
                <w:szCs w:val="20"/>
                <w:color w:val="auto"/>
              </w:rPr>
            </w:pPr>
            <w:r>
              <w:rPr>
                <w:rFonts w:ascii="Arial" w:cs="Arial" w:eastAsia="Arial" w:hAnsi="Arial"/>
                <w:sz w:val="18"/>
                <w:szCs w:val="18"/>
                <w:color w:val="0000EE"/>
              </w:rPr>
              <w:t>LEGAL MATTERS</w:t>
            </w:r>
          </w:p>
        </w:tc>
        <w:tc>
          <w:tcPr>
            <w:tcW w:w="200" w:type="dxa"/>
            <w:vAlign w:val="bottom"/>
            <w:gridSpan w:val="2"/>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9"/>
              </w:rPr>
              <w:t>34</w:t>
            </w:r>
          </w:p>
        </w:tc>
      </w:tr>
      <w:tr>
        <w:trPr>
          <w:trHeight w:val="243"/>
        </w:trPr>
        <w:tc>
          <w:tcPr>
            <w:tcW w:w="20" w:type="dxa"/>
            <w:vAlign w:val="bottom"/>
            <w:tcBorders>
              <w:top w:val="single" w:sz="8" w:color="EEEE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20" w:type="dxa"/>
            <w:vAlign w:val="bottom"/>
            <w:tcBorders>
              <w:top w:val="single" w:sz="8" w:color="EEEEEE"/>
            </w:tcBorders>
          </w:tcPr>
          <w:p>
            <w:pPr>
              <w:spacing w:after="0"/>
              <w:rPr>
                <w:sz w:val="21"/>
                <w:szCs w:val="21"/>
                <w:color w:val="auto"/>
              </w:rPr>
            </w:pPr>
          </w:p>
        </w:tc>
        <w:tc>
          <w:tcPr>
            <w:tcW w:w="480" w:type="dxa"/>
            <w:vAlign w:val="bottom"/>
            <w:tcBorders>
              <w:top w:val="single" w:sz="8" w:color="EEEEEE"/>
            </w:tcBorders>
          </w:tcPr>
          <w:p>
            <w:pPr>
              <w:spacing w:after="0"/>
              <w:rPr>
                <w:sz w:val="21"/>
                <w:szCs w:val="21"/>
                <w:color w:val="auto"/>
              </w:rPr>
            </w:pPr>
          </w:p>
        </w:tc>
        <w:tc>
          <w:tcPr>
            <w:tcW w:w="2000" w:type="dxa"/>
            <w:vAlign w:val="bottom"/>
            <w:tcBorders>
              <w:top w:val="single" w:sz="8" w:color="EEEEEE"/>
            </w:tcBorders>
          </w:tcPr>
          <w:p>
            <w:pPr>
              <w:spacing w:after="0"/>
              <w:rPr>
                <w:sz w:val="21"/>
                <w:szCs w:val="21"/>
                <w:color w:val="auto"/>
              </w:rPr>
            </w:pPr>
          </w:p>
        </w:tc>
        <w:tc>
          <w:tcPr>
            <w:tcW w:w="260" w:type="dxa"/>
            <w:vAlign w:val="bottom"/>
            <w:tcBorders>
              <w:top w:val="single" w:sz="8" w:color="EEEE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c>
          <w:tcPr>
            <w:tcW w:w="6680" w:type="dxa"/>
            <w:vAlign w:val="bottom"/>
            <w:tcBorders>
              <w:top w:val="single" w:sz="8" w:color="EEEE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EEEEEE"/>
            </w:tcBorders>
          </w:tcPr>
          <w:p>
            <w:pPr>
              <w:spacing w:after="0"/>
              <w:rPr>
                <w:sz w:val="21"/>
                <w:szCs w:val="21"/>
                <w:color w:val="auto"/>
              </w:rPr>
            </w:pPr>
          </w:p>
        </w:tc>
      </w:tr>
      <w:tr>
        <w:trPr>
          <w:trHeight w:val="189"/>
        </w:trPr>
        <w:tc>
          <w:tcPr>
            <w:tcW w:w="11040" w:type="dxa"/>
            <w:vAlign w:val="bottom"/>
            <w:gridSpan w:val="9"/>
            <w:shd w:val="clear" w:color="auto" w:fill="EEEEEE"/>
          </w:tcPr>
          <w:p>
            <w:pPr>
              <w:ind w:left="20"/>
              <w:spacing w:after="0" w:line="189" w:lineRule="exact"/>
              <w:rPr>
                <w:sz w:val="20"/>
                <w:szCs w:val="20"/>
                <w:color w:val="auto"/>
              </w:rPr>
            </w:pPr>
            <w:r>
              <w:rPr>
                <w:rFonts w:ascii="Arial" w:cs="Arial" w:eastAsia="Arial" w:hAnsi="Arial"/>
                <w:sz w:val="18"/>
                <w:szCs w:val="18"/>
                <w:color w:val="0000EE"/>
              </w:rPr>
              <w:t>AUDITORS, TRANSFER AGENT AND REGISTRAR</w:t>
            </w:r>
          </w:p>
        </w:tc>
        <w:tc>
          <w:tcPr>
            <w:tcW w:w="200" w:type="dxa"/>
            <w:vAlign w:val="bottom"/>
            <w:gridSpan w:val="2"/>
            <w:shd w:val="clear" w:color="auto" w:fill="EEEEEE"/>
          </w:tcPr>
          <w:p>
            <w:pPr>
              <w:jc w:val="right"/>
              <w:ind w:right="20"/>
              <w:spacing w:after="0" w:line="189" w:lineRule="exact"/>
              <w:rPr>
                <w:sz w:val="20"/>
                <w:szCs w:val="20"/>
                <w:color w:val="auto"/>
              </w:rPr>
            </w:pPr>
            <w:r>
              <w:rPr>
                <w:rFonts w:ascii="Arial" w:cs="Arial" w:eastAsia="Arial" w:hAnsi="Arial"/>
                <w:sz w:val="18"/>
                <w:szCs w:val="18"/>
                <w:color w:val="0000EE"/>
                <w:w w:val="79"/>
              </w:rPr>
              <w:t>34</w:t>
            </w:r>
          </w:p>
        </w:tc>
      </w:tr>
      <w:tr>
        <w:trPr>
          <w:trHeight w:val="34"/>
        </w:trPr>
        <w:tc>
          <w:tcPr>
            <w:tcW w:w="20" w:type="dxa"/>
            <w:vAlign w:val="bottom"/>
            <w:tcBorders>
              <w:top w:val="single" w:sz="8" w:color="EEEEEE"/>
            </w:tcBorders>
            <w:shd w:val="clear" w:color="auto" w:fill="EEEEEE"/>
          </w:tcPr>
          <w:p>
            <w:pPr>
              <w:spacing w:after="0"/>
              <w:rPr>
                <w:sz w:val="2"/>
                <w:szCs w:val="2"/>
                <w:color w:val="auto"/>
              </w:rPr>
            </w:pPr>
          </w:p>
        </w:tc>
        <w:tc>
          <w:tcPr>
            <w:tcW w:w="1240" w:type="dxa"/>
            <w:vAlign w:val="bottom"/>
            <w:tcBorders>
              <w:top w:val="single" w:sz="8" w:color="0000EE"/>
            </w:tcBorders>
            <w:shd w:val="clear" w:color="auto" w:fill="EEEEEE"/>
          </w:tcPr>
          <w:p>
            <w:pPr>
              <w:spacing w:after="0"/>
              <w:rPr>
                <w:sz w:val="2"/>
                <w:szCs w:val="2"/>
                <w:color w:val="auto"/>
              </w:rPr>
            </w:pPr>
          </w:p>
        </w:tc>
        <w:tc>
          <w:tcPr>
            <w:tcW w:w="220" w:type="dxa"/>
            <w:vAlign w:val="bottom"/>
            <w:tcBorders>
              <w:top w:val="single" w:sz="8" w:color="0000EE"/>
            </w:tcBorders>
            <w:shd w:val="clear" w:color="auto" w:fill="EEEEEE"/>
          </w:tcPr>
          <w:p>
            <w:pPr>
              <w:spacing w:after="0"/>
              <w:rPr>
                <w:sz w:val="2"/>
                <w:szCs w:val="2"/>
                <w:color w:val="auto"/>
              </w:rPr>
            </w:pPr>
          </w:p>
        </w:tc>
        <w:tc>
          <w:tcPr>
            <w:tcW w:w="120" w:type="dxa"/>
            <w:vAlign w:val="bottom"/>
            <w:tcBorders>
              <w:top w:val="single" w:sz="8" w:color="0000EE"/>
            </w:tcBorders>
            <w:shd w:val="clear" w:color="auto" w:fill="EEEEEE"/>
          </w:tcPr>
          <w:p>
            <w:pPr>
              <w:spacing w:after="0"/>
              <w:rPr>
                <w:sz w:val="2"/>
                <w:szCs w:val="2"/>
                <w:color w:val="auto"/>
              </w:rPr>
            </w:pPr>
          </w:p>
        </w:tc>
        <w:tc>
          <w:tcPr>
            <w:tcW w:w="480" w:type="dxa"/>
            <w:vAlign w:val="bottom"/>
            <w:tcBorders>
              <w:top w:val="single" w:sz="8" w:color="0000EE"/>
            </w:tcBorders>
            <w:shd w:val="clear" w:color="auto" w:fill="EEEEEE"/>
          </w:tcPr>
          <w:p>
            <w:pPr>
              <w:spacing w:after="0"/>
              <w:rPr>
                <w:sz w:val="2"/>
                <w:szCs w:val="2"/>
                <w:color w:val="auto"/>
              </w:rPr>
            </w:pPr>
          </w:p>
        </w:tc>
        <w:tc>
          <w:tcPr>
            <w:tcW w:w="2000" w:type="dxa"/>
            <w:vAlign w:val="bottom"/>
            <w:tcBorders>
              <w:top w:val="single" w:sz="8" w:color="0000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c>
          <w:tcPr>
            <w:tcW w:w="6680" w:type="dxa"/>
            <w:vAlign w:val="bottom"/>
            <w:tcBorders>
              <w:top w:val="single" w:sz="8" w:color="EEEEEE"/>
            </w:tcBorders>
            <w:shd w:val="clear" w:color="auto" w:fill="EEEEEE"/>
          </w:tcPr>
          <w:p>
            <w:pPr>
              <w:spacing w:after="0"/>
              <w:rPr>
                <w:sz w:val="2"/>
                <w:szCs w:val="2"/>
                <w:color w:val="auto"/>
              </w:rPr>
            </w:pPr>
          </w:p>
        </w:tc>
        <w:tc>
          <w:tcPr>
            <w:tcW w:w="180" w:type="dxa"/>
            <w:vAlign w:val="bottom"/>
            <w:tcBorders>
              <w:top w:val="single" w:sz="8" w:color="0000EE"/>
            </w:tcBorders>
            <w:shd w:val="clear" w:color="auto" w:fill="EEEEEE"/>
          </w:tcPr>
          <w:p>
            <w:pPr>
              <w:spacing w:after="0"/>
              <w:rPr>
                <w:sz w:val="2"/>
                <w:szCs w:val="2"/>
                <w:color w:val="auto"/>
              </w:rPr>
            </w:pPr>
          </w:p>
        </w:tc>
        <w:tc>
          <w:tcPr>
            <w:tcW w:w="20" w:type="dxa"/>
            <w:vAlign w:val="bottom"/>
            <w:tcBorders>
              <w:top w:val="single" w:sz="8" w:color="EEEEEE"/>
            </w:tcBorders>
            <w:shd w:val="clear" w:color="auto" w:fill="EEEEEE"/>
          </w:tcPr>
          <w:p>
            <w:pPr>
              <w:spacing w:after="0"/>
              <w:rPr>
                <w:sz w:val="2"/>
                <w:szCs w:val="2"/>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ABOUT THIS PROSPECTUS SUPPLEMENT</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This document consists of two parts. The first part is this Prospectus Supplement, which describes certain terms of the Common Shares that the Corporation is offering and also adds to and updates certain information contained in the Base Shelf Prospectus and the documents incorporated by reference therein. The second part, the Base Shelf Prospectus, gives more general information, some of which may not apply to the Common Shares offered hereunder. Defined terms or abbreviations used in this Prospectus Supplement that are not defined herein have the meanings ascribed thereto in the Base Shelf Prospectus. Investors should rely only on the information contained or incorporated by reference in this Prospectus Supplement and the Base Shelf Prospectus. The Corporation has not authorized anyone to provide investors with different or additional information. The Corporation is not making an offer to sell Common Shares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you invest, you should carefully read this Prospectus Supplement, the accompanying Base Shelf Prospectus and all information incorporated by reference herein and therein. These documents contain information you should consider when making your investment decision.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filed the Base Shelf Prospectus with the securities commissions in all Canadian provinces and territories (the "</w:t>
      </w:r>
      <w:r>
        <w:rPr>
          <w:rFonts w:ascii="Arial" w:cs="Arial" w:eastAsia="Arial" w:hAnsi="Arial"/>
          <w:sz w:val="19"/>
          <w:szCs w:val="19"/>
          <w:b w:val="1"/>
          <w:bCs w:val="1"/>
          <w:color w:val="auto"/>
        </w:rPr>
        <w:t>Canadian Qualifying Jurisdictions</w:t>
      </w:r>
      <w:r>
        <w:rPr>
          <w:rFonts w:ascii="Arial" w:cs="Arial" w:eastAsia="Arial" w:hAnsi="Arial"/>
          <w:sz w:val="19"/>
          <w:szCs w:val="19"/>
          <w:color w:val="auto"/>
        </w:rPr>
        <w:t xml:space="preserve">") in order to qualify the offering of the securities described in the Base Shelf Prospectus in accordance with National Instrument 44-102 </w:t>
      </w:r>
      <w:r>
        <w:rPr>
          <w:rFonts w:ascii="Arial" w:cs="Arial" w:eastAsia="Arial" w:hAnsi="Arial"/>
          <w:sz w:val="19"/>
          <w:szCs w:val="19"/>
          <w:i w:val="1"/>
          <w:iCs w:val="1"/>
          <w:color w:val="auto"/>
        </w:rPr>
        <w:t>Shelf Distributions</w:t>
      </w:r>
      <w:r>
        <w:rPr>
          <w:rFonts w:ascii="Arial" w:cs="Arial" w:eastAsia="Arial" w:hAnsi="Arial"/>
          <w:sz w:val="19"/>
          <w:szCs w:val="19"/>
          <w:color w:val="auto"/>
        </w:rPr>
        <w:t xml:space="preserve">. The Ontario Securities Commission issued a receipt dated August 17, 2023 in respect of the final Base Shelf Prospectus as the principal regulatory authority under Multilateral Instrument 11-102 </w:t>
      </w:r>
      <w:r>
        <w:rPr>
          <w:rFonts w:ascii="Arial" w:cs="Arial" w:eastAsia="Arial" w:hAnsi="Arial"/>
          <w:sz w:val="19"/>
          <w:szCs w:val="19"/>
          <w:i w:val="1"/>
          <w:iCs w:val="1"/>
          <w:color w:val="auto"/>
        </w:rPr>
        <w:t>Passport System</w:t>
      </w:r>
      <w:r>
        <w:rPr>
          <w:rFonts w:ascii="Arial" w:cs="Arial" w:eastAsia="Arial" w:hAnsi="Arial"/>
          <w:sz w:val="19"/>
          <w:szCs w:val="19"/>
          <w:color w:val="auto"/>
        </w:rPr>
        <w:t xml:space="preserve">, and each of the other commissions in the Canadian Qualifying Jurisdictions is deemed to have issued a receipt under National Policy 11-202 </w:t>
      </w:r>
      <w:r>
        <w:rPr>
          <w:rFonts w:ascii="Arial" w:cs="Arial" w:eastAsia="Arial" w:hAnsi="Arial"/>
          <w:sz w:val="19"/>
          <w:szCs w:val="19"/>
          <w:i w:val="1"/>
          <w:iCs w:val="1"/>
          <w:color w:val="auto"/>
        </w:rPr>
        <w:t>Process for Prospectus Review in Multiple Jurisdictions</w:t>
      </w:r>
      <w:r>
        <w:rPr>
          <w:rFonts w:ascii="Arial" w:cs="Arial" w:eastAsia="Arial" w:hAnsi="Arial"/>
          <w:sz w:val="19"/>
          <w:szCs w:val="19"/>
          <w:color w:val="auto"/>
        </w:rPr>
        <w:t>.</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Base Shelf Prospectus also forms part of the Registration Statement that the Corporation filed with the SEC on June 16, 2023, as amended August 17, 2023 under the Securities Act utilizing the MJDS. The Registration Statement became effective under the Securities Act on August 17, 2023. The Registration Statement incorporates the Base Shelf Prospectus with certain modifications and deletions permitted by Form F-10. This Prospectus Supplement is being filed by the Corporation, with certain modifications and deletions permitted by Form F-10, with the SEC in accordance with the instructions to Form F-10.</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Unless otherwise indicated or the context otherwise requires, all references in this Prospectus Supplement to "</w:t>
      </w:r>
      <w:r>
        <w:rPr>
          <w:rFonts w:ascii="Arial" w:cs="Arial" w:eastAsia="Arial" w:hAnsi="Arial"/>
          <w:sz w:val="22"/>
          <w:szCs w:val="22"/>
          <w:b w:val="1"/>
          <w:bCs w:val="1"/>
          <w:color w:val="auto"/>
        </w:rPr>
        <w:t>Cybin</w:t>
      </w:r>
      <w:r>
        <w:rPr>
          <w:rFonts w:ascii="Arial" w:cs="Arial" w:eastAsia="Arial" w:hAnsi="Arial"/>
          <w:sz w:val="22"/>
          <w:szCs w:val="22"/>
          <w:color w:val="auto"/>
        </w:rPr>
        <w:t>" or the "</w:t>
      </w:r>
      <w:r>
        <w:rPr>
          <w:rFonts w:ascii="Arial" w:cs="Arial" w:eastAsia="Arial" w:hAnsi="Arial"/>
          <w:sz w:val="22"/>
          <w:szCs w:val="22"/>
          <w:b w:val="1"/>
          <w:bCs w:val="1"/>
          <w:color w:val="auto"/>
        </w:rPr>
        <w:t>Corporation</w:t>
      </w:r>
      <w:r>
        <w:rPr>
          <w:rFonts w:ascii="Arial" w:cs="Arial" w:eastAsia="Arial" w:hAnsi="Arial"/>
          <w:sz w:val="22"/>
          <w:szCs w:val="22"/>
          <w:color w:val="auto"/>
        </w:rPr>
        <w:t>", except as otherwise indicated or as the context otherwise indicates, mean Cybin Inc. and its subsidiaries and associated corporations</w:t>
      </w:r>
      <w:r>
        <w:rPr>
          <w:rFonts w:ascii="Arial" w:cs="Arial" w:eastAsia="Arial" w:hAnsi="Arial"/>
          <w:sz w:val="22"/>
          <w:szCs w:val="22"/>
          <w:i w:val="1"/>
          <w:iCs w:val="1"/>
          <w:color w:val="auto"/>
        </w:rPr>
        <w: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Arial" w:cs="Arial" w:eastAsia="Arial" w:hAnsi="Arial"/>
          <w:sz w:val="22"/>
          <w:szCs w:val="22"/>
          <w:i w:val="1"/>
          <w:iCs w:val="1"/>
          <w:color w:val="auto"/>
        </w:rPr>
        <w:t>Documents Incorporated by Reference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INFORMATION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Certain statements contained in this Prospectus Supplement, and in certain documents incorporated by reference herein, constitute "forward-looking information" and "forward-looking statements," within the meaning of applicable securities laws.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and in documents incorporated by reference 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and the Corporation assumes no obligation to update or revise them to reflect subsequent information, events or circumstances or otherwise, except as required by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593"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22"/>
          <w:szCs w:val="22"/>
          <w:color w:val="auto"/>
        </w:rPr>
        <w:t>The forward-looking statements in this Prospectus Supplement and in documents incorporated by reference 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Some of the risks which could affect future results and could cause results to differ materially from those expressed in the forward-looking statements contained herein include: completion of the Offering and receipt of all regulatory and stock exchange approvals; listing of the Common Shares issuable under the Offering; the net proceeds, if any, from sales under this Prospectus Supplement; the Corporation's use of proceeds and business objectives and milestones and the anticipated timing of execution, see </w:t>
      </w:r>
      <w:r>
        <w:rPr>
          <w:rFonts w:ascii="Arial" w:cs="Arial" w:eastAsia="Arial" w:hAnsi="Arial"/>
          <w:sz w:val="19"/>
          <w:szCs w:val="19"/>
          <w:i w:val="1"/>
          <w:iCs w:val="1"/>
          <w:color w:val="auto"/>
        </w:rPr>
        <w:t>"Use of Proceeds"</w:t>
      </w:r>
      <w:r>
        <w:rPr>
          <w:rFonts w:ascii="Arial" w:cs="Arial" w:eastAsia="Arial" w:hAnsi="Arial"/>
          <w:sz w:val="19"/>
          <w:szCs w:val="19"/>
          <w:color w:val="auto"/>
        </w:rPr>
        <w:t>; ongoing impact of the novel coronavirus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trademark protection; trade secrets; patent law reform; patent litigation and intellectual property; protection of intellectual property; third-party licences; substantial number of authorized but unissued Common Shares; dilution; negative cash flow from operating activities; additional capital requirements; lack of significant product revenue; estimates or judgments relating to critical accounting policies; inadequate internal controls; market for the Common Shares; significant sales of Common Shares; volatile market price for the Common Shares; tax issues; no dividends; an investment in the Common Shares is highly speculative; completion of the Offering; negative operating cash flow and going concern; discretion in the use of proceeds; potential dilution; trading market; significant sales of Common Shares; positive return not guaranteed; and the Corporation expects to be a "passive foreign investment company".</w:t>
      </w:r>
    </w:p>
    <w:p>
      <w:pPr>
        <w:spacing w:after="0" w:line="200" w:lineRule="exact"/>
        <w:rPr>
          <w:sz w:val="20"/>
          <w:szCs w:val="20"/>
          <w:color w:val="auto"/>
        </w:rPr>
      </w:pP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4" w:lineRule="exact"/>
        <w:rPr>
          <w:sz w:val="20"/>
          <w:szCs w:val="20"/>
          <w:color w:val="auto"/>
        </w:rPr>
      </w:pPr>
    </w:p>
    <w:p>
      <w:pPr>
        <w:ind w:left="660" w:hanging="331"/>
        <w:spacing w:after="0" w:line="239" w:lineRule="auto"/>
        <w:tabs>
          <w:tab w:leader="none" w:pos="684" w:val="left"/>
        </w:tabs>
        <w:numPr>
          <w:ilvl w:val="0"/>
          <w:numId w:val="1"/>
        </w:numPr>
        <w:rPr>
          <w:rFonts w:ascii="Arial" w:cs="Arial" w:eastAsia="Arial" w:hAnsi="Arial"/>
          <w:sz w:val="22"/>
          <w:szCs w:val="22"/>
          <w:color w:val="auto"/>
        </w:rPr>
      </w:pPr>
      <w:r>
        <w:rPr>
          <w:rFonts w:ascii="Arial" w:cs="Arial" w:eastAsia="Arial" w:hAnsi="Arial"/>
          <w:sz w:val="22"/>
          <w:szCs w:val="22"/>
          <w:color w:val="auto"/>
        </w:rPr>
        <w:t>substantial fluctuation of losses from quarter to quarter and year to year due to numerous external risk factors, and anticipation that the Corporation will continue to incur significant losses in the future;</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uncertainty as to the Corporation's ability to raise additional funding to support operations;</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Corporation's ability to access additional funding;</w:t>
      </w: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fluctuation of foreign exchange rates;</w:t>
      </w:r>
    </w:p>
    <w:p>
      <w:pPr>
        <w:ind w:left="660" w:hanging="331"/>
        <w:spacing w:after="0" w:line="230" w:lineRule="auto"/>
        <w:tabs>
          <w:tab w:leader="none" w:pos="684"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risks associated with the development of the Corporation's product candidates which are at early stages of development;</w:t>
      </w:r>
    </w:p>
    <w:p>
      <w:pPr>
        <w:spacing w:after="0" w:line="1" w:lineRule="exact"/>
        <w:rPr>
          <w:rFonts w:ascii="Arial" w:cs="Arial" w:eastAsia="Arial" w:hAnsi="Arial"/>
          <w:sz w:val="22"/>
          <w:szCs w:val="22"/>
          <w:color w:val="auto"/>
        </w:rPr>
      </w:pPr>
    </w:p>
    <w:p>
      <w:pPr>
        <w:ind w:left="680" w:hanging="351"/>
        <w:spacing w:after="0"/>
        <w:tabs>
          <w:tab w:leader="none" w:pos="680" w:val="left"/>
        </w:tabs>
        <w:numPr>
          <w:ilvl w:val="0"/>
          <w:numId w:val="1"/>
        </w:numPr>
        <w:rPr>
          <w:rFonts w:ascii="Arial" w:cs="Arial" w:eastAsia="Arial" w:hAnsi="Arial"/>
          <w:sz w:val="19"/>
          <w:szCs w:val="19"/>
          <w:color w:val="auto"/>
        </w:rPr>
      </w:pPr>
      <w:r>
        <w:rPr>
          <w:rFonts w:ascii="Arial" w:cs="Arial" w:eastAsia="Arial" w:hAnsi="Arial"/>
          <w:sz w:val="19"/>
          <w:szCs w:val="19"/>
          <w:color w:val="auto"/>
        </w:rPr>
        <w:t>reliance upon industry publications as the Corporation's primary sources for third-party industry data and forecasts;</w:t>
      </w:r>
    </w:p>
    <w:p>
      <w:pPr>
        <w:spacing w:after="0" w:line="24" w:lineRule="exact"/>
        <w:rPr>
          <w:rFonts w:ascii="Arial" w:cs="Arial" w:eastAsia="Arial" w:hAnsi="Arial"/>
          <w:sz w:val="19"/>
          <w:szCs w:val="19"/>
          <w:color w:val="auto"/>
        </w:rPr>
      </w:pPr>
    </w:p>
    <w:p>
      <w:pPr>
        <w:ind w:left="680" w:hanging="351"/>
        <w:spacing w:after="0" w:line="230" w:lineRule="auto"/>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reliance on third parties to plan, conduct and monitor the Corporation's preclinical studies and clinical trials;</w:t>
      </w:r>
    </w:p>
    <w:p>
      <w:pPr>
        <w:ind w:left="680" w:hanging="351"/>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reliance on third party contract manufacturers to deliver quality clinical and preclinical materials;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left="660" w:hanging="331"/>
        <w:spacing w:after="0" w:line="239"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product candidates may fail to demonstrate safety and efficacy to the satisfaction of regulatory authorities or may not otherwise produce positive results;</w:t>
      </w:r>
    </w:p>
    <w:p>
      <w:pPr>
        <w:ind w:left="660" w:right="20" w:hanging="331"/>
        <w:spacing w:after="0" w:line="230"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risks related to filing investigational new drug applications to commence clinical trials and to continue clinical trials if approved;</w:t>
      </w:r>
    </w:p>
    <w:p>
      <w:pPr>
        <w:spacing w:after="0" w:line="1" w:lineRule="exact"/>
        <w:rPr>
          <w:rFonts w:ascii="Arial" w:cs="Arial" w:eastAsia="Arial" w:hAnsi="Arial"/>
          <w:sz w:val="22"/>
          <w:szCs w:val="22"/>
          <w:color w:val="auto"/>
        </w:rPr>
      </w:pP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risks of delays and inability to complete clinical trials due to difficulties enrolling patients;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competition from other biotechnology and pharmaceutical companies;</w:t>
      </w:r>
    </w:p>
    <w:p>
      <w:pPr>
        <w:ind w:left="660" w:right="20" w:hanging="331"/>
        <w:spacing w:after="0" w:line="230"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Arial" w:cs="Arial" w:eastAsia="Arial" w:hAnsi="Arial"/>
          <w:sz w:val="22"/>
          <w:szCs w:val="22"/>
          <w:color w:val="auto"/>
        </w:rPr>
      </w:pP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ability to fully realize the benefits of acquisitions;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 of patent-related or other litigation; and</w:t>
      </w:r>
    </w:p>
    <w:p>
      <w:pPr>
        <w:ind w:left="660" w:hanging="331"/>
        <w:spacing w:after="0" w:line="236" w:lineRule="auto"/>
        <w:tabs>
          <w:tab w:leader="none" w:pos="68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risk of unforeseen changes to the laws or regulations in the United States, the United Kingdom, Canada, the Netherlands, Ireland and other jurisdictions in which the Corporation operates.</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addition to the factors set out above and those identified under the heading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4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Many of these factors are beyond the Corporation</w:t>
      </w:r>
      <w:r>
        <w:rPr>
          <w:rFonts w:ascii="Arial" w:cs="Arial" w:eastAsia="Arial" w:hAnsi="Arial"/>
          <w:sz w:val="22"/>
          <w:szCs w:val="22"/>
          <w:color w:val="auto"/>
        </w:rPr>
        <w:t>'</w:t>
      </w:r>
      <w:r>
        <w:rPr>
          <w:rFonts w:ascii="Arial" w:cs="Arial" w:eastAsia="Arial" w:hAnsi="Arial"/>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w:t>
      </w:r>
      <w:r>
        <w:rPr>
          <w:rFonts w:ascii="Arial" w:cs="Arial" w:eastAsia="Arial" w:hAnsi="Arial"/>
          <w:sz w:val="22"/>
          <w:szCs w:val="22"/>
          <w:color w:val="auto"/>
        </w:rPr>
        <w:t>'</w:t>
      </w:r>
      <w:r>
        <w:rPr>
          <w:rFonts w:ascii="Arial" w:cs="Arial" w:eastAsia="Arial" w:hAnsi="Arial"/>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22"/>
          <w:szCs w:val="22"/>
          <w:color w:val="auto"/>
        </w:rPr>
        <w:t>.</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Arial" w:cs="Arial" w:eastAsia="Arial" w:hAnsi="Arial"/>
          <w:sz w:val="21"/>
          <w:szCs w:val="21"/>
          <w:color w:val="auto"/>
        </w:rPr>
        <w:t>Investors should read this entire</w:t>
      </w:r>
      <w:r>
        <w:rPr>
          <w:rFonts w:ascii="Arial" w:cs="Arial" w:eastAsia="Arial" w:hAnsi="Arial"/>
          <w:sz w:val="21"/>
          <w:szCs w:val="21"/>
          <w:b w:val="1"/>
          <w:bCs w:val="1"/>
          <w:color w:val="auto"/>
        </w:rPr>
        <w:t xml:space="preserve"> </w:t>
      </w:r>
      <w:r>
        <w:rPr>
          <w:rFonts w:ascii="Arial" w:cs="Arial" w:eastAsia="Arial" w:hAnsi="Arial"/>
          <w:sz w:val="21"/>
          <w:szCs w:val="21"/>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This Prospectus Supplement is deemed to be incorporated by reference in the Base Shelf Prospectus solely for the purpose of the Offering.</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As at the date hereof, the following documents of the Corporation filed with the securities commissions or similar authorities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Canada are incorporated by reference in this Prospectus Supplement:</w:t>
      </w:r>
    </w:p>
    <w:p>
      <w:pPr>
        <w:spacing w:after="0" w:line="182" w:lineRule="exact"/>
        <w:rPr>
          <w:sz w:val="20"/>
          <w:szCs w:val="20"/>
          <w:color w:val="auto"/>
        </w:rPr>
      </w:pPr>
    </w:p>
    <w:p>
      <w:pPr>
        <w:ind w:left="520" w:hanging="256"/>
        <w:spacing w:after="0" w:line="256" w:lineRule="auto"/>
        <w:tabs>
          <w:tab w:leader="none" w:pos="546" w:val="left"/>
        </w:tabs>
        <w:numPr>
          <w:ilvl w:val="0"/>
          <w:numId w:val="3"/>
        </w:numPr>
        <w:rPr>
          <w:rFonts w:ascii="Arial" w:cs="Arial" w:eastAsia="Arial" w:hAnsi="Arial"/>
          <w:sz w:val="22"/>
          <w:szCs w:val="22"/>
          <w:color w:val="auto"/>
        </w:rPr>
      </w:pPr>
      <w:r>
        <w:rPr>
          <w:rFonts w:ascii="Arial" w:cs="Arial" w:eastAsia="Arial" w:hAnsi="Arial"/>
          <w:sz w:val="22"/>
          <w:szCs w:val="22"/>
          <w:color w:val="auto"/>
        </w:rPr>
        <w:t>annual information form of the Corporation dated June 27, 2023 (the "</w:t>
      </w:r>
      <w:r>
        <w:rPr>
          <w:rFonts w:ascii="Arial" w:cs="Arial" w:eastAsia="Arial" w:hAnsi="Arial"/>
          <w:sz w:val="22"/>
          <w:szCs w:val="22"/>
          <w:b w:val="1"/>
          <w:bCs w:val="1"/>
          <w:color w:val="auto"/>
        </w:rPr>
        <w:t>Annual Information Form</w:t>
      </w:r>
      <w:r>
        <w:rPr>
          <w:rFonts w:ascii="Arial" w:cs="Arial" w:eastAsia="Arial" w:hAnsi="Arial"/>
          <w:sz w:val="22"/>
          <w:szCs w:val="22"/>
          <w:color w:val="auto"/>
        </w:rPr>
        <w:t>") for the year ended March 31, 2023;</w:t>
      </w:r>
    </w:p>
    <w:p>
      <w:pPr>
        <w:spacing w:after="0" w:line="168"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audited consolidated financial statements of the Corporation and the notes thereto as at and for the fiscal year ended March 31, 2023, together with the auditor's report thereon;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ind w:left="540" w:hanging="276"/>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year ended March 31, 2023;</w:t>
      </w:r>
    </w:p>
    <w:p>
      <w:pPr>
        <w:spacing w:after="0" w:line="206"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unaudited interim condensed consolidated financial statements of the Corporation and the notes thereto for the three months ended June 30, 2023 (the "</w:t>
      </w:r>
      <w:r>
        <w:rPr>
          <w:rFonts w:ascii="Arial" w:cs="Arial" w:eastAsia="Arial" w:hAnsi="Arial"/>
          <w:sz w:val="22"/>
          <w:szCs w:val="22"/>
          <w:b w:val="1"/>
          <w:bCs w:val="1"/>
          <w:color w:val="auto"/>
        </w:rPr>
        <w:t>Interim Financial Statements</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520" w:hanging="256"/>
        <w:spacing w:after="0" w:line="256"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three months ended June 30, 2023 (the "</w:t>
      </w:r>
      <w:r>
        <w:rPr>
          <w:rFonts w:ascii="Arial" w:cs="Arial" w:eastAsia="Arial" w:hAnsi="Arial"/>
          <w:sz w:val="22"/>
          <w:szCs w:val="22"/>
          <w:b w:val="1"/>
          <w:bCs w:val="1"/>
          <w:color w:val="auto"/>
        </w:rPr>
        <w:t>Interim</w:t>
      </w:r>
      <w:r>
        <w:rPr>
          <w:rFonts w:ascii="Arial" w:cs="Arial" w:eastAsia="Arial" w:hAnsi="Arial"/>
          <w:sz w:val="22"/>
          <w:szCs w:val="22"/>
          <w:color w:val="auto"/>
        </w:rPr>
        <w:t xml:space="preserve"> </w:t>
      </w:r>
      <w:r>
        <w:rPr>
          <w:rFonts w:ascii="Arial" w:cs="Arial" w:eastAsia="Arial" w:hAnsi="Arial"/>
          <w:sz w:val="22"/>
          <w:szCs w:val="22"/>
          <w:b w:val="1"/>
          <w:bCs w:val="1"/>
          <w:color w:val="auto"/>
        </w:rPr>
        <w:t>MD&amp;A</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520" w:hanging="256"/>
        <w:spacing w:after="0" w:line="250" w:lineRule="auto"/>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management information circular of the Corporation dated July 13, 2022 relating to an annual meeting of shareholders of the Corporation held on August 15, 2022;</w:t>
      </w:r>
    </w:p>
    <w:p>
      <w:pPr>
        <w:spacing w:after="0" w:line="174" w:lineRule="exact"/>
        <w:rPr>
          <w:rFonts w:ascii="Arial" w:cs="Arial" w:eastAsia="Arial" w:hAnsi="Arial"/>
          <w:sz w:val="22"/>
          <w:szCs w:val="22"/>
          <w:color w:val="auto"/>
        </w:rPr>
      </w:pPr>
    </w:p>
    <w:p>
      <w:pPr>
        <w:ind w:left="540" w:hanging="276"/>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material change report dated May 31, 2023 relating to the Purchase Agreement with the Investor;</w:t>
      </w:r>
    </w:p>
    <w:p>
      <w:pPr>
        <w:spacing w:after="0" w:line="206" w:lineRule="exact"/>
        <w:rPr>
          <w:rFonts w:ascii="Arial" w:cs="Arial" w:eastAsia="Arial" w:hAnsi="Arial"/>
          <w:sz w:val="22"/>
          <w:szCs w:val="22"/>
          <w:color w:val="auto"/>
        </w:rPr>
      </w:pPr>
    </w:p>
    <w:p>
      <w:pPr>
        <w:jc w:val="both"/>
        <w:ind w:left="520" w:hanging="256"/>
        <w:spacing w:after="0"/>
        <w:tabs>
          <w:tab w:leader="none" w:pos="546" w:val="left"/>
        </w:tabs>
        <w:numPr>
          <w:ilvl w:val="0"/>
          <w:numId w:val="4"/>
        </w:numPr>
        <w:rPr>
          <w:rFonts w:ascii="Arial" w:cs="Arial" w:eastAsia="Arial" w:hAnsi="Arial"/>
          <w:sz w:val="22"/>
          <w:szCs w:val="22"/>
          <w:color w:val="auto"/>
        </w:rPr>
      </w:pPr>
      <w:r>
        <w:rPr>
          <w:rFonts w:ascii="Arial" w:cs="Arial" w:eastAsia="Arial" w:hAnsi="Arial"/>
          <w:sz w:val="22"/>
          <w:szCs w:val="22"/>
          <w:color w:val="auto"/>
        </w:rPr>
        <w:t>material change report dated August 8, 2023 relating to the public offering of 24,264,706 units of the Corporation (the "</w:t>
      </w:r>
      <w:r>
        <w:rPr>
          <w:rFonts w:ascii="Arial" w:cs="Arial" w:eastAsia="Arial" w:hAnsi="Arial"/>
          <w:sz w:val="22"/>
          <w:szCs w:val="22"/>
          <w:b w:val="1"/>
          <w:bCs w:val="1"/>
          <w:color w:val="auto"/>
        </w:rPr>
        <w:t>Units</w:t>
      </w:r>
      <w:r>
        <w:rPr>
          <w:rFonts w:ascii="Arial" w:cs="Arial" w:eastAsia="Arial" w:hAnsi="Arial"/>
          <w:sz w:val="22"/>
          <w:szCs w:val="22"/>
          <w:color w:val="auto"/>
        </w:rPr>
        <w:t>") at a price of US$0.34 per Unit for gross proceeds of US$8,250,000 pursuant to a prospectus supplement dated August 1, 2023 to the 2021 Base Shelf Prospectus (the "</w:t>
      </w:r>
      <w:r>
        <w:rPr>
          <w:rFonts w:ascii="Arial" w:cs="Arial" w:eastAsia="Arial" w:hAnsi="Arial"/>
          <w:sz w:val="22"/>
          <w:szCs w:val="22"/>
          <w:b w:val="1"/>
          <w:bCs w:val="1"/>
          <w:color w:val="auto"/>
        </w:rPr>
        <w:t>Offering</w:t>
      </w:r>
      <w:r>
        <w:rPr>
          <w:rFonts w:ascii="Arial" w:cs="Arial" w:eastAsia="Arial" w:hAnsi="Arial"/>
          <w:sz w:val="22"/>
          <w:szCs w:val="22"/>
          <w:color w:val="auto"/>
        </w:rPr>
        <w:t>"); and</w:t>
      </w:r>
    </w:p>
    <w:p>
      <w:pPr>
        <w:spacing w:after="0" w:line="186" w:lineRule="exact"/>
        <w:rPr>
          <w:rFonts w:ascii="Arial" w:cs="Arial" w:eastAsia="Arial" w:hAnsi="Arial"/>
          <w:sz w:val="22"/>
          <w:szCs w:val="22"/>
          <w:color w:val="auto"/>
        </w:rPr>
      </w:pPr>
    </w:p>
    <w:p>
      <w:pPr>
        <w:ind w:left="540" w:hanging="276"/>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statement of executive compensation of the Corporation dated August 18, 2023.</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Any document of the type referred to in Section 11.1 of Form 44-101F1 - </w:t>
      </w:r>
      <w:r>
        <w:rPr>
          <w:rFonts w:ascii="Arial" w:cs="Arial" w:eastAsia="Arial" w:hAnsi="Arial"/>
          <w:sz w:val="19"/>
          <w:szCs w:val="19"/>
          <w:i w:val="1"/>
          <w:iCs w:val="1"/>
          <w:color w:val="auto"/>
        </w:rPr>
        <w:t>Short Form Prospectus Distributions</w:t>
      </w:r>
      <w:r>
        <w:rPr>
          <w:rFonts w:ascii="Arial" w:cs="Arial" w:eastAsia="Arial" w:hAnsi="Arial"/>
          <w:sz w:val="19"/>
          <w:szCs w:val="19"/>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if the Corporation disseminates a news release in respect of previously undisclosed information that, in the Corporation's determination, constitutes a "material fact" (as such term is defined under applicable Canadian securities laws), the Corporation will identify such news release as a "designated news release" for the purposes of the Prospectus in writing on the face page of the version of such news release that the Corporation files on SEDAR+ (any such news release, a "</w:t>
      </w:r>
      <w:r>
        <w:rPr>
          <w:rFonts w:ascii="Arial" w:cs="Arial" w:eastAsia="Arial" w:hAnsi="Arial"/>
          <w:sz w:val="19"/>
          <w:szCs w:val="19"/>
          <w:b w:val="1"/>
          <w:bCs w:val="1"/>
          <w:color w:val="auto"/>
        </w:rPr>
        <w:t>Designated News Release</w:t>
      </w:r>
      <w:r>
        <w:rPr>
          <w:rFonts w:ascii="Arial" w:cs="Arial" w:eastAsia="Arial" w:hAnsi="Arial"/>
          <w:sz w:val="19"/>
          <w:szCs w:val="19"/>
          <w:color w:val="auto"/>
        </w:rPr>
        <w:t>"), and any such Designated News Release shall be deemed to be incorporated by reference into the Prospectus only for the purposes of the Offering.</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addition, to the extent any such document is included in any report on Form 6-K furnished to the SEC or in any report on Form 40-F or 20-F (or any respective successor form) filed with the SEC subsequent to the date of this Prospectus Supplement, such document shall be deemed to be incorporated by reference as exhibits to the Registration Statement of which this Prospectus Supplement forms a part (in the case of any report on Form 6-K, if and to the extent expressly set forth in such report). In addition, any other report on Form 6-K and the exhibits thereto filed or furnished by the Corporation with the SEC, and any other reports filed, under the United States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from the date of this Prospectus Supplement shall be deemed to be incorporated by reference as exhibits to the Registration Statement of which this Prospectus Supplement forms a part, but only if and to the extent expressly so provided in any such report.</w:t>
      </w:r>
    </w:p>
    <w:p>
      <w:pPr>
        <w:spacing w:after="0" w:line="15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Copies of the documents incorporated by reference herein will be available electronically on the Corporation's SEDAR+ profile, which can be accessed at </w:t>
      </w:r>
      <w:r>
        <w:rPr>
          <w:rFonts w:ascii="Arial" w:cs="Arial" w:eastAsia="Arial" w:hAnsi="Arial"/>
          <w:sz w:val="19"/>
          <w:szCs w:val="19"/>
          <w:u w:val="single" w:color="auto"/>
          <w:color w:val="0563C1"/>
        </w:rPr>
        <w:t>www.sedarplus.ca</w:t>
      </w:r>
      <w:r>
        <w:rPr>
          <w:rFonts w:ascii="Arial" w:cs="Arial" w:eastAsia="Arial" w:hAnsi="Arial"/>
          <w:sz w:val="19"/>
          <w:szCs w:val="19"/>
          <w:color w:val="auto"/>
        </w:rPr>
        <w:t xml:space="preserve">, and from the Corporation's EDGAR profile at </w:t>
      </w:r>
      <w:r>
        <w:rPr>
          <w:rFonts w:ascii="Arial" w:cs="Arial" w:eastAsia="Arial" w:hAnsi="Arial"/>
          <w:sz w:val="19"/>
          <w:szCs w:val="19"/>
          <w:u w:val="single" w:color="auto"/>
          <w:color w:val="0563C1"/>
        </w:rPr>
        <w:t>www.sec.gov</w:t>
      </w:r>
      <w:r>
        <w:rPr>
          <w:rFonts w:ascii="Arial" w:cs="Arial" w:eastAsia="Arial" w:hAnsi="Arial"/>
          <w:sz w:val="19"/>
          <w:szCs w:val="19"/>
          <w:color w:val="auto"/>
        </w:rPr>
        <w:t>. The Corporation's filings through SEDAR+ and EDGAR are not incorporated by reference in the Prospectus except as specifically set out herein.</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Any statement contained in this Prospectus Supplement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200" w:lineRule="exact"/>
        <w:rPr>
          <w:sz w:val="20"/>
          <w:szCs w:val="20"/>
          <w:color w:val="auto"/>
        </w:rPr>
      </w:pP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DOCUMENTS FILED AS PART OF THE REGISTRATION STATEMENT</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documents have been or will be filed with the SEC as part of Registration Statement: (i) the documents set out under the heading "Documents Incorporated by Reference" in this Prospectus Supplement and the Base Shelf Prospectus; (ii) the consents of the Corporation's auditor and legal counsels; (iii) powers of attorney from certain of the Corporation's directors and officers (included on the signature page of the Registration Statement); and (iv) the Purchase Agreement described in this Prospectus Supplement.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CURRENCY AND EXCHANGE RATE INFORMATION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this Prospectus Supplement, unless otherwise indicated, all dollar amounts and references to "US$" are to U.S. dollars and references to "$" are to Canadian dollars. This Prospectus Supplement contains translations of some Canadian dollar amounts into U.S. dollars solely for your convenience.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sets forth, for the periods indicated, the high, low, average and period-end rates of exchange for US$1.00, expressed in Canadian dollars, posted by the Bank of Canada:</w:t>
      </w:r>
    </w:p>
    <w:p>
      <w:pPr>
        <w:spacing w:after="0" w:line="178"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r>
      <w:tr>
        <w:trPr>
          <w:trHeight w:val="234"/>
        </w:trPr>
        <w:tc>
          <w:tcPr>
            <w:tcW w:w="4420" w:type="dxa"/>
            <w:vAlign w:val="bottom"/>
            <w:tcBorders>
              <w:bottom w:val="single" w:sz="8" w:color="E6EFFF"/>
            </w:tcBorders>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209"/>
        </w:trPr>
        <w:tc>
          <w:tcPr>
            <w:tcW w:w="4420" w:type="dxa"/>
            <w:vAlign w:val="bottom"/>
            <w:shd w:val="clear" w:color="auto" w:fill="E6EFFF"/>
          </w:tcPr>
          <w:p>
            <w:pPr>
              <w:ind w:left="20"/>
              <w:spacing w:after="0"/>
              <w:rPr>
                <w:sz w:val="20"/>
                <w:szCs w:val="20"/>
                <w:color w:val="auto"/>
              </w:rPr>
            </w:pPr>
            <w:r>
              <w:rPr>
                <w:rFonts w:ascii="Arial" w:cs="Arial" w:eastAsia="Arial" w:hAnsi="Arial"/>
                <w:sz w:val="18"/>
                <w:szCs w:val="18"/>
                <w:color w:val="auto"/>
              </w:rPr>
              <w:t>Highest rate during the period</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C$1.3856</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Lowest rate during the period</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C$1.2540</w:t>
            </w:r>
          </w:p>
        </w:tc>
      </w:tr>
      <w:tr>
        <w:trPr>
          <w:trHeight w:val="216"/>
        </w:trPr>
        <w:tc>
          <w:tcPr>
            <w:tcW w:w="4420" w:type="dxa"/>
            <w:vAlign w:val="bottom"/>
            <w:shd w:val="clear" w:color="auto" w:fill="E6EFFF"/>
          </w:tcPr>
          <w:p>
            <w:pPr>
              <w:ind w:left="20"/>
              <w:spacing w:after="0"/>
              <w:rPr>
                <w:sz w:val="20"/>
                <w:szCs w:val="20"/>
                <w:color w:val="auto"/>
              </w:rPr>
            </w:pPr>
            <w:r>
              <w:rPr>
                <w:rFonts w:ascii="Arial" w:cs="Arial" w:eastAsia="Arial" w:hAnsi="Arial"/>
                <w:sz w:val="18"/>
                <w:szCs w:val="18"/>
                <w:color w:val="auto"/>
              </w:rPr>
              <w:t>Average rate for the period</w:t>
            </w:r>
          </w:p>
        </w:tc>
        <w:tc>
          <w:tcPr>
            <w:tcW w:w="23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C$1.3283</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Rate at the end of the period</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C$1.3544</w:t>
            </w:r>
          </w:p>
        </w:tc>
      </w:tr>
    </w:tbl>
    <w:p>
      <w:pPr>
        <w:spacing w:after="0" w:line="1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August 22, 2023, the daily average exchange rate posted by the Bank of Canada for conversion of U.S. dollars into Canadian dollars was US$1.00 = C$1.3549 (the "</w:t>
      </w:r>
      <w:r>
        <w:rPr>
          <w:rFonts w:ascii="Arial" w:cs="Arial" w:eastAsia="Arial" w:hAnsi="Arial"/>
          <w:sz w:val="22"/>
          <w:szCs w:val="22"/>
          <w:b w:val="1"/>
          <w:bCs w:val="1"/>
          <w:color w:val="auto"/>
        </w:rPr>
        <w:t>2023 Rate</w:t>
      </w:r>
      <w:r>
        <w:rPr>
          <w:rFonts w:ascii="Arial" w:cs="Arial" w:eastAsia="Arial" w:hAnsi="Arial"/>
          <w:sz w:val="22"/>
          <w:szCs w:val="22"/>
          <w:color w:val="auto"/>
        </w:rPr>
        <w:t>"). Unless otherwise indicated, currency translation in this Prospectus Supplement reflects the 2023 Rate.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CORPORATION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This summary does not contain all the information that may be important to you in deciding whether to invest in the Common Shares. You should read the entire Prospectus, including the section entitled "Risk Factors", the applicable Prospectus Supplement, and the documents incorporated by reference herein, including the Annual Information Form, before making such decision.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Business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and novel formulation approaches and treatment regimens.</w:t>
      </w:r>
      <w:r>
        <w:rPr>
          <w:rFonts w:ascii="Arial" w:cs="Arial" w:eastAsia="Arial" w:hAnsi="Arial"/>
          <w:sz w:val="35"/>
          <w:szCs w:val="35"/>
          <w:color w:val="auto"/>
          <w:vertAlign w:val="superscript"/>
        </w:rPr>
        <w:t>1</w:t>
      </w:r>
    </w:p>
    <w:p>
      <w:pPr>
        <w:spacing w:after="0" w:line="8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Corporation's research and development work focuses on a three-pillar strategy that leverages the Corporation's core competencies in preclinical innovation and clinical development. This strategy supports the creation of intellectual property focused on developing the Corporation's platform technology, the progression of clinical development programs including CYB003, a deuterated psilocybin analog, CYB004, a deuterated version of N, N-dimethyltryptamine, CYB005, phenethylamine derivatives, and an expansive list of preclinical molecules to facilitate future drug development opportunities.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44" w:lineRule="exact"/>
        <w:rPr>
          <w:sz w:val="20"/>
          <w:szCs w:val="20"/>
          <w:color w:val="auto"/>
        </w:rPr>
      </w:pPr>
    </w:p>
    <w:p>
      <w:pPr>
        <w:jc w:val="both"/>
        <w:ind w:firstLine="8"/>
        <w:spacing w:after="0" w:line="224" w:lineRule="auto"/>
        <w:tabs>
          <w:tab w:leader="none" w:pos="164" w:val="left"/>
        </w:tabs>
        <w:numPr>
          <w:ilvl w:val="0"/>
          <w:numId w:val="5"/>
        </w:numPr>
        <w:rPr>
          <w:rFonts w:ascii="Arial" w:cs="Arial" w:eastAsia="Arial" w:hAnsi="Arial"/>
          <w:sz w:val="35"/>
          <w:szCs w:val="35"/>
          <w:color w:val="auto"/>
          <w:vertAlign w:val="superscript"/>
        </w:rPr>
      </w:pPr>
      <w:r>
        <w:rPr>
          <w:rFonts w:ascii="Arial" w:cs="Arial" w:eastAsia="Arial" w:hAnsi="Arial"/>
          <w:sz w:val="21"/>
          <w:szCs w:val="21"/>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spacing w:after="0" w:line="251" w:lineRule="auto"/>
        <w:rPr>
          <w:sz w:val="20"/>
          <w:szCs w:val="20"/>
          <w:color w:val="auto"/>
        </w:rPr>
      </w:pPr>
      <w:r>
        <w:rPr>
          <w:rFonts w:ascii="Arial" w:cs="Arial" w:eastAsia="Arial" w:hAnsi="Arial"/>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Advancement of Mental Healthcare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inhalation, via intravenous, and intramuscular, or subcutaneous administration</w:t>
      </w:r>
      <w:r>
        <w:rPr>
          <w:rFonts w:ascii="Arial" w:cs="Arial" w:eastAsia="Arial" w:hAnsi="Arial"/>
          <w:sz w:val="35"/>
          <w:szCs w:val="35"/>
          <w:color w:val="auto"/>
          <w:vertAlign w:val="superscript"/>
        </w:rPr>
        <w:t>2.</w:t>
      </w:r>
    </w:p>
    <w:p>
      <w:pPr>
        <w:spacing w:after="0" w:line="87"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Arial" w:cs="Arial" w:eastAsia="Arial" w:hAnsi="Arial"/>
          <w:sz w:val="35"/>
          <w:szCs w:val="35"/>
          <w:color w:val="auto"/>
          <w:vertAlign w:val="superscript"/>
        </w:rPr>
        <w:t>3</w:t>
      </w:r>
      <w:r>
        <w:rPr>
          <w:rFonts w:ascii="Arial" w:cs="Arial" w:eastAsia="Arial" w:hAnsi="Arial"/>
          <w:sz w:val="22"/>
          <w:szCs w:val="22"/>
          <w:color w:val="auto"/>
        </w:rPr>
        <w:t>. The Corporation is also developing compounds that may have the potential to address neuroinflammation</w:t>
      </w:r>
      <w:r>
        <w:rPr>
          <w:rFonts w:ascii="Arial" w:cs="Arial" w:eastAsia="Arial" w:hAnsi="Arial"/>
          <w:sz w:val="35"/>
          <w:szCs w:val="35"/>
          <w:color w:val="auto"/>
          <w:vertAlign w:val="superscript"/>
        </w:rPr>
        <w:t>4</w:t>
      </w:r>
      <w:r>
        <w:rPr>
          <w:rFonts w:ascii="Arial" w:cs="Arial" w:eastAsia="Arial" w:hAnsi="Arial"/>
          <w:sz w:val="22"/>
          <w:szCs w:val="22"/>
          <w:color w:val="auto"/>
        </w:rPr>
        <w:t>, central nervous system disorders, and psychiatric disorders</w:t>
      </w:r>
      <w:r>
        <w:rPr>
          <w:rFonts w:ascii="Arial" w:cs="Arial" w:eastAsia="Arial" w:hAnsi="Arial"/>
          <w:sz w:val="35"/>
          <w:szCs w:val="35"/>
          <w:color w:val="auto"/>
          <w:vertAlign w:val="superscript"/>
        </w:rPr>
        <w:t>5</w:t>
      </w:r>
      <w:r>
        <w:rPr>
          <w:rFonts w:ascii="Arial" w:cs="Arial" w:eastAsia="Arial" w:hAnsi="Arial"/>
          <w:sz w:val="22"/>
          <w:szCs w:val="22"/>
          <w:color w:val="auto"/>
        </w:rPr>
        <w:t>.</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additional information in respect of the Corporation and its operation, please see the Annual Information Form and Interim MD&amp;A incorporated by reference into this Prospectus Supplement.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Other than as set forth generally in this Prospectus Supplement, the Base Shelf Prospectus or the documents incorporated by reference herein, there have been no material developments in the business of the Corporation since August 14, 2023, the date of the Corporation's most recently issued Interim Financial Statements and the Interim MD&amp;A.</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ind w:left="160" w:hanging="152"/>
        <w:spacing w:after="0" w:line="184" w:lineRule="auto"/>
        <w:tabs>
          <w:tab w:leader="none" w:pos="160" w:val="left"/>
        </w:tabs>
        <w:numPr>
          <w:ilvl w:val="0"/>
          <w:numId w:val="6"/>
        </w:numPr>
        <w:rPr>
          <w:rFonts w:ascii="Arial" w:cs="Arial" w:eastAsia="Arial" w:hAnsi="Arial"/>
          <w:sz w:val="36"/>
          <w:szCs w:val="36"/>
          <w:color w:val="auto"/>
          <w:vertAlign w:val="superscript"/>
        </w:rPr>
      </w:pPr>
      <w:r>
        <w:rPr>
          <w:rFonts w:ascii="Arial" w:cs="Arial" w:eastAsia="Arial" w:hAnsi="Arial"/>
          <w:sz w:val="22"/>
          <w:szCs w:val="22"/>
          <w:color w:val="auto"/>
        </w:rPr>
        <w:t>See footnote 1.</w:t>
      </w:r>
    </w:p>
    <w:p>
      <w:pPr>
        <w:spacing w:after="0" w:line="41" w:lineRule="exact"/>
        <w:rPr>
          <w:rFonts w:ascii="Arial" w:cs="Arial" w:eastAsia="Arial" w:hAnsi="Arial"/>
          <w:sz w:val="36"/>
          <w:szCs w:val="36"/>
          <w:color w:val="auto"/>
          <w:vertAlign w:val="superscript"/>
        </w:rPr>
      </w:pPr>
    </w:p>
    <w:p>
      <w:pPr>
        <w:spacing w:after="0" w:line="182" w:lineRule="auto"/>
        <w:rPr>
          <w:rFonts w:ascii="Arial" w:cs="Arial" w:eastAsia="Arial" w:hAnsi="Arial"/>
          <w:sz w:val="36"/>
          <w:szCs w:val="36"/>
          <w:color w:val="auto"/>
          <w:vertAlign w:val="superscript"/>
        </w:rPr>
      </w:pPr>
      <w:r>
        <w:rPr>
          <w:rFonts w:ascii="Arial" w:cs="Arial" w:eastAsia="Arial" w:hAnsi="Arial"/>
          <w:sz w:val="34"/>
          <w:szCs w:val="34"/>
          <w:color w:val="auto"/>
          <w:vertAlign w:val="superscript"/>
        </w:rPr>
        <w:t>3</w:t>
      </w:r>
      <w:r>
        <w:rPr>
          <w:rFonts w:ascii="Arial" w:cs="Arial" w:eastAsia="Arial" w:hAnsi="Arial"/>
          <w:sz w:val="21"/>
          <w:szCs w:val="21"/>
          <w:color w:val="auto"/>
        </w:rPr>
        <w:t xml:space="preserve"> See footnote 1.</w:t>
      </w:r>
    </w:p>
    <w:p>
      <w:pPr>
        <w:spacing w:after="0" w:line="182" w:lineRule="auto"/>
        <w:rPr>
          <w:rFonts w:ascii="Arial" w:cs="Arial" w:eastAsia="Arial" w:hAnsi="Arial"/>
          <w:sz w:val="36"/>
          <w:szCs w:val="36"/>
          <w:color w:val="auto"/>
          <w:vertAlign w:val="superscript"/>
        </w:rPr>
      </w:pPr>
      <w:r>
        <w:rPr>
          <w:rFonts w:ascii="Arial" w:cs="Arial" w:eastAsia="Arial" w:hAnsi="Arial"/>
          <w:sz w:val="34"/>
          <w:szCs w:val="34"/>
          <w:color w:val="auto"/>
          <w:vertAlign w:val="superscript"/>
        </w:rPr>
        <w:t>4</w:t>
      </w:r>
      <w:r>
        <w:rPr>
          <w:rFonts w:ascii="Arial" w:cs="Arial" w:eastAsia="Arial" w:hAnsi="Arial"/>
          <w:sz w:val="21"/>
          <w:szCs w:val="21"/>
          <w:color w:val="auto"/>
        </w:rPr>
        <w:t xml:space="preserve"> See footnote 1</w:t>
      </w:r>
      <w:r>
        <w:rPr>
          <w:rFonts w:ascii="Arial" w:cs="Arial" w:eastAsia="Arial" w:hAnsi="Arial"/>
          <w:sz w:val="21"/>
          <w:szCs w:val="21"/>
          <w:b w:val="1"/>
          <w:bCs w:val="1"/>
          <w:color w:val="auto"/>
        </w:rPr>
        <w:t>.</w:t>
      </w:r>
    </w:p>
    <w:p>
      <w:pPr>
        <w:spacing w:after="0"/>
        <w:rPr>
          <w:rFonts w:ascii="Arial" w:cs="Arial" w:eastAsia="Arial" w:hAnsi="Arial"/>
          <w:sz w:val="36"/>
          <w:szCs w:val="36"/>
          <w:color w:val="auto"/>
          <w:vertAlign w:val="superscript"/>
        </w:rPr>
      </w:pPr>
      <w:r>
        <w:rPr>
          <w:rFonts w:ascii="Arial" w:cs="Arial" w:eastAsia="Arial" w:hAnsi="Arial"/>
          <w:sz w:val="35"/>
          <w:szCs w:val="35"/>
          <w:color w:val="auto"/>
          <w:vertAlign w:val="superscript"/>
        </w:rPr>
        <w:t>5</w:t>
      </w:r>
      <w:r>
        <w:rPr>
          <w:rFonts w:ascii="Arial" w:cs="Arial" w:eastAsia="Arial" w:hAnsi="Arial"/>
          <w:sz w:val="22"/>
          <w:szCs w:val="22"/>
          <w:color w:val="auto"/>
        </w:rPr>
        <w:t xml:space="preserve"> See footnote 1</w:t>
      </w:r>
      <w:r>
        <w:rPr>
          <w:rFonts w:ascii="Arial" w:cs="Arial" w:eastAsia="Arial" w:hAnsi="Arial"/>
          <w:sz w:val="22"/>
          <w:szCs w:val="22"/>
          <w:b w:val="1"/>
          <w:bCs w:val="1"/>
          <w:color w:val="auto"/>
        </w:rPr>
        <w: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Intercorporate Relationships</w:t>
      </w:r>
    </w:p>
    <w:p>
      <w:pPr>
        <w:spacing w:after="0" w:line="21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124460</wp:posOffset>
            </wp:positionV>
            <wp:extent cx="3120390" cy="3291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03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Note:</w:t>
      </w:r>
    </w:p>
    <w:p>
      <w:pPr>
        <w:spacing w:after="0" w:line="206" w:lineRule="exact"/>
        <w:rPr>
          <w:sz w:val="20"/>
          <w:szCs w:val="20"/>
          <w:color w:val="auto"/>
        </w:rPr>
      </w:pPr>
    </w:p>
    <w:p>
      <w:pPr>
        <w:jc w:val="both"/>
        <w:ind w:left="1420" w:right="1400" w:hanging="263"/>
        <w:spacing w:after="0" w:line="289" w:lineRule="auto"/>
        <w:tabs>
          <w:tab w:leader="none" w:pos="1486"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shareholders of Adelia Therapeutics Inc. ("</w:t>
      </w:r>
      <w:r>
        <w:rPr>
          <w:rFonts w:ascii="Arial" w:cs="Arial" w:eastAsia="Arial" w:hAnsi="Arial"/>
          <w:sz w:val="19"/>
          <w:szCs w:val="19"/>
          <w:b w:val="1"/>
          <w:bCs w:val="1"/>
          <w:color w:val="auto"/>
        </w:rPr>
        <w:t>Adelia</w:t>
      </w:r>
      <w:r>
        <w:rPr>
          <w:rFonts w:ascii="Arial" w:cs="Arial" w:eastAsia="Arial" w:hAnsi="Arial"/>
          <w:sz w:val="19"/>
          <w:szCs w:val="19"/>
          <w:color w:val="auto"/>
        </w:rPr>
        <w:t>") hold certain non-voting securities of Cybin U.S. issued in connection with the acquisition of Adelia on December 14, 2020 (the "</w:t>
      </w:r>
      <w:r>
        <w:rPr>
          <w:rFonts w:ascii="Arial" w:cs="Arial" w:eastAsia="Arial" w:hAnsi="Arial"/>
          <w:sz w:val="19"/>
          <w:szCs w:val="19"/>
          <w:b w:val="1"/>
          <w:bCs w:val="1"/>
          <w:color w:val="auto"/>
        </w:rPr>
        <w:t>Adelia Transaction</w:t>
      </w:r>
      <w:r>
        <w:rPr>
          <w:rFonts w:ascii="Arial" w:cs="Arial" w:eastAsia="Arial" w:hAnsi="Arial"/>
          <w:sz w:val="19"/>
          <w:szCs w:val="19"/>
          <w:color w:val="auto"/>
        </w:rPr>
        <w:t>"). For additional information in respect of the Adelia Transaction, please see the Annual Information Form incorporated by reference in this Prospectus Supplement.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COMMON SHARES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Corporation is authorized to issue an unlimited number of Common Shares and an unlimited number of preferred shares. As at August 22</w:t>
      </w:r>
      <w:r>
        <w:rPr>
          <w:rFonts w:ascii="Arial" w:cs="Arial" w:eastAsia="Arial" w:hAnsi="Arial"/>
          <w:sz w:val="19"/>
          <w:szCs w:val="19"/>
          <w:b w:val="1"/>
          <w:bCs w:val="1"/>
          <w:color w:val="auto"/>
        </w:rPr>
        <w:t>,</w:t>
      </w:r>
      <w:r>
        <w:rPr>
          <w:rFonts w:ascii="Arial" w:cs="Arial" w:eastAsia="Arial" w:hAnsi="Arial"/>
          <w:sz w:val="19"/>
          <w:szCs w:val="19"/>
          <w:color w:val="auto"/>
        </w:rPr>
        <w:t xml:space="preserve"> 2023, the Corporation had 234,683,234 Common Shares and nil preferred shares issued and outstanding.</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Common Shares may be sold separately or together with certain other Securities under this Prospectus Supplement. Common Shares may also be issuable on conversion, exchange, exercise or maturity of certain other Securities qualified for issuance under this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it is uncertain how many Common Shares will be sold or the prices at which the Common Shares will be sold, the net proceeds to the Corporation from the sale of Common Shares to the Investor pursuant to this Prospectus Supplement cannot be determined at this time. Assuming the Corporation sells Common Shares for no cash consideration such that the full US$30,000,000 of Common Shares qualified by this Prospectus Supplement are issued, the estimated net proceeds of the Offering will be approximately US$29,700,000 after estimated expenses of US$300,000 payable by the Corporation.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9"/>
          <w:szCs w:val="19"/>
          <w:color w:val="auto"/>
        </w:rPr>
        <w:t>Assuming estimated net proceeds of approximately US$29,700,000, the Corporation intends to use the net proceeds from the Offering for: (i) growth opportunities, and (ii) working capital initiatives. 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 At any given time, the Corporation may be engaged in discussions and activities in respect of potential growth initiatives and other strategic opportunities that are complementary or accretive to the Corporation's business, which may include acquisitions or other investments. As of the date of this Prospectus Supplement, the Corporation has not identified any specific investments or projects, nor any probable or significant acquisitions it wishes to undertake; however, it is important for the Corporation to have supplemental funds available to quickly and opportunistically pursue such opportunities as they arise. Given uncertain market conditions, the Corporation believes it is prudent to complete the Offering in order to further increase the Corporation's access to supplemental funds.</w:t>
      </w:r>
    </w:p>
    <w:p>
      <w:pPr>
        <w:spacing w:after="0" w:line="200" w:lineRule="exact"/>
        <w:rPr>
          <w:sz w:val="20"/>
          <w:szCs w:val="20"/>
          <w:color w:val="auto"/>
        </w:rPr>
      </w:pP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The use of the net proceeds of the Offering to fund the Corporation's on-going clinical trials, potential growth initiatives and other strategic opportunities is subject to change due to the influence of many evolving variables, including those as described under </w:t>
      </w:r>
      <w:r>
        <w:rPr>
          <w:rFonts w:ascii="Arial" w:cs="Arial" w:eastAsia="Arial" w:hAnsi="Arial"/>
          <w:sz w:val="21"/>
          <w:szCs w:val="21"/>
          <w:i w:val="1"/>
          <w:iCs w:val="1"/>
          <w:color w:val="auto"/>
        </w:rPr>
        <w:t>"Stage of Development"</w:t>
      </w:r>
      <w:r>
        <w:rPr>
          <w:rFonts w:ascii="Arial" w:cs="Arial" w:eastAsia="Arial" w:hAnsi="Arial"/>
          <w:sz w:val="21"/>
          <w:szCs w:val="21"/>
          <w:color w:val="auto"/>
        </w:rPr>
        <w:t xml:space="preserve"> in the Interim MD&amp;A and in the Annual Information Form,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Arial" w:cs="Arial" w:eastAsia="Arial" w:hAnsi="Arial"/>
          <w:sz w:val="21"/>
          <w:szCs w:val="21"/>
          <w:i w:val="1"/>
          <w:iCs w:val="1"/>
          <w:color w:val="auto"/>
        </w:rPr>
        <w:t>"Cautionary</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Statement Regarding Forward-Looking Statements" </w:t>
      </w:r>
      <w:r>
        <w:rPr>
          <w:rFonts w:ascii="Arial" w:cs="Arial" w:eastAsia="Arial" w:hAnsi="Arial"/>
          <w:sz w:val="21"/>
          <w:szCs w:val="21"/>
          <w:color w:val="auto"/>
        </w:rPr>
        <w:t>and</w:t>
      </w:r>
      <w:r>
        <w:rPr>
          <w:rFonts w:ascii="Arial" w:cs="Arial" w:eastAsia="Arial" w:hAnsi="Arial"/>
          <w:sz w:val="21"/>
          <w:szCs w:val="21"/>
          <w:i w:val="1"/>
          <w:iCs w:val="1"/>
          <w:color w:val="auto"/>
        </w:rPr>
        <w:t xml:space="preserve"> "Risk Factors"</w:t>
      </w:r>
      <w:r>
        <w:rPr>
          <w:rFonts w:ascii="Arial" w:cs="Arial" w:eastAsia="Arial" w:hAnsi="Arial"/>
          <w:sz w:val="21"/>
          <w:szCs w:val="21"/>
          <w:color w:val="auto"/>
        </w:rPr>
        <w:t>.</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Arial" w:cs="Arial" w:eastAsia="Arial" w:hAnsi="Arial"/>
          <w:sz w:val="22"/>
          <w:szCs w:val="22"/>
          <w:i w:val="1"/>
          <w:iCs w:val="1"/>
          <w:color w:val="auto"/>
        </w:rPr>
        <w:t>"Risk Factors - Risks Related to the Offering - Discretion in</w:t>
      </w:r>
      <w:r>
        <w:rPr>
          <w:rFonts w:ascii="Arial" w:cs="Arial" w:eastAsia="Arial" w:hAnsi="Arial"/>
          <w:sz w:val="22"/>
          <w:szCs w:val="22"/>
          <w:color w:val="auto"/>
        </w:rPr>
        <w:t xml:space="preserve"> </w:t>
      </w:r>
      <w:r>
        <w:rPr>
          <w:rFonts w:ascii="Arial" w:cs="Arial" w:eastAsia="Arial" w:hAnsi="Arial"/>
          <w:sz w:val="22"/>
          <w:szCs w:val="22"/>
          <w:i w:val="1"/>
          <w:iCs w:val="1"/>
          <w:color w:val="auto"/>
        </w:rPr>
        <w:t>the Use of Proceeds"</w:t>
      </w:r>
      <w:r>
        <w:rPr>
          <w:rFonts w:ascii="Arial" w:cs="Arial" w:eastAsia="Arial" w:hAnsi="Arial"/>
          <w:sz w:val="22"/>
          <w:szCs w:val="22"/>
          <w:color w:val="auto"/>
        </w:rPr>
        <w: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activities.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9"/>
          <w:szCs w:val="19"/>
          <w:i w:val="1"/>
          <w:iCs w:val="1"/>
          <w:color w:val="auto"/>
        </w:rPr>
        <w:t>"Risk Factors - Risks Related to an Offering - Negative Operating Cash Flow and</w:t>
      </w:r>
      <w:r>
        <w:rPr>
          <w:rFonts w:ascii="Arial" w:cs="Arial" w:eastAsia="Arial" w:hAnsi="Arial"/>
          <w:sz w:val="19"/>
          <w:szCs w:val="19"/>
          <w:color w:val="auto"/>
        </w:rPr>
        <w:t xml:space="preserve"> </w:t>
      </w:r>
      <w:r>
        <w:rPr>
          <w:rFonts w:ascii="Arial" w:cs="Arial" w:eastAsia="Arial" w:hAnsi="Arial"/>
          <w:sz w:val="19"/>
          <w:szCs w:val="19"/>
          <w:i w:val="1"/>
          <w:iCs w:val="1"/>
          <w:color w:val="auto"/>
        </w:rPr>
        <w:t>Going Concern".</w:t>
      </w:r>
    </w:p>
    <w:p>
      <w:pPr>
        <w:spacing w:after="0" w:line="200" w:lineRule="exact"/>
        <w:rPr>
          <w:sz w:val="20"/>
          <w:szCs w:val="20"/>
          <w:color w:val="auto"/>
        </w:rPr>
      </w:pP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the Annual Information Form and the Interim MD&amp;A, to which there has been no material changes since the date of the applicable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CAPITALIZATION</w:t>
      </w:r>
    </w:p>
    <w:p>
      <w:pPr>
        <w:spacing w:after="0" w:line="212" w:lineRule="exact"/>
        <w:rPr>
          <w:sz w:val="20"/>
          <w:szCs w:val="20"/>
          <w:color w:val="auto"/>
        </w:rPr>
      </w:pPr>
    </w:p>
    <w:p>
      <w:pPr>
        <w:ind w:left="80" w:right="20"/>
        <w:spacing w:after="0" w:line="250" w:lineRule="auto"/>
        <w:rPr>
          <w:sz w:val="20"/>
          <w:szCs w:val="20"/>
          <w:color w:val="auto"/>
        </w:rPr>
      </w:pPr>
      <w:r>
        <w:rPr>
          <w:rFonts w:ascii="Arial" w:cs="Arial" w:eastAsia="Arial" w:hAnsi="Arial"/>
          <w:sz w:val="22"/>
          <w:szCs w:val="22"/>
          <w:color w:val="auto"/>
        </w:rPr>
        <w:t>There have been no material changes in the Corporation's share or loan capitalization on a consolidated basis since the date of the Interim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both"/>
        <w:ind w:left="80"/>
        <w:spacing w:after="0"/>
        <w:rPr>
          <w:sz w:val="20"/>
          <w:szCs w:val="20"/>
          <w:color w:val="auto"/>
        </w:rPr>
      </w:pPr>
      <w:r>
        <w:rPr>
          <w:rFonts w:ascii="Arial" w:cs="Arial" w:eastAsia="Arial" w:hAnsi="Arial"/>
          <w:sz w:val="22"/>
          <w:szCs w:val="22"/>
          <w:color w:val="auto"/>
        </w:rPr>
        <w:t>The following table sets forth the Corporation's cash, indebtedness and shareholders' equity as of June 30, 2023: (a) on an actual basis; and (b) after giving effect to the Offering. This table should be read in conjunction with the Interim Financial Statements and the Interim MD&amp;A.</w:t>
      </w:r>
    </w:p>
    <w:p>
      <w:pPr>
        <w:spacing w:after="0" w:line="190" w:lineRule="exact"/>
        <w:rPr>
          <w:sz w:val="20"/>
          <w:szCs w:val="20"/>
          <w:color w:val="auto"/>
        </w:rPr>
      </w:pPr>
    </w:p>
    <w:tbl>
      <w:tblPr>
        <w:tblLayout w:type="fixed"/>
        <w:tblInd w:w="222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As at June 30, 2023</w:t>
            </w:r>
          </w:p>
        </w:tc>
      </w:tr>
      <w:tr>
        <w:trPr>
          <w:trHeight w:val="220"/>
        </w:trPr>
        <w:tc>
          <w:tcPr>
            <w:tcW w:w="3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after giving effect to</w:t>
            </w:r>
          </w:p>
        </w:tc>
      </w:tr>
      <w:tr>
        <w:trPr>
          <w:trHeight w:val="271"/>
        </w:trPr>
        <w:tc>
          <w:tcPr>
            <w:tcW w:w="3220" w:type="dxa"/>
            <w:vAlign w:val="bottom"/>
            <w:gridSpan w:val="2"/>
          </w:tcPr>
          <w:p>
            <w:pPr>
              <w:ind w:left="80"/>
              <w:spacing w:after="0"/>
              <w:rPr>
                <w:sz w:val="20"/>
                <w:szCs w:val="20"/>
                <w:color w:val="auto"/>
              </w:rPr>
            </w:pPr>
            <w:r>
              <w:rPr>
                <w:rFonts w:ascii="Arial" w:cs="Arial" w:eastAsia="Arial" w:hAnsi="Arial"/>
                <w:sz w:val="18"/>
                <w:szCs w:val="18"/>
                <w:b w:val="1"/>
                <w:bCs w:val="1"/>
                <w:color w:val="auto"/>
              </w:rPr>
              <w:t>Description of Capital</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2023</w:t>
            </w:r>
          </w:p>
        </w:tc>
        <w:tc>
          <w:tcPr>
            <w:tcW w:w="170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9"/>
              </w:rPr>
              <w:t>the Offering</w:t>
            </w:r>
            <w:r>
              <w:rPr>
                <w:rFonts w:ascii="Arial" w:cs="Arial" w:eastAsia="Arial" w:hAnsi="Arial"/>
                <w:sz w:val="29"/>
                <w:szCs w:val="29"/>
                <w:b w:val="1"/>
                <w:bCs w:val="1"/>
                <w:color w:val="auto"/>
                <w:w w:val="89"/>
                <w:vertAlign w:val="superscript"/>
              </w:rPr>
              <w:t>(1)</w:t>
            </w:r>
          </w:p>
        </w:tc>
      </w:tr>
      <w:tr>
        <w:trPr>
          <w:trHeight w:val="250"/>
        </w:trPr>
        <w:tc>
          <w:tcPr>
            <w:tcW w:w="3020" w:type="dxa"/>
            <w:vAlign w:val="bottom"/>
            <w:tcBorders>
              <w:top w:val="single" w:sz="8" w:color="auto"/>
            </w:tcBorders>
            <w:shd w:val="clear" w:color="auto" w:fill="E6EFFF"/>
          </w:tcPr>
          <w:p>
            <w:pPr>
              <w:ind w:left="80"/>
              <w:spacing w:after="0" w:line="250"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8"/>
                <w:szCs w:val="28"/>
                <w:color w:val="auto"/>
                <w:vertAlign w:val="superscript"/>
              </w:rPr>
              <w:t>(1)</w:t>
            </w:r>
          </w:p>
        </w:tc>
        <w:tc>
          <w:tcPr>
            <w:tcW w:w="200" w:type="dxa"/>
            <w:vAlign w:val="bottom"/>
            <w:tcBorders>
              <w:top w:val="single" w:sz="8" w:color="E6EFFF"/>
            </w:tcBorders>
            <w:shd w:val="clear" w:color="auto" w:fill="E6EFFF"/>
          </w:tcPr>
          <w:p>
            <w:pPr>
              <w:spacing w:after="0"/>
              <w:rPr>
                <w:sz w:val="21"/>
                <w:szCs w:val="21"/>
                <w:color w:val="auto"/>
              </w:rPr>
            </w:pPr>
          </w:p>
        </w:tc>
        <w:tc>
          <w:tcPr>
            <w:tcW w:w="1700" w:type="dxa"/>
            <w:vAlign w:val="bottom"/>
            <w:tcBorders>
              <w:top w:val="single" w:sz="8" w:color="auto"/>
            </w:tcBorders>
            <w:shd w:val="clear" w:color="auto" w:fill="E6EFFF"/>
          </w:tcPr>
          <w:p>
            <w:pPr>
              <w:jc w:val="center"/>
              <w:spacing w:after="0"/>
              <w:rPr>
                <w:sz w:val="20"/>
                <w:szCs w:val="20"/>
                <w:color w:val="auto"/>
              </w:rPr>
            </w:pPr>
            <w:r>
              <w:rPr>
                <w:rFonts w:ascii="Arial" w:cs="Arial" w:eastAsia="Arial" w:hAnsi="Arial"/>
                <w:sz w:val="18"/>
                <w:szCs w:val="18"/>
                <w:color w:val="auto"/>
                <w:w w:val="90"/>
              </w:rPr>
              <w:t>$9,349,000</w:t>
            </w:r>
          </w:p>
        </w:tc>
        <w:tc>
          <w:tcPr>
            <w:tcW w:w="180" w:type="dxa"/>
            <w:vAlign w:val="bottom"/>
            <w:tcBorders>
              <w:top w:val="single" w:sz="8" w:color="E6EFFF"/>
            </w:tcBorders>
            <w:shd w:val="clear" w:color="auto" w:fill="E6EFFF"/>
          </w:tcPr>
          <w:p>
            <w:pPr>
              <w:spacing w:after="0"/>
              <w:rPr>
                <w:sz w:val="21"/>
                <w:szCs w:val="21"/>
                <w:color w:val="auto"/>
              </w:rPr>
            </w:pPr>
          </w:p>
        </w:tc>
        <w:tc>
          <w:tcPr>
            <w:tcW w:w="1700" w:type="dxa"/>
            <w:vAlign w:val="bottom"/>
            <w:tcBorders>
              <w:top w:val="single" w:sz="8" w:color="auto"/>
            </w:tcBorders>
            <w:shd w:val="clear" w:color="auto" w:fill="E6EFFF"/>
          </w:tcPr>
          <w:p>
            <w:pPr>
              <w:jc w:val="center"/>
              <w:spacing w:after="0"/>
              <w:rPr>
                <w:sz w:val="20"/>
                <w:szCs w:val="20"/>
                <w:color w:val="auto"/>
              </w:rPr>
            </w:pPr>
            <w:r>
              <w:rPr>
                <w:rFonts w:ascii="Arial" w:cs="Arial" w:eastAsia="Arial" w:hAnsi="Arial"/>
                <w:sz w:val="18"/>
                <w:szCs w:val="18"/>
                <w:color w:val="auto"/>
                <w:w w:val="89"/>
              </w:rPr>
              <w:t>$49,996,000</w:t>
            </w:r>
          </w:p>
        </w:tc>
      </w:tr>
      <w:tr>
        <w:trPr>
          <w:trHeight w:val="216"/>
        </w:trPr>
        <w:tc>
          <w:tcPr>
            <w:tcW w:w="3220" w:type="dxa"/>
            <w:vAlign w:val="bottom"/>
            <w:gridSpan w:val="2"/>
          </w:tcPr>
          <w:p>
            <w:pPr>
              <w:ind w:left="80"/>
              <w:spacing w:after="0"/>
              <w:rPr>
                <w:sz w:val="20"/>
                <w:szCs w:val="20"/>
                <w:color w:val="auto"/>
              </w:rPr>
            </w:pPr>
            <w:r>
              <w:rPr>
                <w:rFonts w:ascii="Arial" w:cs="Arial" w:eastAsia="Arial" w:hAnsi="Arial"/>
                <w:sz w:val="18"/>
                <w:szCs w:val="18"/>
                <w:color w:val="auto"/>
              </w:rPr>
              <w:t>Loans and Borrowings</w:t>
            </w: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rPr>
              <w:t>Nil</w:t>
            </w:r>
          </w:p>
        </w:tc>
        <w:tc>
          <w:tcPr>
            <w:tcW w:w="1700" w:type="dxa"/>
            <w:vAlign w:val="bottom"/>
          </w:tcPr>
          <w:p>
            <w:pPr>
              <w:jc w:val="center"/>
              <w:spacing w:after="0"/>
              <w:rPr>
                <w:sz w:val="20"/>
                <w:szCs w:val="20"/>
                <w:color w:val="auto"/>
              </w:rPr>
            </w:pPr>
            <w:r>
              <w:rPr>
                <w:rFonts w:ascii="Arial" w:cs="Arial" w:eastAsia="Arial" w:hAnsi="Arial"/>
                <w:sz w:val="18"/>
                <w:szCs w:val="18"/>
                <w:color w:val="auto"/>
              </w:rPr>
              <w:t>Nil</w:t>
            </w:r>
          </w:p>
        </w:tc>
      </w:tr>
      <w:tr>
        <w:trPr>
          <w:trHeight w:val="256"/>
        </w:trPr>
        <w:tc>
          <w:tcPr>
            <w:tcW w:w="32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Common Shares</w:t>
            </w:r>
          </w:p>
        </w:tc>
        <w:tc>
          <w:tcPr>
            <w:tcW w:w="1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208,325,846</w:t>
            </w:r>
          </w:p>
        </w:tc>
        <w:tc>
          <w:tcPr>
            <w:tcW w:w="180" w:type="dxa"/>
            <w:vAlign w:val="bottom"/>
            <w:shd w:val="clear" w:color="auto" w:fill="E6EFFF"/>
          </w:tcPr>
          <w:p>
            <w:pPr>
              <w:spacing w:after="0"/>
              <w:rPr>
                <w:sz w:val="22"/>
                <w:szCs w:val="22"/>
                <w:color w:val="auto"/>
              </w:rPr>
            </w:pPr>
          </w:p>
        </w:tc>
        <w:tc>
          <w:tcPr>
            <w:tcW w:w="1700" w:type="dxa"/>
            <w:vAlign w:val="bottom"/>
            <w:shd w:val="clear" w:color="auto" w:fill="E6EFFF"/>
          </w:tcPr>
          <w:p>
            <w:pPr>
              <w:jc w:val="center"/>
              <w:spacing w:after="0" w:line="256" w:lineRule="exact"/>
              <w:rPr>
                <w:sz w:val="20"/>
                <w:szCs w:val="20"/>
                <w:color w:val="auto"/>
              </w:rPr>
            </w:pPr>
            <w:r>
              <w:rPr>
                <w:rFonts w:ascii="Arial" w:cs="Arial" w:eastAsia="Arial" w:hAnsi="Arial"/>
                <w:sz w:val="18"/>
                <w:szCs w:val="18"/>
                <w:color w:val="auto"/>
                <w:w w:val="87"/>
              </w:rPr>
              <w:t>310,889,948</w:t>
            </w:r>
            <w:r>
              <w:rPr>
                <w:rFonts w:ascii="Arial" w:cs="Arial" w:eastAsia="Arial" w:hAnsi="Arial"/>
                <w:sz w:val="29"/>
                <w:szCs w:val="29"/>
                <w:color w:val="auto"/>
                <w:w w:val="87"/>
                <w:vertAlign w:val="superscript"/>
              </w:rPr>
              <w:t>(2)</w:t>
            </w:r>
          </w:p>
        </w:tc>
      </w:tr>
      <w:tr>
        <w:trPr>
          <w:trHeight w:val="216"/>
        </w:trPr>
        <w:tc>
          <w:tcPr>
            <w:tcW w:w="3220" w:type="dxa"/>
            <w:vAlign w:val="bottom"/>
            <w:gridSpan w:val="2"/>
          </w:tcPr>
          <w:p>
            <w:pPr>
              <w:ind w:left="80"/>
              <w:spacing w:after="0"/>
              <w:rPr>
                <w:sz w:val="20"/>
                <w:szCs w:val="20"/>
                <w:color w:val="auto"/>
              </w:rPr>
            </w:pPr>
            <w:r>
              <w:rPr>
                <w:rFonts w:ascii="Arial" w:cs="Arial" w:eastAsia="Arial" w:hAnsi="Arial"/>
                <w:sz w:val="18"/>
                <w:szCs w:val="18"/>
                <w:color w:val="auto"/>
              </w:rPr>
              <w:t>Stock options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40,980,425</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40,980,425</w:t>
            </w:r>
          </w:p>
        </w:tc>
      </w:tr>
      <w:tr>
        <w:trPr>
          <w:trHeight w:val="216"/>
        </w:trPr>
        <w:tc>
          <w:tcPr>
            <w:tcW w:w="32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Compensation warrants</w:t>
            </w:r>
          </w:p>
        </w:tc>
        <w:tc>
          <w:tcPr>
            <w:tcW w:w="1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868,740</w:t>
            </w:r>
          </w:p>
        </w:tc>
        <w:tc>
          <w:tcPr>
            <w:tcW w:w="180" w:type="dxa"/>
            <w:vAlign w:val="bottom"/>
            <w:shd w:val="clear" w:color="auto" w:fill="E6EFFF"/>
          </w:tcPr>
          <w:p>
            <w:pPr>
              <w:spacing w:after="0"/>
              <w:rPr>
                <w:sz w:val="18"/>
                <w:szCs w:val="18"/>
                <w:color w:val="auto"/>
              </w:rPr>
            </w:pPr>
          </w:p>
        </w:tc>
        <w:tc>
          <w:tcPr>
            <w:tcW w:w="1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868,740</w:t>
            </w:r>
          </w:p>
        </w:tc>
      </w:tr>
      <w:tr>
        <w:trPr>
          <w:trHeight w:val="216"/>
        </w:trPr>
        <w:tc>
          <w:tcPr>
            <w:tcW w:w="3220" w:type="dxa"/>
            <w:vAlign w:val="bottom"/>
            <w:gridSpan w:val="2"/>
          </w:tcPr>
          <w:p>
            <w:pPr>
              <w:ind w:left="80"/>
              <w:spacing w:after="0"/>
              <w:rPr>
                <w:sz w:val="20"/>
                <w:szCs w:val="20"/>
                <w:color w:val="auto"/>
              </w:rPr>
            </w:pPr>
            <w:r>
              <w:rPr>
                <w:rFonts w:ascii="Arial" w:cs="Arial" w:eastAsia="Arial" w:hAnsi="Arial"/>
                <w:sz w:val="18"/>
                <w:szCs w:val="18"/>
                <w:color w:val="auto"/>
              </w:rPr>
              <w:t>Common Share purchase warrants</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23,230,485</w:t>
            </w: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23,230,485</w:t>
            </w:r>
          </w:p>
        </w:tc>
      </w:tr>
      <w:tr>
        <w:trPr>
          <w:trHeight w:val="257"/>
        </w:trPr>
        <w:tc>
          <w:tcPr>
            <w:tcW w:w="3220" w:type="dxa"/>
            <w:vAlign w:val="bottom"/>
            <w:gridSpan w:val="2"/>
            <w:shd w:val="clear" w:color="auto" w:fill="E6EFFF"/>
          </w:tcPr>
          <w:p>
            <w:pPr>
              <w:ind w:left="80"/>
              <w:spacing w:after="0" w:line="256" w:lineRule="exact"/>
              <w:rPr>
                <w:sz w:val="20"/>
                <w:szCs w:val="20"/>
                <w:color w:val="auto"/>
              </w:rPr>
            </w:pPr>
            <w:r>
              <w:rPr>
                <w:rFonts w:ascii="Arial" w:cs="Arial" w:eastAsia="Arial" w:hAnsi="Arial"/>
                <w:sz w:val="18"/>
                <w:szCs w:val="18"/>
                <w:color w:val="auto"/>
              </w:rPr>
              <w:t>Class B Shares (as defined below)</w:t>
            </w:r>
            <w:r>
              <w:rPr>
                <w:rFonts w:ascii="Arial" w:cs="Arial" w:eastAsia="Arial" w:hAnsi="Arial"/>
                <w:sz w:val="29"/>
                <w:szCs w:val="29"/>
                <w:color w:val="auto"/>
                <w:vertAlign w:val="superscript"/>
              </w:rPr>
              <w:t>(3)</w:t>
            </w:r>
          </w:p>
        </w:tc>
        <w:tc>
          <w:tcPr>
            <w:tcW w:w="1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530,542.1</w:t>
            </w:r>
          </w:p>
        </w:tc>
        <w:tc>
          <w:tcPr>
            <w:tcW w:w="180" w:type="dxa"/>
            <w:vAlign w:val="bottom"/>
            <w:shd w:val="clear" w:color="auto" w:fill="E6EFFF"/>
          </w:tcPr>
          <w:p>
            <w:pPr>
              <w:spacing w:after="0"/>
              <w:rPr>
                <w:sz w:val="22"/>
                <w:szCs w:val="22"/>
                <w:color w:val="auto"/>
              </w:rPr>
            </w:pPr>
          </w:p>
        </w:tc>
        <w:tc>
          <w:tcPr>
            <w:tcW w:w="1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530,542.1</w:t>
            </w:r>
          </w:p>
        </w:tc>
      </w:tr>
    </w:tbl>
    <w:p>
      <w:pPr>
        <w:spacing w:after="0" w:line="189"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Notes:</w:t>
      </w:r>
    </w:p>
    <w:p>
      <w:pPr>
        <w:spacing w:after="0" w:line="212" w:lineRule="exact"/>
        <w:rPr>
          <w:sz w:val="20"/>
          <w:szCs w:val="20"/>
          <w:color w:val="auto"/>
        </w:rPr>
      </w:pPr>
    </w:p>
    <w:p>
      <w:pPr>
        <w:ind w:left="700" w:hanging="368"/>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Proceeds from the Offering are before deducting expenses.</w:t>
      </w:r>
    </w:p>
    <w:p>
      <w:pPr>
        <w:spacing w:after="0" w:line="8" w:lineRule="exact"/>
        <w:rPr>
          <w:rFonts w:ascii="Arial" w:cs="Arial" w:eastAsia="Arial" w:hAnsi="Arial"/>
          <w:sz w:val="22"/>
          <w:szCs w:val="22"/>
          <w:color w:val="auto"/>
        </w:rPr>
      </w:pPr>
    </w:p>
    <w:p>
      <w:pPr>
        <w:ind w:left="660" w:hanging="328"/>
        <w:spacing w:after="0" w:line="230" w:lineRule="auto"/>
        <w:tabs>
          <w:tab w:leader="none" w:pos="69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number of Common Shares issued pursuant to the Offering assumes a closing price on May 26, 2023, the last trading day on the NYSE American prior to the announcement of the Offering, of US$0.2925.</w:t>
      </w:r>
    </w:p>
    <w:p>
      <w:pPr>
        <w:spacing w:after="0" w:line="1" w:lineRule="exact"/>
        <w:rPr>
          <w:rFonts w:ascii="Arial" w:cs="Arial" w:eastAsia="Arial" w:hAnsi="Arial"/>
          <w:sz w:val="22"/>
          <w:szCs w:val="22"/>
          <w:color w:val="auto"/>
        </w:rPr>
      </w:pPr>
    </w:p>
    <w:p>
      <w:pPr>
        <w:jc w:val="both"/>
        <w:ind w:left="660" w:hanging="328"/>
        <w:spacing w:after="0" w:line="234" w:lineRule="auto"/>
        <w:tabs>
          <w:tab w:leader="none" w:pos="69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non-voting Class B common shares in the capital of Cybin U.S. Holdings Inc. (the "</w:t>
      </w:r>
      <w:r>
        <w:rPr>
          <w:rFonts w:ascii="Arial" w:cs="Arial" w:eastAsia="Arial" w:hAnsi="Arial"/>
          <w:sz w:val="22"/>
          <w:szCs w:val="22"/>
          <w:b w:val="1"/>
          <w:bCs w:val="1"/>
          <w:color w:val="auto"/>
        </w:rPr>
        <w:t>Class B Shares</w:t>
      </w:r>
      <w:r>
        <w:rPr>
          <w:rFonts w:ascii="Arial" w:cs="Arial" w:eastAsia="Arial" w:hAnsi="Arial"/>
          <w:sz w:val="22"/>
          <w:szCs w:val="22"/>
          <w:color w:val="auto"/>
        </w:rPr>
        <w:t>") are exchangeable for Common Shares on the basis of 10 Common Shares for each Class B Share, at the option of the holder thereof, subject to customary adjustments.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OF DISTRIBUTION</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May 30, 2023, the Corporation entered into the Purchase Agreement with the Investor, pursuant to which the Investor has agreed to purchase from the Corporation, at the Corporation's direction from time to time, in the Corporation's sole discretion, from and after the date that the conditions to Lincoln Park's purchase obligations set forth in the Purchase Agreement are satisfied (the "</w:t>
      </w:r>
      <w:r>
        <w:rPr>
          <w:rFonts w:ascii="Arial" w:cs="Arial" w:eastAsia="Arial" w:hAnsi="Arial"/>
          <w:sz w:val="21"/>
          <w:szCs w:val="21"/>
          <w:b w:val="1"/>
          <w:bCs w:val="1"/>
          <w:color w:val="auto"/>
        </w:rPr>
        <w:t>Commencement Date</w:t>
      </w:r>
      <w:r>
        <w:rPr>
          <w:rFonts w:ascii="Arial" w:cs="Arial" w:eastAsia="Arial" w:hAnsi="Arial"/>
          <w:sz w:val="21"/>
          <w:szCs w:val="21"/>
          <w:color w:val="auto"/>
        </w:rPr>
        <w:t>"), including the filing of this Prospectus Supplement,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as described below.</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Pursuant to this Prospectus Supplement, the Corporation is qualifying the distribution and sale of up to US$30,000,000 of Common Shares, which the Corporation may issue and sell to the Investor, in the Corporation's sole discretion, from time to time during the 36-month term of the Purchase Agreement commencing on the Commencement Date, upon the terms and subject to the conditions and limitations contained in the Purchase Agreement. This Prospectus Supplement also qualifies for distribution the resale of these Common Shares by the Investor to the public.</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Purchase Agreement provides that, from time-to-time over the term of the Purchase Agreement, on any day on which the NYSE American is open for trading, including any day on which the NYSE American is open for trading for a period of time less than the customary time (each, a "</w:t>
      </w:r>
      <w:r>
        <w:rPr>
          <w:rFonts w:ascii="Arial" w:cs="Arial" w:eastAsia="Arial" w:hAnsi="Arial"/>
          <w:sz w:val="19"/>
          <w:szCs w:val="19"/>
          <w:b w:val="1"/>
          <w:bCs w:val="1"/>
          <w:color w:val="auto"/>
        </w:rPr>
        <w:t>Business Day</w:t>
      </w:r>
      <w:r>
        <w:rPr>
          <w:rFonts w:ascii="Arial" w:cs="Arial" w:eastAsia="Arial" w:hAnsi="Arial"/>
          <w:sz w:val="19"/>
          <w:szCs w:val="19"/>
          <w:color w:val="auto"/>
        </w:rPr>
        <w:t>"), and as often as every Business Day, over the 36-month term of the Purchase Agreement, on which (i) the closing price per Common Share, as reported by the NYSE American (the "</w:t>
      </w:r>
      <w:r>
        <w:rPr>
          <w:rFonts w:ascii="Arial" w:cs="Arial" w:eastAsia="Arial" w:hAnsi="Arial"/>
          <w:sz w:val="19"/>
          <w:szCs w:val="19"/>
          <w:b w:val="1"/>
          <w:bCs w:val="1"/>
          <w:color w:val="auto"/>
        </w:rPr>
        <w:t>Closing Price</w:t>
      </w:r>
      <w:r>
        <w:rPr>
          <w:rFonts w:ascii="Arial" w:cs="Arial" w:eastAsia="Arial" w:hAnsi="Arial"/>
          <w:sz w:val="19"/>
          <w:szCs w:val="19"/>
          <w:color w:val="auto"/>
        </w:rPr>
        <w:t>") is not below US$0.15, (ii) the Closing Price, less 20%, being the maximum applicable discount to market price permitted under the policies of the NEO (the "</w:t>
      </w:r>
      <w:r>
        <w:rPr>
          <w:rFonts w:ascii="Arial" w:cs="Arial" w:eastAsia="Arial" w:hAnsi="Arial"/>
          <w:sz w:val="19"/>
          <w:szCs w:val="19"/>
          <w:b w:val="1"/>
          <w:bCs w:val="1"/>
          <w:color w:val="auto"/>
        </w:rPr>
        <w:t>Maximum Discounted Price</w:t>
      </w:r>
      <w:r>
        <w:rPr>
          <w:rFonts w:ascii="Arial" w:cs="Arial" w:eastAsia="Arial" w:hAnsi="Arial"/>
          <w:sz w:val="19"/>
          <w:szCs w:val="19"/>
          <w:color w:val="auto"/>
        </w:rPr>
        <w:t>") on such Business Day is not less than the applicable Regular Purchase Price (as defined below), (iii) all Common Shares subject to all prior Regular Purchases (as defined below) have been received by the Investor in accordance with the Purchase Agreement, and (iv) there is not more than one (1) outstanding Accelerated Purchase (as defined herein) for which Common Shares have not been received by the Investor, and the Corporation is not in breach of any obligation under the Purchase Agreement to deliver to the Investor Common Shares subject to such outstanding Accelerated Purchase (each such Business Day, a "</w:t>
      </w:r>
      <w:r>
        <w:rPr>
          <w:rFonts w:ascii="Arial" w:cs="Arial" w:eastAsia="Arial" w:hAnsi="Arial"/>
          <w:sz w:val="19"/>
          <w:szCs w:val="19"/>
          <w:b w:val="1"/>
          <w:bCs w:val="1"/>
          <w:color w:val="auto"/>
        </w:rPr>
        <w:t>Regular Purchase Date</w:t>
      </w:r>
      <w:r>
        <w:rPr>
          <w:rFonts w:ascii="Arial" w:cs="Arial" w:eastAsia="Arial" w:hAnsi="Arial"/>
          <w:sz w:val="19"/>
          <w:szCs w:val="19"/>
          <w:color w:val="auto"/>
        </w:rPr>
        <w:t>"), the Corporation may, in its sole discretion, subject to the conditions and limitations in the Purchase Agreement, by written notice delivered by the Corporation to the Investor between 4:00 p.m., Eastern time, and 7:00 p.m., Eastern time, on such Regular Purchase Date (each, a "</w:t>
      </w:r>
      <w:r>
        <w:rPr>
          <w:rFonts w:ascii="Arial" w:cs="Arial" w:eastAsia="Arial" w:hAnsi="Arial"/>
          <w:sz w:val="19"/>
          <w:szCs w:val="19"/>
          <w:b w:val="1"/>
          <w:bCs w:val="1"/>
          <w:color w:val="auto"/>
        </w:rPr>
        <w:t>Regular Purchase</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direct the Investor to purchase up to 275,000 Common Shares on such Regular Purchase Date (each such purchase, a</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Regular Purchase</w:t>
      </w:r>
      <w:r>
        <w:rPr>
          <w:rFonts w:ascii="Arial" w:cs="Arial" w:eastAsia="Arial" w:hAnsi="Arial"/>
          <w:sz w:val="19"/>
          <w:szCs w:val="19"/>
          <w:color w:val="auto"/>
        </w:rPr>
        <w:t>"), at the applicable Regular Purchase Price (defined below) per Common Share. The maximum number of Common Shares the Corporation may elect to sell to the Investor in a Regular Purchase may be increased to:</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ind w:left="1340"/>
        <w:spacing w:after="0" w:line="251" w:lineRule="auto"/>
        <w:rPr>
          <w:sz w:val="20"/>
          <w:szCs w:val="20"/>
          <w:color w:val="auto"/>
        </w:rPr>
      </w:pPr>
      <w:r>
        <w:rPr>
          <w:rFonts w:ascii="Arial" w:cs="Arial" w:eastAsia="Arial" w:hAnsi="Arial"/>
          <w:sz w:val="22"/>
          <w:szCs w:val="22"/>
          <w:color w:val="auto"/>
        </w:rPr>
        <w:t>up to 300,000 Common Shares, if the Closing Price of the Common Shares on the applicable Regular Purchase Date is not below US$0.40;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-274320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340"/>
        <w:spacing w:after="0" w:line="250" w:lineRule="auto"/>
        <w:rPr>
          <w:sz w:val="20"/>
          <w:szCs w:val="20"/>
          <w:color w:val="auto"/>
        </w:rPr>
      </w:pPr>
      <w:r>
        <w:rPr>
          <w:rFonts w:ascii="Arial" w:cs="Arial" w:eastAsia="Arial" w:hAnsi="Arial"/>
          <w:sz w:val="22"/>
          <w:szCs w:val="22"/>
          <w:color w:val="auto"/>
        </w:rPr>
        <w:t>up to 500,000 Common Shares, if the Closing Price of the Common Shares on the applicable Regular Purchase Date is not below US$0.50;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-273050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1340"/>
        <w:spacing w:after="0" w:line="250" w:lineRule="auto"/>
        <w:rPr>
          <w:sz w:val="20"/>
          <w:szCs w:val="20"/>
          <w:color w:val="auto"/>
        </w:rPr>
      </w:pPr>
      <w:r>
        <w:rPr>
          <w:rFonts w:ascii="Arial" w:cs="Arial" w:eastAsia="Arial" w:hAnsi="Arial"/>
          <w:sz w:val="22"/>
          <w:szCs w:val="22"/>
          <w:color w:val="auto"/>
        </w:rPr>
        <w:t>up to 750,000 Common Shares, if the Closing Price per Common Share on the applicable Regular Purchase Date is not below US$0.70,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-273050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ind w:left="1020"/>
        <w:spacing w:after="0"/>
        <w:rPr>
          <w:sz w:val="20"/>
          <w:szCs w:val="20"/>
          <w:color w:val="auto"/>
        </w:rPr>
      </w:pPr>
      <w:r>
        <w:rPr>
          <w:rFonts w:ascii="Arial" w:cs="Arial" w:eastAsia="Arial" w:hAnsi="Arial"/>
          <w:sz w:val="22"/>
          <w:szCs w:val="22"/>
          <w:color w:val="auto"/>
        </w:rPr>
        <w:t>each of such share and dollar amounts subject to adjustment for any reorganization, recapitalization, non-cash dividend, stock split, reverse stock split or other similar transaction as provided in the Purchase Agreement (collectively, the "</w:t>
      </w:r>
      <w:r>
        <w:rPr>
          <w:rFonts w:ascii="Arial" w:cs="Arial" w:eastAsia="Arial" w:hAnsi="Arial"/>
          <w:sz w:val="22"/>
          <w:szCs w:val="22"/>
          <w:b w:val="1"/>
          <w:bCs w:val="1"/>
          <w:color w:val="auto"/>
        </w:rPr>
        <w:t>Regular Purchase Share Limit</w:t>
      </w:r>
      <w:r>
        <w:rPr>
          <w:rFonts w:ascii="Arial" w:cs="Arial" w:eastAsia="Arial" w:hAnsi="Arial"/>
          <w:sz w:val="22"/>
          <w:szCs w:val="22"/>
          <w:color w:val="auto"/>
        </w:rPr>
        <w:t>").</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any case, however, the Investor's maximum purchase commitment in any single Regular Purchase may not exceed US$1,000,000; provided, however, that the Corporation and the Investor may mutually agree to increase the number of Common Shares to be purchased by the Investor pursuant to any Regular Purchase.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The purchase price per Common Share to be paid by the Investor for Common Shares purchased by the Investor from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Corporation in a Regular Purchase (the "</w:t>
      </w:r>
      <w:r>
        <w:rPr>
          <w:rFonts w:ascii="Arial" w:cs="Arial" w:eastAsia="Arial" w:hAnsi="Arial"/>
          <w:sz w:val="22"/>
          <w:szCs w:val="22"/>
          <w:b w:val="1"/>
          <w:bCs w:val="1"/>
          <w:color w:val="auto"/>
        </w:rPr>
        <w:t>Regular Purchase Price</w:t>
      </w:r>
      <w:r>
        <w:rPr>
          <w:rFonts w:ascii="Arial" w:cs="Arial" w:eastAsia="Arial" w:hAnsi="Arial"/>
          <w:sz w:val="22"/>
          <w:szCs w:val="22"/>
          <w:color w:val="auto"/>
        </w:rPr>
        <w:t xml:space="preserve">") will be equal to the </w:t>
      </w:r>
      <w:r>
        <w:rPr>
          <w:rFonts w:ascii="Arial" w:cs="Arial" w:eastAsia="Arial" w:hAnsi="Arial"/>
          <w:sz w:val="22"/>
          <w:szCs w:val="22"/>
          <w:u w:val="single" w:color="auto"/>
          <w:color w:val="auto"/>
        </w:rPr>
        <w:t>lower</w:t>
      </w:r>
      <w:r>
        <w:rPr>
          <w:rFonts w:ascii="Arial" w:cs="Arial" w:eastAsia="Arial" w:hAnsi="Arial"/>
          <w:sz w:val="22"/>
          <w:szCs w:val="22"/>
          <w:color w:val="auto"/>
        </w:rPr>
        <w:t xml:space="preserve"> of:</w:t>
      </w:r>
    </w:p>
    <w:p>
      <w:pPr>
        <w:spacing w:after="0" w:line="188"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(i) the lowest trade price for the Common Shares, as reported by the NYSE American, on the applicable Regular Purchase Date for such Regular Purchase;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-273050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ind w:left="1300" w:right="20"/>
        <w:spacing w:after="0"/>
        <w:rPr>
          <w:sz w:val="20"/>
          <w:szCs w:val="20"/>
          <w:color w:val="auto"/>
        </w:rPr>
      </w:pPr>
      <w:r>
        <w:rPr>
          <w:rFonts w:ascii="Arial" w:cs="Arial" w:eastAsia="Arial" w:hAnsi="Arial"/>
          <w:sz w:val="22"/>
          <w:szCs w:val="22"/>
          <w:color w:val="auto"/>
        </w:rPr>
        <w:t>(ii) the arithmetic average of the three (3) lowest Closing Prices for the Common Shares, as reported by the NYSE American, during the ten (10) consecutive Business Days ending on the Business Day immediately preceding the Regular Purchase Date for such Regular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-420370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to Regular Purchases described above, on any Regular Purchase Date on which (i) the Corporation has properly submitted a Regular Purchase Notice directing the Investor to purchase the maximum number of Common Shares that the Corporation is then permitted to include in a single Regular Purchase Notice, (ii) all Common Shares subject to all prior Accelerated Purchases have been received by the Investor as in accordance with the Purchase Agreement, and (iii) there is not more than one (1) outstanding Regular Purchase for which Common Shares have not been received by the Investor and the Corporation is not in breach of any obligation under the Purchase Agreement to deliver to the Investor Common Shares subject to such outstanding Regular Purchase, the Corporation may, in its sole discretion, by written notice delivered by the Corporation to the Investor on such Regular Purchase Date (each, an "</w:t>
      </w:r>
      <w:r>
        <w:rPr>
          <w:rFonts w:ascii="Arial" w:cs="Arial" w:eastAsia="Arial" w:hAnsi="Arial"/>
          <w:sz w:val="19"/>
          <w:szCs w:val="19"/>
          <w:b w:val="1"/>
          <w:bCs w:val="1"/>
          <w:color w:val="auto"/>
        </w:rPr>
        <w:t>Accelerated Purchase Notice</w:t>
      </w:r>
      <w:r>
        <w:rPr>
          <w:rFonts w:ascii="Arial" w:cs="Arial" w:eastAsia="Arial" w:hAnsi="Arial"/>
          <w:sz w:val="19"/>
          <w:szCs w:val="19"/>
          <w:color w:val="auto"/>
        </w:rPr>
        <w:t>"), direct the Investor to purchase an additional amount of Common Shares (each such purchase, an "</w:t>
      </w:r>
      <w:r>
        <w:rPr>
          <w:rFonts w:ascii="Arial" w:cs="Arial" w:eastAsia="Arial" w:hAnsi="Arial"/>
          <w:sz w:val="19"/>
          <w:szCs w:val="19"/>
          <w:b w:val="1"/>
          <w:bCs w:val="1"/>
          <w:color w:val="auto"/>
        </w:rPr>
        <w:t>Accelerated Purchase</w:t>
      </w:r>
      <w:r>
        <w:rPr>
          <w:rFonts w:ascii="Arial" w:cs="Arial" w:eastAsia="Arial" w:hAnsi="Arial"/>
          <w:sz w:val="19"/>
          <w:szCs w:val="19"/>
          <w:color w:val="auto"/>
        </w:rPr>
        <w:t>") on the next Business Day following such Regular Purchase Date for such corresponding Regular Purchase (each such Business Day, an "</w:t>
      </w:r>
      <w:r>
        <w:rPr>
          <w:rFonts w:ascii="Arial" w:cs="Arial" w:eastAsia="Arial" w:hAnsi="Arial"/>
          <w:sz w:val="19"/>
          <w:szCs w:val="19"/>
          <w:b w:val="1"/>
          <w:bCs w:val="1"/>
          <w:color w:val="auto"/>
        </w:rPr>
        <w:t>Accelerated Purchase</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which additional amount of Common Shares may not exceed the lesser of:</w:t>
      </w:r>
    </w:p>
    <w:p>
      <w:pPr>
        <w:spacing w:after="0" w:line="155" w:lineRule="exact"/>
        <w:rPr>
          <w:sz w:val="20"/>
          <w:szCs w:val="20"/>
          <w:color w:val="auto"/>
        </w:rPr>
      </w:pPr>
    </w:p>
    <w:p>
      <w:pPr>
        <w:jc w:val="both"/>
        <w:ind w:left="1300"/>
        <w:spacing w:after="0"/>
        <w:rPr>
          <w:sz w:val="20"/>
          <w:szCs w:val="20"/>
          <w:color w:val="auto"/>
        </w:rPr>
      </w:pPr>
      <w:r>
        <w:rPr>
          <w:rFonts w:ascii="Arial" w:cs="Arial" w:eastAsia="Arial" w:hAnsi="Arial"/>
          <w:sz w:val="22"/>
          <w:szCs w:val="22"/>
          <w:color w:val="auto"/>
        </w:rPr>
        <w:t>300% of the number of Common Shares directed by the Corporation to be purchased by the Investor pursuant to the corresponding Regular Purchase (such corresponding Regular Purchase being subject to the applicable Regular Purchase Share Limit);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-420370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left="1300"/>
        <w:spacing w:after="0" w:line="235" w:lineRule="auto"/>
        <w:rPr>
          <w:sz w:val="20"/>
          <w:szCs w:val="20"/>
          <w:color w:val="auto"/>
        </w:rPr>
      </w:pPr>
      <w:r>
        <w:rPr>
          <w:rFonts w:ascii="Arial" w:cs="Arial" w:eastAsia="Arial" w:hAnsi="Arial"/>
          <w:sz w:val="22"/>
          <w:szCs w:val="22"/>
          <w:color w:val="auto"/>
        </w:rPr>
        <w:t>30% of the aggregate number (or volume) of Common Shares traded on the NYSE American during all or, if certain trading volume or market price thresholds specified in the Purchase Agreement are crossed on the NYSE American on the applicable Accelerated Purchase Date, the portion of the normal trading hours on the NYSE American on the applicable Accelerated Purchase Date prior to such time that any one of such thresholds is crossed (such period of time on the applicable Accelerated Purchase Date, the "</w:t>
      </w:r>
      <w:r>
        <w:rPr>
          <w:rFonts w:ascii="Arial" w:cs="Arial" w:eastAsia="Arial" w:hAnsi="Arial"/>
          <w:sz w:val="22"/>
          <w:szCs w:val="22"/>
          <w:b w:val="1"/>
          <w:bCs w:val="1"/>
          <w:color w:val="auto"/>
        </w:rPr>
        <w:t>Accelerated Purchase</w:t>
      </w:r>
      <w:r>
        <w:rPr>
          <w:rFonts w:ascii="Arial" w:cs="Arial" w:eastAsia="Arial" w:hAnsi="Arial"/>
          <w:sz w:val="22"/>
          <w:szCs w:val="22"/>
          <w:color w:val="auto"/>
        </w:rPr>
        <w:t xml:space="preserve"> </w:t>
      </w:r>
      <w:r>
        <w:rPr>
          <w:rFonts w:ascii="Arial" w:cs="Arial" w:eastAsia="Arial" w:hAnsi="Arial"/>
          <w:sz w:val="22"/>
          <w:szCs w:val="22"/>
          <w:b w:val="1"/>
          <w:bCs w:val="1"/>
          <w:color w:val="auto"/>
        </w:rPr>
        <w:t>Measurement Period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-882015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Corporation and the Investor may mutually agree to increase the number of Common Shares to be purchased by the Investor pursuant to any Accelerated Purchase.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9"/>
          <w:szCs w:val="19"/>
          <w:color w:val="auto"/>
        </w:rPr>
        <w:t>The purchase price per Common Share to be paid by the Investor for Common Shares purchased by the Investor from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Corporation in an Accelerated Purchase will be equal to the </w:t>
      </w:r>
      <w:r>
        <w:rPr>
          <w:rFonts w:ascii="Arial" w:cs="Arial" w:eastAsia="Arial" w:hAnsi="Arial"/>
          <w:sz w:val="22"/>
          <w:szCs w:val="22"/>
          <w:u w:val="single" w:color="auto"/>
          <w:color w:val="auto"/>
        </w:rPr>
        <w:t>greater</w:t>
      </w:r>
      <w:r>
        <w:rPr>
          <w:rFonts w:ascii="Arial" w:cs="Arial" w:eastAsia="Arial" w:hAnsi="Arial"/>
          <w:sz w:val="22"/>
          <w:szCs w:val="22"/>
          <w:color w:val="auto"/>
        </w:rPr>
        <w:t xml:space="preserve"> of:</w:t>
      </w:r>
    </w:p>
    <w:p>
      <w:pPr>
        <w:spacing w:after="0" w:line="188" w:lineRule="exact"/>
        <w:rPr>
          <w:sz w:val="20"/>
          <w:szCs w:val="20"/>
          <w:color w:val="auto"/>
        </w:rPr>
      </w:pPr>
    </w:p>
    <w:p>
      <w:pPr>
        <w:jc w:val="both"/>
        <w:ind w:left="1300"/>
        <w:spacing w:after="0" w:line="238" w:lineRule="auto"/>
        <w:rPr>
          <w:sz w:val="20"/>
          <w:szCs w:val="20"/>
          <w:color w:val="auto"/>
        </w:rPr>
      </w:pPr>
      <w:r>
        <w:rPr>
          <w:rFonts w:ascii="Arial" w:cs="Arial" w:eastAsia="Arial" w:hAnsi="Arial"/>
          <w:sz w:val="22"/>
          <w:szCs w:val="22"/>
          <w:color w:val="auto"/>
        </w:rPr>
        <w:t xml:space="preserve">(A) 97% of the </w:t>
      </w:r>
      <w:r>
        <w:rPr>
          <w:rFonts w:ascii="Arial" w:cs="Arial" w:eastAsia="Arial" w:hAnsi="Arial"/>
          <w:sz w:val="22"/>
          <w:szCs w:val="22"/>
          <w:u w:val="single" w:color="auto"/>
          <w:color w:val="auto"/>
        </w:rPr>
        <w:t>lower</w:t>
      </w:r>
      <w:r>
        <w:rPr>
          <w:rFonts w:ascii="Arial" w:cs="Arial" w:eastAsia="Arial" w:hAnsi="Arial"/>
          <w:sz w:val="22"/>
          <w:szCs w:val="22"/>
          <w:color w:val="auto"/>
        </w:rPr>
        <w:t xml:space="preserve"> of (i) the volume weighted average price of the Common Shares sold on the NYSE American (as reported by Bloomberg L.P.) during the Accelerated Purchase Measurement Period on the applicable Accelerated Purchase Date, and (ii) the Closing Price of the Common Shares on such applicable Accelerated Purchase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-575310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(B) the Maximum Discounted Price as of the close of trading on the NYSE American on the Business Day immediately preceding the Accelerated Purchase Date for such Accelerated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-273050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the case of Regular Purchases and Accelerated Purchases, the purchase price per Common Share to be paid by the Investor for the Common Shares purchased by the Investor from the Corporation in such purchases will be equitably adjusted for any reorganization, recapitalization, non-cash dividend, stock split, reverse stock split or other similar transaction occurring during any Business Day period that is used to compute the purchase price for such Common Shares under the Purchase Agreement.</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There is no upper limit on the price per Common Share that the Investor must pay for the Common Shares under the Purchase Agreement, but in no event will shares be sold to the Investor at a price per Common Share that is less than the Maximum Discounted Price.</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Other than the limitations on the number of Common Shares that the Corporation can direct the Investor to purchase in any Regular Purchase and Accelerated Purchase described above, there are no trading volume requirements or restrictions applicable to any such purchases under the Purchase Agreement. The Corporation will control the timing and amount of any sales of Common Shares to the Investor pursuant to any Regular Purchase and Accelerated Purchase under the Purchase Agreement. The Corporation may not assign or transfer any of its rights or obligations under the Purchase Agreement without the prior written consent of the Investor, including by consolidation or merger. The Investor may not assign or transfer any of its rights or obligations under the Purchase Agreement.</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no event may the Corporation issue to the Investor under the Purchase Agreement more than 50,258,180 Common Shares, which number of Common Shares is equal to 24.99% of the Common Shares outstanding immediately prior to the execution of the Purchase Agreement (the "</w:t>
      </w:r>
      <w:r>
        <w:rPr>
          <w:rFonts w:ascii="Arial" w:cs="Arial" w:eastAsia="Arial" w:hAnsi="Arial"/>
          <w:sz w:val="21"/>
          <w:szCs w:val="21"/>
          <w:b w:val="1"/>
          <w:bCs w:val="1"/>
          <w:color w:val="auto"/>
        </w:rPr>
        <w:t>Exchange Cap</w:t>
      </w:r>
      <w:r>
        <w:rPr>
          <w:rFonts w:ascii="Arial" w:cs="Arial" w:eastAsia="Arial" w:hAnsi="Arial"/>
          <w:sz w:val="21"/>
          <w:szCs w:val="21"/>
          <w:color w:val="auto"/>
        </w:rPr>
        <w:t>"), unless the Corporation obtains shareholder approval to issue Common Shares in excess of the Exchange Cap in accordance with applicable NEO rules.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may suspend the sale of Common Shares to the Investor pursuant to this Prospectus Supplement for certain periods of time for certain reasons, including if this Prospectus Supplement is required to be supplemented or amended to include additional material information.</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Moreover, the Corporation may not issue or sell any Common Shares to the Investor under the Purchase Agreement which, when aggregated with all other Common Shares then beneficially owned by the Investor and its affiliates (as calculated pursuant to Section 13(d) of the Exchange Act and Rule 13d-3 thereunder), would result in the Investor beneficially owning more than 9.99% of the outstanding Common Shares.</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None of the Common Shares that are issued and sold by the Corporation to the Investor pursuant to the Purchase Agreement will be offered for sale or sold by the Corporation or the Investor on the NEO or any other Canadian securities exchange or marketplace.</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There are no restrictions on future financings, rights of first refusal, participation rights, penalties or liquidated damages in the Purchase Agreement, except the Corporation is prohibited, subject to certain exceptions, during the term of the Purchase Agreement from effecting or entering into any agreement to effect an "equity line of credit" or other similar continuous offering of Common Shares with a third party investor, other than the Investor, in which the Corporation may issue and sell Common Shares to an investor, from time to time over a certain period of time, at future determined prices based on the market prices of the Common Shares at the time of each such issuance and sale. The Investor has represented to the Corporation that at no time prior to the time of execution of the Purchase Agreement has the Investor or its agents, representatives or affiliates engaged in or effected, in any manner whatsoever, directly or indirectly, any short sale (as such term is defined in Rule 200 of Regulation SHO under the Exchange Act) of the Common Shares, or any hedging transaction that establishes a net short position with respect to the Common Shares. The Investor has also agreed that during the term of the Purchase Agreement, neither the Investor nor any of its agents, representatives or affiliates will enter into or effect, directly or indirectly, any such short sales or hedging transactions with respect to the Common Shares described above.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9"/>
          <w:szCs w:val="19"/>
          <w:color w:val="auto"/>
        </w:rPr>
        <w:t>The Corporation has the unconditional right, at any time, for any reason and without any payment or liability to the Corporation, to terminate the Purchase Agreement upon one Business Day's prior written notice to the Investor. The Purchase Agreement will automatically terminate if: (i) a bankruptcy proceeding is commenced by or against the Corporation that is not discharged within 90 days, or a custodian is appointed for the Corporation or for substantially of all of the Corporation's property, or the Corporation makes a general assignment for the benefit of its creditors, (ii) the Corporation sells and the Investor purchases the US$30,000,000 of Common Shares available for sale by the Corporation to the Investor under the Purchase Agreement, or (iii) the US$30,000,000 of Common Shares available for sale by the Corporation to the Investor under the Purchase Agreement has not been purchased by the Investor by the end of the 36-month term of the Purchase Agreement. No termination of the Purchase Agreement will be effective during the pendency of any Regular Purchase or Accelerated Purchase that has not then fully settled in accordance with the Purchase Agreement.</w:t>
      </w:r>
    </w:p>
    <w:p>
      <w:pPr>
        <w:spacing w:after="0" w:line="16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number of Common Shares ultimately offered for sale by the Corporation under this Prospectus Supplement is dependent upon the number of Common Shares purchased by the Investor under the Purchase Agreement.</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number of Common Shares ultimately offered for sale by the Corporation under this Prospectus Supplement is dependent upon the total number of Common Shares, if any, the Corporation elects to issue and sell to the Investor pursuant to the Purchase Agreement during the term of the Purchase Agreement. Issuances of Common Shares by the Corporation to the Investor under the Purchase Agreement will not affect the rights or privileges of the Corporation's existing shareholders, except that the economic and voting interests of each of the Corporation's existing shareholders will be diluted as a result of any such issuances. Although the number of Common Shares that the Corporation's existing shareholders own will not decrease as a result of such issuances and sales by the Corporation to the Investor under the Purchase Agreement, the Common Shares owned by the Corporation's existing shareholders will represent a smaller percentage of the total number of Common Shares outstanding after any such issuance of Common Shares by the Corporation to the Investor under the Purchase Agreement.</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table sets forth the amount of proceeds the Corporation would receive from the Investor from the sale of Common Shares that are registered in the Offering at varying purchase prices (without accounting for certain fees and expenses), assuming the sale of Common Shares in the aggregate amount of US$30,000,000 of Common Shares at the average prices set forth in the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 of Outstanding</w:t>
            </w:r>
          </w:p>
        </w:tc>
        <w:tc>
          <w:tcPr>
            <w:tcW w:w="2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Proceeds from the Sale of</w:t>
            </w:r>
          </w:p>
        </w:tc>
        <w:tc>
          <w:tcPr>
            <w:tcW w:w="0" w:type="dxa"/>
            <w:vAlign w:val="bottom"/>
          </w:tcPr>
          <w:p>
            <w:pPr>
              <w:spacing w:after="0"/>
              <w:rPr>
                <w:sz w:val="1"/>
                <w:szCs w:val="1"/>
                <w:color w:val="auto"/>
              </w:rPr>
            </w:pPr>
          </w:p>
        </w:tc>
      </w:tr>
      <w:tr>
        <w:trPr>
          <w:trHeight w:val="108"/>
        </w:trPr>
        <w:tc>
          <w:tcPr>
            <w:tcW w:w="2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Assumed Purchase Price for</w:t>
            </w:r>
          </w:p>
        </w:tc>
        <w:tc>
          <w:tcPr>
            <w:tcW w:w="3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Number of Common Shares to be</w:t>
            </w:r>
          </w:p>
        </w:tc>
        <w:tc>
          <w:tcPr>
            <w:tcW w:w="2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Common Shares After Giving</w:t>
            </w: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vMerge w:val="continue"/>
          </w:tcPr>
          <w:p>
            <w:pPr>
              <w:spacing w:after="0"/>
              <w:rPr>
                <w:sz w:val="9"/>
                <w:szCs w:val="9"/>
                <w:color w:val="auto"/>
              </w:rPr>
            </w:pPr>
          </w:p>
        </w:tc>
        <w:tc>
          <w:tcPr>
            <w:tcW w:w="3020" w:type="dxa"/>
            <w:vAlign w:val="bottom"/>
            <w:vMerge w:val="continue"/>
          </w:tcPr>
          <w:p>
            <w:pPr>
              <w:spacing w:after="0"/>
              <w:rPr>
                <w:sz w:val="9"/>
                <w:szCs w:val="9"/>
                <w:color w:val="auto"/>
              </w:rPr>
            </w:pPr>
          </w:p>
        </w:tc>
        <w:tc>
          <w:tcPr>
            <w:tcW w:w="2700" w:type="dxa"/>
            <w:vAlign w:val="bottom"/>
            <w:vMerge w:val="continue"/>
          </w:tcPr>
          <w:p>
            <w:pPr>
              <w:spacing w:after="0"/>
              <w:rPr>
                <w:sz w:val="9"/>
                <w:szCs w:val="9"/>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Common Shares to the Investor</w:t>
            </w:r>
          </w:p>
        </w:tc>
        <w:tc>
          <w:tcPr>
            <w:tcW w:w="0" w:type="dxa"/>
            <w:vAlign w:val="bottom"/>
          </w:tcPr>
          <w:p>
            <w:pPr>
              <w:spacing w:after="0"/>
              <w:rPr>
                <w:sz w:val="1"/>
                <w:szCs w:val="1"/>
                <w:color w:val="auto"/>
              </w:rPr>
            </w:pPr>
          </w:p>
        </w:tc>
      </w:tr>
      <w:tr>
        <w:trPr>
          <w:trHeight w:val="108"/>
        </w:trPr>
        <w:tc>
          <w:tcPr>
            <w:tcW w:w="2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Common Shares</w:t>
            </w:r>
          </w:p>
        </w:tc>
        <w:tc>
          <w:tcPr>
            <w:tcW w:w="3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Issued if Full Purchase</w:t>
            </w:r>
          </w:p>
        </w:tc>
        <w:tc>
          <w:tcPr>
            <w:tcW w:w="2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Effect to the Issuance to the</w:t>
            </w:r>
          </w:p>
        </w:tc>
        <w:tc>
          <w:tcPr>
            <w:tcW w:w="2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vMerge w:val="continue"/>
          </w:tcPr>
          <w:p>
            <w:pPr>
              <w:spacing w:after="0"/>
              <w:rPr>
                <w:sz w:val="9"/>
                <w:szCs w:val="9"/>
                <w:color w:val="auto"/>
              </w:rPr>
            </w:pPr>
          </w:p>
        </w:tc>
        <w:tc>
          <w:tcPr>
            <w:tcW w:w="3020" w:type="dxa"/>
            <w:vAlign w:val="bottom"/>
            <w:vMerge w:val="continue"/>
          </w:tcPr>
          <w:p>
            <w:pPr>
              <w:spacing w:after="0"/>
              <w:rPr>
                <w:sz w:val="9"/>
                <w:szCs w:val="9"/>
                <w:color w:val="auto"/>
              </w:rPr>
            </w:pPr>
          </w:p>
        </w:tc>
        <w:tc>
          <w:tcPr>
            <w:tcW w:w="2700" w:type="dxa"/>
            <w:vAlign w:val="bottom"/>
            <w:vMerge w:val="continue"/>
          </w:tcPr>
          <w:p>
            <w:pPr>
              <w:spacing w:after="0"/>
              <w:rPr>
                <w:sz w:val="9"/>
                <w:szCs w:val="9"/>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Under the Purchase Agreement</w:t>
            </w:r>
          </w:p>
        </w:tc>
        <w:tc>
          <w:tcPr>
            <w:tcW w:w="0" w:type="dxa"/>
            <w:vAlign w:val="bottom"/>
          </w:tcPr>
          <w:p>
            <w:pPr>
              <w:spacing w:after="0"/>
              <w:rPr>
                <w:sz w:val="1"/>
                <w:szCs w:val="1"/>
                <w:color w:val="auto"/>
              </w:rPr>
            </w:pPr>
          </w:p>
        </w:tc>
      </w:tr>
      <w:tr>
        <w:trPr>
          <w:trHeight w:val="126"/>
        </w:trPr>
        <w:tc>
          <w:tcPr>
            <w:tcW w:w="26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Investor</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vMerge w:val="continue"/>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US$0.30</w:t>
            </w:r>
          </w:p>
        </w:tc>
        <w:tc>
          <w:tcPr>
            <w:tcW w:w="30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102,538,844</w:t>
            </w: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33.80%</w:t>
            </w:r>
          </w:p>
        </w:tc>
        <w:tc>
          <w:tcPr>
            <w:tcW w:w="28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US$30,000,000</w:t>
            </w:r>
          </w:p>
        </w:tc>
        <w:tc>
          <w:tcPr>
            <w:tcW w:w="0" w:type="dxa"/>
            <w:vAlign w:val="bottom"/>
          </w:tcPr>
          <w:p>
            <w:pPr>
              <w:spacing w:after="0"/>
              <w:rPr>
                <w:sz w:val="1"/>
                <w:szCs w:val="1"/>
                <w:color w:val="auto"/>
              </w:rPr>
            </w:pPr>
          </w:p>
        </w:tc>
      </w:tr>
      <w:tr>
        <w:trPr>
          <w:trHeight w:val="216"/>
        </w:trPr>
        <w:tc>
          <w:tcPr>
            <w:tcW w:w="2660" w:type="dxa"/>
            <w:vAlign w:val="bottom"/>
          </w:tcPr>
          <w:p>
            <w:pPr>
              <w:jc w:val="center"/>
              <w:spacing w:after="0"/>
              <w:rPr>
                <w:sz w:val="20"/>
                <w:szCs w:val="20"/>
                <w:color w:val="auto"/>
              </w:rPr>
            </w:pPr>
            <w:r>
              <w:rPr>
                <w:rFonts w:ascii="Arial" w:cs="Arial" w:eastAsia="Arial" w:hAnsi="Arial"/>
                <w:sz w:val="18"/>
                <w:szCs w:val="18"/>
                <w:color w:val="auto"/>
                <w:w w:val="88"/>
              </w:rPr>
              <w:t>US$0.35</w:t>
            </w: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88,253,129</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30.53%</w:t>
            </w: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US$30,000,000</w:t>
            </w:r>
          </w:p>
        </w:tc>
        <w:tc>
          <w:tcPr>
            <w:tcW w:w="0" w:type="dxa"/>
            <w:vAlign w:val="bottom"/>
          </w:tcPr>
          <w:p>
            <w:pPr>
              <w:spacing w:after="0"/>
              <w:rPr>
                <w:sz w:val="1"/>
                <w:szCs w:val="1"/>
                <w:color w:val="auto"/>
              </w:rPr>
            </w:pPr>
          </w:p>
        </w:tc>
      </w:tr>
      <w:tr>
        <w:trPr>
          <w:trHeight w:val="216"/>
        </w:trPr>
        <w:tc>
          <w:tcPr>
            <w:tcW w:w="26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US$0.40</w:t>
            </w:r>
          </w:p>
        </w:tc>
        <w:tc>
          <w:tcPr>
            <w:tcW w:w="30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77,538,844</w:t>
            </w: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27.86%</w:t>
            </w:r>
          </w:p>
        </w:tc>
        <w:tc>
          <w:tcPr>
            <w:tcW w:w="28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US$30,000,000</w:t>
            </w:r>
          </w:p>
        </w:tc>
        <w:tc>
          <w:tcPr>
            <w:tcW w:w="0" w:type="dxa"/>
            <w:vAlign w:val="bottom"/>
          </w:tcPr>
          <w:p>
            <w:pPr>
              <w:spacing w:after="0"/>
              <w:rPr>
                <w:sz w:val="1"/>
                <w:szCs w:val="1"/>
                <w:color w:val="auto"/>
              </w:rPr>
            </w:pPr>
          </w:p>
        </w:tc>
      </w:tr>
      <w:tr>
        <w:trPr>
          <w:trHeight w:val="216"/>
        </w:trPr>
        <w:tc>
          <w:tcPr>
            <w:tcW w:w="2660" w:type="dxa"/>
            <w:vAlign w:val="bottom"/>
          </w:tcPr>
          <w:p>
            <w:pPr>
              <w:jc w:val="center"/>
              <w:spacing w:after="0"/>
              <w:rPr>
                <w:sz w:val="20"/>
                <w:szCs w:val="20"/>
                <w:color w:val="auto"/>
              </w:rPr>
            </w:pPr>
            <w:r>
              <w:rPr>
                <w:rFonts w:ascii="Arial" w:cs="Arial" w:eastAsia="Arial" w:hAnsi="Arial"/>
                <w:sz w:val="18"/>
                <w:szCs w:val="18"/>
                <w:color w:val="auto"/>
                <w:w w:val="88"/>
              </w:rPr>
              <w:t>US$0.45</w:t>
            </w: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69,205,510</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25.63%</w:t>
            </w: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US$30,000,000</w:t>
            </w:r>
          </w:p>
        </w:tc>
        <w:tc>
          <w:tcPr>
            <w:tcW w:w="0" w:type="dxa"/>
            <w:vAlign w:val="bottom"/>
          </w:tcPr>
          <w:p>
            <w:pPr>
              <w:spacing w:after="0"/>
              <w:rPr>
                <w:sz w:val="1"/>
                <w:szCs w:val="1"/>
                <w:color w:val="auto"/>
              </w:rPr>
            </w:pPr>
          </w:p>
        </w:tc>
      </w:tr>
      <w:tr>
        <w:trPr>
          <w:trHeight w:val="216"/>
        </w:trPr>
        <w:tc>
          <w:tcPr>
            <w:tcW w:w="26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US$0.50</w:t>
            </w:r>
          </w:p>
        </w:tc>
        <w:tc>
          <w:tcPr>
            <w:tcW w:w="30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62,538,844</w:t>
            </w:r>
          </w:p>
        </w:tc>
        <w:tc>
          <w:tcPr>
            <w:tcW w:w="27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23.75%</w:t>
            </w:r>
          </w:p>
        </w:tc>
        <w:tc>
          <w:tcPr>
            <w:tcW w:w="28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US$30,000,000</w:t>
            </w:r>
          </w:p>
        </w:tc>
        <w:tc>
          <w:tcPr>
            <w:tcW w:w="0" w:type="dxa"/>
            <w:vAlign w:val="bottom"/>
          </w:tcPr>
          <w:p>
            <w:pPr>
              <w:spacing w:after="0"/>
              <w:rPr>
                <w:sz w:val="1"/>
                <w:szCs w:val="1"/>
                <w:color w:val="auto"/>
              </w:rPr>
            </w:pPr>
          </w:p>
        </w:tc>
      </w:tr>
      <w:tr>
        <w:trPr>
          <w:trHeight w:val="230"/>
        </w:trPr>
        <w:tc>
          <w:tcPr>
            <w:tcW w:w="2660" w:type="dxa"/>
            <w:vAlign w:val="bottom"/>
          </w:tcPr>
          <w:p>
            <w:pPr>
              <w:jc w:val="center"/>
              <w:spacing w:after="0"/>
              <w:rPr>
                <w:sz w:val="20"/>
                <w:szCs w:val="20"/>
                <w:color w:val="auto"/>
              </w:rPr>
            </w:pPr>
            <w:r>
              <w:rPr>
                <w:rFonts w:ascii="Arial" w:cs="Arial" w:eastAsia="Arial" w:hAnsi="Arial"/>
                <w:sz w:val="18"/>
                <w:szCs w:val="18"/>
                <w:color w:val="auto"/>
                <w:w w:val="88"/>
              </w:rPr>
              <w:t>US$0.70</w:t>
            </w:r>
          </w:p>
        </w:tc>
        <w:tc>
          <w:tcPr>
            <w:tcW w:w="3020" w:type="dxa"/>
            <w:vAlign w:val="bottom"/>
          </w:tcPr>
          <w:p>
            <w:pPr>
              <w:jc w:val="center"/>
              <w:spacing w:after="0"/>
              <w:rPr>
                <w:sz w:val="20"/>
                <w:szCs w:val="20"/>
                <w:color w:val="auto"/>
              </w:rPr>
            </w:pPr>
            <w:r>
              <w:rPr>
                <w:rFonts w:ascii="Arial" w:cs="Arial" w:eastAsia="Arial" w:hAnsi="Arial"/>
                <w:sz w:val="18"/>
                <w:szCs w:val="18"/>
                <w:color w:val="auto"/>
                <w:w w:val="90"/>
              </w:rPr>
              <w:t>45,395,986</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18.44%</w:t>
            </w: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US$30,000,000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"Suspension Events" under the Purchase Agreement include the following:</w:t>
      </w:r>
    </w:p>
    <w:p>
      <w:pPr>
        <w:spacing w:after="0" w:line="206" w:lineRule="exact"/>
        <w:rPr>
          <w:sz w:val="20"/>
          <w:szCs w:val="20"/>
          <w:color w:val="auto"/>
        </w:rPr>
      </w:pPr>
    </w:p>
    <w:p>
      <w:pPr>
        <w:jc w:val="both"/>
        <w:ind w:left="660"/>
        <w:spacing w:after="0" w:line="233" w:lineRule="auto"/>
        <w:rPr>
          <w:sz w:val="20"/>
          <w:szCs w:val="20"/>
          <w:color w:val="auto"/>
        </w:rPr>
      </w:pPr>
      <w:r>
        <w:rPr>
          <w:rFonts w:ascii="Arial" w:cs="Arial" w:eastAsia="Arial" w:hAnsi="Arial"/>
          <w:sz w:val="22"/>
          <w:szCs w:val="22"/>
          <w:color w:val="auto"/>
        </w:rPr>
        <w:t>the effectiveness of the Registration Statement lapses for any reason (including, without limitation, the issuance of a stop order or similar order), or this Prospectus Supplement and accompanying Base Shelf Prospectus related to the Offering hereby are unavailable for sale by the Corporation to the Investor for the Common Shares offered hereby and such lapse or unavailability continues for a period of 10 consecutive trading days or for more than an aggregate of 30 trading days in any 365-day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-718185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840"/>
        <w:spacing w:after="0" w:line="241" w:lineRule="auto"/>
        <w:rPr>
          <w:sz w:val="20"/>
          <w:szCs w:val="20"/>
          <w:color w:val="auto"/>
        </w:rPr>
      </w:pPr>
      <w:r>
        <w:rPr>
          <w:rFonts w:ascii="Arial" w:cs="Arial" w:eastAsia="Arial" w:hAnsi="Arial"/>
          <w:sz w:val="21"/>
          <w:szCs w:val="21"/>
          <w:color w:val="auto"/>
        </w:rPr>
        <w:t>the Common Shares cease to be DTC authorized and participating in the D.W.A.C./F.A.S.T. systems; suspension of the Common Shares from trading for a period of one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Arial" w:cs="Arial" w:eastAsia="Arial" w:hAnsi="Arial"/>
          <w:sz w:val="22"/>
          <w:szCs w:val="22"/>
          <w:color w:val="auto"/>
        </w:rPr>
        <w:t>if the Common Shares cease to be eligible for trading on the NYSE American and are not immediately thereafter trading on the NASDAQ Global Select Market, NASDAQ Global Market, the NASDAQ Capital Market, the New York Stock Exchange, or the OTC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4" w:lineRule="auto"/>
        <w:rPr>
          <w:sz w:val="20"/>
          <w:szCs w:val="20"/>
          <w:color w:val="auto"/>
        </w:rPr>
      </w:pPr>
      <w:r>
        <w:rPr>
          <w:rFonts w:ascii="Arial" w:cs="Arial" w:eastAsia="Arial" w:hAnsi="Arial"/>
          <w:sz w:val="22"/>
          <w:szCs w:val="22"/>
          <w:color w:val="auto"/>
        </w:rPr>
        <w:t>any breach of the representations or warranties or covenants contained in the Purchase Agreement or any related agreements which has or which could have a material adverse effect on the Investor, subject to a cure period of five (5)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-419735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9"/>
          <w:szCs w:val="19"/>
          <w:color w:val="auto"/>
        </w:rPr>
        <w:t>any participation or threatened participation in insolvency or bankruptcy proceedings by or against the Corporation;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-76835</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 w:lineRule="exact"/>
        <w:rPr>
          <w:sz w:val="20"/>
          <w:szCs w:val="20"/>
          <w:color w:val="auto"/>
        </w:rPr>
      </w:pPr>
    </w:p>
    <w:p>
      <w:pPr>
        <w:jc w:val="both"/>
        <w:ind w:left="660"/>
        <w:spacing w:after="0" w:line="233" w:lineRule="auto"/>
        <w:rPr>
          <w:sz w:val="20"/>
          <w:szCs w:val="20"/>
          <w:color w:val="auto"/>
        </w:rPr>
      </w:pPr>
      <w:r>
        <w:rPr>
          <w:rFonts w:ascii="Arial" w:cs="Arial" w:eastAsia="Arial" w:hAnsi="Arial"/>
          <w:sz w:val="22"/>
          <w:szCs w:val="22"/>
          <w:color w:val="auto"/>
        </w:rPr>
        <w:t>if at any time the Corporation has issued an aggregate number of Common Shares with respect to which the Exchange Cap applies under the applicable rules of the NEO equal to the Exchange Cap, and the Corporation has not then obtained shareholder approval to issue and sell Common Shares in excess of the Exchange Cap in accordance with the applicable rules of the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-573405</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Investor does not have the right to terminate the Purchase Agreement upon any of the Suspension Events set forth above; however, so long as a Suspension Event has occurred and is continuing, or if any event which, after notice and/or lapse of time, would become a Suspension Event has occurred and is continuing, the Corporation is prohibited from delivering to any Regular Purchase Notice or Accelerated Purchase Notice to the Investor directing the Investor to purchase Common Shares from the Corporation under the Purchase Agreement.</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Offering will terminate on the date that all Common Shares offered by this Prospectus Supplement have been sold by the Corporation to the Investor pursuant to the Purchase Agreement, and all of such Common Shares have been resold by the Investor to the public, or, if earlier, on the date of expiration or termination of the Purchase Agreement in accordance with its terms.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Immediately prior to the date of the Purchase Agreement, the Investor beneficially owned none of the Common Shares. Josh Scheinfeld and Jonathan Cope, the principals of the Investor, are deemed to be beneficial owners of all of the Common Shares owned by the Investor. Messrs. Scheinfeld and Cope have shared voting and investment power over the Common Shares being offered under this Prospectus Supplement filed with the SEC in connection with the transactions contemplated under the Purchase Agreement. The Investor is not a licensed broker dealer or an affiliate of a licensed broker dealer.</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Investor is an "underwriter" within the meaning of Section 2(a)(11) of the Securities Act. The Investor has informed the Corporation that it will use a broker-dealer unaffiliated with the Investor to effectuate all sales, if any, of the Common Shares that it may purchase from the Corporation pursuant to the Purchase Agreement. Such sales will be made on the NYSE American at prices and at terms then prevailing or at prices related to the then current market price. Each such unaffiliated broker-dealer will be an underwriter within the meaning of Section 2(a)(11) of the Exchange Act.</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Investor has informed the Corporation that each such broker-dealer will receive commissions from the Investor that will not exceed customary brokerage commissions.</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Corporation is not aware of any existing arrangements between the Investor and any other shareholder, broker, dealer, underwriter, or agent relating to the sale or distribution of the Common Shares offered by this Prospectus Supplement. At the time a particular offer of the Common Shares is made, a Prospectus Supplement, if required, will be distributed that will set forth the names of any agents, underwriters, or dealers and any compensation from the selling shareholder, and any other required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color w:val="auto"/>
        </w:rPr>
        <w:t>The Corporation will pay all of the expenses incident to the registration, Offering, and sale of the Common Shares to the Investor.</w:t>
      </w:r>
    </w:p>
    <w:p>
      <w:pPr>
        <w:spacing w:after="0" w:line="24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agreed to indemnify the Investor against certain liabilities in connection with the Offering of the Common Shares offered hereby, including liabilities arising under the Securities Act to the extent permissible by law or, if such indemnity is unavailable, to contribute amounts required to be paid in respect of such liabilities.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Insofar as indemnification for liabilities arising under the Securities Act may be permitted to the Corporation's directors, officers, and controlling persons, the Corporation has been advised that in the opinion of the SEC this indemnification is against public policy as expressed in the Securities Act and is therefore, unenforceable.</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Investor represented to us that at no time prior to the date of the Purchase Agreement has the Investor or its agents, representatives or affiliates engaged in or effected, in any manner whatsoever, directly or indirectly, any short sale (as such term is defined in Rule 200 of Regulation SHO of the Exchange Act) of the Corporation's Common Shares or any hedging transaction. The Investor agreed that during the term of the Purchase Agreement, it and its agents, representatives and affiliates will not enter into or effect, directly or indirectly, any of the foregoing transactions.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both"/>
        <w:spacing w:after="0" w:line="234" w:lineRule="auto"/>
        <w:rPr>
          <w:sz w:val="20"/>
          <w:szCs w:val="20"/>
          <w:color w:val="auto"/>
        </w:rPr>
      </w:pPr>
      <w:r>
        <w:rPr>
          <w:rFonts w:ascii="Arial" w:cs="Arial" w:eastAsia="Arial" w:hAnsi="Arial"/>
          <w:sz w:val="22"/>
          <w:szCs w:val="22"/>
          <w:color w:val="auto"/>
        </w:rPr>
        <w:t>The Corporation has advised the Investor that it is required to comply with Regulation M promulgated under the Exchange Act, to the extent applicable to the Offering. With certain exceptions, Regulation M precludes the selling shareholder,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by this Prospectus Supplement.</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Offering has been authorized by the NYSE American and approved by the NEO. The NEO has approved the listing of up to US$30,000,000 worth of Common Shares in connection with the Purchase Agreement. The issuance of any Common Shares under the Purchase Agreement in excess of up to US$30,000,000 worth of Common Shares will be subject to the approval of the NEO.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TRADING PRICE AND VOLUME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Common Shares are listed for trading on the NEO and the NYSE American under the symbol "CYBN". The following table sets forth the reported monthly range of high and low prices per Common Share and total monthly volumes traded on the NEO and the NYSE American for each of the months indicated during the 12-month period prior to the date of this Prospectus Supplement.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NEO Price Range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820" w:type="dxa"/>
            <w:vAlign w:val="bottom"/>
            <w:gridSpan w:val="2"/>
          </w:tcPr>
          <w:p>
            <w:pPr>
              <w:ind w:left="1060"/>
              <w:spacing w:after="0"/>
              <w:rPr>
                <w:sz w:val="20"/>
                <w:szCs w:val="20"/>
                <w:color w:val="auto"/>
              </w:rPr>
            </w:pPr>
            <w:r>
              <w:rPr>
                <w:rFonts w:ascii="Arial" w:cs="Arial" w:eastAsia="Arial" w:hAnsi="Arial"/>
                <w:sz w:val="18"/>
                <w:szCs w:val="18"/>
                <w:b w:val="1"/>
                <w:bCs w:val="1"/>
                <w:color w:val="auto"/>
              </w:rPr>
              <w:t>Month</w:t>
            </w:r>
          </w:p>
        </w:tc>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 xml:space="preserve">High </w:t>
            </w:r>
            <w:r>
              <w:rPr>
                <w:rFonts w:ascii="Arial" w:cs="Arial" w:eastAsia="Arial" w:hAnsi="Arial"/>
                <w:sz w:val="18"/>
                <w:szCs w:val="18"/>
                <w:color w:val="auto"/>
                <w:w w:val="88"/>
              </w:rPr>
              <w:t>($)</w:t>
            </w:r>
            <w:r>
              <w:rPr>
                <w:rFonts w:ascii="Arial" w:cs="Arial" w:eastAsia="Arial" w:hAnsi="Arial"/>
                <w:sz w:val="29"/>
                <w:szCs w:val="29"/>
                <w:b w:val="1"/>
                <w:bCs w:val="1"/>
                <w:color w:val="auto"/>
                <w:w w:val="88"/>
                <w:vertAlign w:val="superscript"/>
              </w:rPr>
              <w:t>(1)</w:t>
            </w:r>
          </w:p>
        </w:tc>
        <w:tc>
          <w:tcPr>
            <w:tcW w:w="2820" w:type="dxa"/>
            <w:vAlign w:val="bottom"/>
            <w:gridSpan w:val="2"/>
          </w:tcPr>
          <w:p>
            <w:pPr>
              <w:ind w:left="92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w:t>
            </w:r>
            <w:r>
              <w:rPr>
                <w:rFonts w:ascii="Arial" w:cs="Arial" w:eastAsia="Arial" w:hAnsi="Arial"/>
                <w:sz w:val="29"/>
                <w:szCs w:val="29"/>
                <w:b w:val="1"/>
                <w:bCs w:val="1"/>
                <w:color w:val="auto"/>
                <w:vertAlign w:val="superscript"/>
              </w:rPr>
              <w:t>(1)</w:t>
            </w:r>
          </w:p>
        </w:tc>
        <w:tc>
          <w:tcPr>
            <w:tcW w:w="2760" w:type="dxa"/>
            <w:vAlign w:val="bottom"/>
          </w:tcPr>
          <w:p>
            <w:pPr>
              <w:ind w:left="1000"/>
              <w:spacing w:after="0"/>
              <w:rPr>
                <w:sz w:val="20"/>
                <w:szCs w:val="20"/>
                <w:color w:val="auto"/>
              </w:rPr>
            </w:pPr>
            <w:r>
              <w:rPr>
                <w:rFonts w:ascii="Arial" w:cs="Arial" w:eastAsia="Arial" w:hAnsi="Arial"/>
                <w:sz w:val="18"/>
                <w:szCs w:val="18"/>
                <w:b w:val="1"/>
                <w:bCs w:val="1"/>
                <w:color w:val="auto"/>
              </w:rPr>
              <w:t>Volume</w:t>
            </w:r>
            <w:r>
              <w:rPr>
                <w:rFonts w:ascii="Arial" w:cs="Arial" w:eastAsia="Arial" w:hAnsi="Arial"/>
                <w:sz w:val="29"/>
                <w:szCs w:val="29"/>
                <w:b w:val="1"/>
                <w:bCs w:val="1"/>
                <w:color w:val="auto"/>
                <w:vertAlign w:val="superscript"/>
              </w:rPr>
              <w:t>(1)</w:t>
            </w:r>
          </w:p>
        </w:tc>
      </w:tr>
      <w:tr>
        <w:trPr>
          <w:trHeight w:val="209"/>
        </w:trPr>
        <w:tc>
          <w:tcPr>
            <w:tcW w:w="2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August 2022</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1.50</w:t>
            </w:r>
          </w:p>
        </w:tc>
        <w:tc>
          <w:tcPr>
            <w:tcW w:w="200" w:type="dxa"/>
            <w:vAlign w:val="bottom"/>
            <w:shd w:val="clear" w:color="auto" w:fill="E6EFFF"/>
          </w:tcPr>
          <w:p>
            <w:pPr>
              <w:spacing w:after="0"/>
              <w:rPr>
                <w:sz w:val="18"/>
                <w:szCs w:val="18"/>
                <w:color w:val="auto"/>
              </w:rPr>
            </w:pP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0.75</w:t>
            </w:r>
          </w:p>
        </w:tc>
        <w:tc>
          <w:tcPr>
            <w:tcW w:w="200" w:type="dxa"/>
            <w:vAlign w:val="bottom"/>
            <w:shd w:val="clear" w:color="auto" w:fill="E6EFFF"/>
          </w:tcPr>
          <w:p>
            <w:pPr>
              <w:spacing w:after="0"/>
              <w:rPr>
                <w:sz w:val="18"/>
                <w:szCs w:val="18"/>
                <w:color w:val="auto"/>
              </w:rPr>
            </w:pPr>
          </w:p>
        </w:tc>
        <w:tc>
          <w:tcPr>
            <w:tcW w:w="276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4,557,716</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September 2022</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1.49</w:t>
            </w:r>
          </w:p>
        </w:tc>
        <w:tc>
          <w:tcPr>
            <w:tcW w:w="2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0.64</w:t>
            </w:r>
          </w:p>
        </w:tc>
        <w:tc>
          <w:tcPr>
            <w:tcW w:w="200" w:type="dxa"/>
            <w:vAlign w:val="bottom"/>
          </w:tcPr>
          <w:p>
            <w:pPr>
              <w:spacing w:after="0"/>
              <w:rPr>
                <w:sz w:val="18"/>
                <w:szCs w:val="18"/>
                <w:color w:val="auto"/>
              </w:rPr>
            </w:pPr>
          </w:p>
        </w:tc>
        <w:tc>
          <w:tcPr>
            <w:tcW w:w="2760" w:type="dxa"/>
            <w:vAlign w:val="bottom"/>
          </w:tcPr>
          <w:p>
            <w:pPr>
              <w:ind w:left="1020"/>
              <w:spacing w:after="0"/>
              <w:rPr>
                <w:sz w:val="20"/>
                <w:szCs w:val="20"/>
                <w:color w:val="auto"/>
              </w:rPr>
            </w:pPr>
            <w:r>
              <w:rPr>
                <w:rFonts w:ascii="Arial" w:cs="Arial" w:eastAsia="Arial" w:hAnsi="Arial"/>
                <w:sz w:val="18"/>
                <w:szCs w:val="18"/>
                <w:color w:val="auto"/>
              </w:rPr>
              <w:t>3,061,741</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October 2022</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0.89</w:t>
            </w:r>
          </w:p>
        </w:tc>
        <w:tc>
          <w:tcPr>
            <w:tcW w:w="200" w:type="dxa"/>
            <w:vAlign w:val="bottom"/>
            <w:shd w:val="clear" w:color="auto" w:fill="E6EFFF"/>
          </w:tcPr>
          <w:p>
            <w:pPr>
              <w:spacing w:after="0"/>
              <w:rPr>
                <w:sz w:val="18"/>
                <w:szCs w:val="18"/>
                <w:color w:val="auto"/>
              </w:rPr>
            </w:pP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0.61</w:t>
            </w:r>
          </w:p>
        </w:tc>
        <w:tc>
          <w:tcPr>
            <w:tcW w:w="200" w:type="dxa"/>
            <w:vAlign w:val="bottom"/>
            <w:shd w:val="clear" w:color="auto" w:fill="E6EFFF"/>
          </w:tcPr>
          <w:p>
            <w:pPr>
              <w:spacing w:after="0"/>
              <w:rPr>
                <w:sz w:val="18"/>
                <w:szCs w:val="18"/>
                <w:color w:val="auto"/>
              </w:rPr>
            </w:pPr>
          </w:p>
        </w:tc>
        <w:tc>
          <w:tcPr>
            <w:tcW w:w="276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2,200,569</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November 2022</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0.67</w:t>
            </w:r>
          </w:p>
        </w:tc>
        <w:tc>
          <w:tcPr>
            <w:tcW w:w="2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0.49</w:t>
            </w:r>
          </w:p>
        </w:tc>
        <w:tc>
          <w:tcPr>
            <w:tcW w:w="200" w:type="dxa"/>
            <w:vAlign w:val="bottom"/>
          </w:tcPr>
          <w:p>
            <w:pPr>
              <w:spacing w:after="0"/>
              <w:rPr>
                <w:sz w:val="18"/>
                <w:szCs w:val="18"/>
                <w:color w:val="auto"/>
              </w:rPr>
            </w:pPr>
          </w:p>
        </w:tc>
        <w:tc>
          <w:tcPr>
            <w:tcW w:w="2760" w:type="dxa"/>
            <w:vAlign w:val="bottom"/>
          </w:tcPr>
          <w:p>
            <w:pPr>
              <w:ind w:left="1020"/>
              <w:spacing w:after="0"/>
              <w:rPr>
                <w:sz w:val="20"/>
                <w:szCs w:val="20"/>
                <w:color w:val="auto"/>
              </w:rPr>
            </w:pPr>
            <w:r>
              <w:rPr>
                <w:rFonts w:ascii="Arial" w:cs="Arial" w:eastAsia="Arial" w:hAnsi="Arial"/>
                <w:sz w:val="18"/>
                <w:szCs w:val="18"/>
                <w:color w:val="auto"/>
              </w:rPr>
              <w:t>2,706,993</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December 2022</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0.51</w:t>
            </w:r>
          </w:p>
        </w:tc>
        <w:tc>
          <w:tcPr>
            <w:tcW w:w="200" w:type="dxa"/>
            <w:vAlign w:val="bottom"/>
            <w:shd w:val="clear" w:color="auto" w:fill="E6EFFF"/>
          </w:tcPr>
          <w:p>
            <w:pPr>
              <w:spacing w:after="0"/>
              <w:rPr>
                <w:sz w:val="18"/>
                <w:szCs w:val="18"/>
                <w:color w:val="auto"/>
              </w:rPr>
            </w:pP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0.375</w:t>
            </w:r>
          </w:p>
        </w:tc>
        <w:tc>
          <w:tcPr>
            <w:tcW w:w="200" w:type="dxa"/>
            <w:vAlign w:val="bottom"/>
            <w:shd w:val="clear" w:color="auto" w:fill="E6EFFF"/>
          </w:tcPr>
          <w:p>
            <w:pPr>
              <w:spacing w:after="0"/>
              <w:rPr>
                <w:sz w:val="18"/>
                <w:szCs w:val="18"/>
                <w:color w:val="auto"/>
              </w:rPr>
            </w:pPr>
          </w:p>
        </w:tc>
        <w:tc>
          <w:tcPr>
            <w:tcW w:w="276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3,307,124</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January 2023</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0.83</w:t>
            </w:r>
          </w:p>
        </w:tc>
        <w:tc>
          <w:tcPr>
            <w:tcW w:w="2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0.40</w:t>
            </w:r>
          </w:p>
        </w:tc>
        <w:tc>
          <w:tcPr>
            <w:tcW w:w="200" w:type="dxa"/>
            <w:vAlign w:val="bottom"/>
          </w:tcPr>
          <w:p>
            <w:pPr>
              <w:spacing w:after="0"/>
              <w:rPr>
                <w:sz w:val="18"/>
                <w:szCs w:val="18"/>
                <w:color w:val="auto"/>
              </w:rPr>
            </w:pPr>
          </w:p>
        </w:tc>
        <w:tc>
          <w:tcPr>
            <w:tcW w:w="2760" w:type="dxa"/>
            <w:vAlign w:val="bottom"/>
          </w:tcPr>
          <w:p>
            <w:pPr>
              <w:ind w:left="1020"/>
              <w:spacing w:after="0"/>
              <w:rPr>
                <w:sz w:val="20"/>
                <w:szCs w:val="20"/>
                <w:color w:val="auto"/>
              </w:rPr>
            </w:pPr>
            <w:r>
              <w:rPr>
                <w:rFonts w:ascii="Arial" w:cs="Arial" w:eastAsia="Arial" w:hAnsi="Arial"/>
                <w:sz w:val="18"/>
                <w:szCs w:val="18"/>
                <w:color w:val="auto"/>
              </w:rPr>
              <w:t>4,313,804</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February 2023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0.82</w:t>
            </w:r>
          </w:p>
        </w:tc>
        <w:tc>
          <w:tcPr>
            <w:tcW w:w="200" w:type="dxa"/>
            <w:vAlign w:val="bottom"/>
            <w:shd w:val="clear" w:color="auto" w:fill="E6EFFF"/>
          </w:tcPr>
          <w:p>
            <w:pPr>
              <w:spacing w:after="0"/>
              <w:rPr>
                <w:sz w:val="18"/>
                <w:szCs w:val="18"/>
                <w:color w:val="auto"/>
              </w:rPr>
            </w:pP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0.52</w:t>
            </w:r>
          </w:p>
        </w:tc>
        <w:tc>
          <w:tcPr>
            <w:tcW w:w="200" w:type="dxa"/>
            <w:vAlign w:val="bottom"/>
            <w:shd w:val="clear" w:color="auto" w:fill="E6EFFF"/>
          </w:tcPr>
          <w:p>
            <w:pPr>
              <w:spacing w:after="0"/>
              <w:rPr>
                <w:sz w:val="18"/>
                <w:szCs w:val="18"/>
                <w:color w:val="auto"/>
              </w:rPr>
            </w:pPr>
          </w:p>
        </w:tc>
        <w:tc>
          <w:tcPr>
            <w:tcW w:w="276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4,039,711</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March 2023</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0.69</w:t>
            </w:r>
          </w:p>
        </w:tc>
        <w:tc>
          <w:tcPr>
            <w:tcW w:w="2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0.48</w:t>
            </w:r>
          </w:p>
        </w:tc>
        <w:tc>
          <w:tcPr>
            <w:tcW w:w="200" w:type="dxa"/>
            <w:vAlign w:val="bottom"/>
          </w:tcPr>
          <w:p>
            <w:pPr>
              <w:spacing w:after="0"/>
              <w:rPr>
                <w:sz w:val="18"/>
                <w:szCs w:val="18"/>
                <w:color w:val="auto"/>
              </w:rPr>
            </w:pPr>
          </w:p>
        </w:tc>
        <w:tc>
          <w:tcPr>
            <w:tcW w:w="2760" w:type="dxa"/>
            <w:vAlign w:val="bottom"/>
          </w:tcPr>
          <w:p>
            <w:pPr>
              <w:ind w:left="1020"/>
              <w:spacing w:after="0"/>
              <w:rPr>
                <w:sz w:val="20"/>
                <w:szCs w:val="20"/>
                <w:color w:val="auto"/>
              </w:rPr>
            </w:pPr>
            <w:r>
              <w:rPr>
                <w:rFonts w:ascii="Arial" w:cs="Arial" w:eastAsia="Arial" w:hAnsi="Arial"/>
                <w:sz w:val="18"/>
                <w:szCs w:val="18"/>
                <w:color w:val="auto"/>
              </w:rPr>
              <w:t>3,147,215</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April 2023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0.55</w:t>
            </w:r>
          </w:p>
        </w:tc>
        <w:tc>
          <w:tcPr>
            <w:tcW w:w="200" w:type="dxa"/>
            <w:vAlign w:val="bottom"/>
            <w:shd w:val="clear" w:color="auto" w:fill="E6EFFF"/>
          </w:tcPr>
          <w:p>
            <w:pPr>
              <w:spacing w:after="0"/>
              <w:rPr>
                <w:sz w:val="18"/>
                <w:szCs w:val="18"/>
                <w:color w:val="auto"/>
              </w:rPr>
            </w:pP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0.40</w:t>
            </w:r>
          </w:p>
        </w:tc>
        <w:tc>
          <w:tcPr>
            <w:tcW w:w="200" w:type="dxa"/>
            <w:vAlign w:val="bottom"/>
            <w:shd w:val="clear" w:color="auto" w:fill="E6EFFF"/>
          </w:tcPr>
          <w:p>
            <w:pPr>
              <w:spacing w:after="0"/>
              <w:rPr>
                <w:sz w:val="18"/>
                <w:szCs w:val="18"/>
                <w:color w:val="auto"/>
              </w:rPr>
            </w:pPr>
          </w:p>
        </w:tc>
        <w:tc>
          <w:tcPr>
            <w:tcW w:w="276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1,906,116</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May 2023</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0.46</w:t>
            </w:r>
          </w:p>
        </w:tc>
        <w:tc>
          <w:tcPr>
            <w:tcW w:w="2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0.35</w:t>
            </w:r>
          </w:p>
        </w:tc>
        <w:tc>
          <w:tcPr>
            <w:tcW w:w="200" w:type="dxa"/>
            <w:vAlign w:val="bottom"/>
          </w:tcPr>
          <w:p>
            <w:pPr>
              <w:spacing w:after="0"/>
              <w:rPr>
                <w:sz w:val="18"/>
                <w:szCs w:val="18"/>
                <w:color w:val="auto"/>
              </w:rPr>
            </w:pPr>
          </w:p>
        </w:tc>
        <w:tc>
          <w:tcPr>
            <w:tcW w:w="2760" w:type="dxa"/>
            <w:vAlign w:val="bottom"/>
          </w:tcPr>
          <w:p>
            <w:pPr>
              <w:ind w:left="1020"/>
              <w:spacing w:after="0"/>
              <w:rPr>
                <w:sz w:val="20"/>
                <w:szCs w:val="20"/>
                <w:color w:val="auto"/>
              </w:rPr>
            </w:pPr>
            <w:r>
              <w:rPr>
                <w:rFonts w:ascii="Arial" w:cs="Arial" w:eastAsia="Arial" w:hAnsi="Arial"/>
                <w:sz w:val="18"/>
                <w:szCs w:val="18"/>
                <w:color w:val="auto"/>
              </w:rPr>
              <w:t>1,899,880</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June 2023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0.52</w:t>
            </w:r>
          </w:p>
        </w:tc>
        <w:tc>
          <w:tcPr>
            <w:tcW w:w="200" w:type="dxa"/>
            <w:vAlign w:val="bottom"/>
            <w:shd w:val="clear" w:color="auto" w:fill="E6EFFF"/>
          </w:tcPr>
          <w:p>
            <w:pPr>
              <w:spacing w:after="0"/>
              <w:rPr>
                <w:sz w:val="18"/>
                <w:szCs w:val="18"/>
                <w:color w:val="auto"/>
              </w:rPr>
            </w:pP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0.30</w:t>
            </w:r>
          </w:p>
        </w:tc>
        <w:tc>
          <w:tcPr>
            <w:tcW w:w="200" w:type="dxa"/>
            <w:vAlign w:val="bottom"/>
            <w:shd w:val="clear" w:color="auto" w:fill="E6EFFF"/>
          </w:tcPr>
          <w:p>
            <w:pPr>
              <w:spacing w:after="0"/>
              <w:rPr>
                <w:sz w:val="18"/>
                <w:szCs w:val="18"/>
                <w:color w:val="auto"/>
              </w:rPr>
            </w:pPr>
          </w:p>
        </w:tc>
        <w:tc>
          <w:tcPr>
            <w:tcW w:w="276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3,778,524</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July 2023</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0.70</w:t>
            </w:r>
          </w:p>
        </w:tc>
        <w:tc>
          <w:tcPr>
            <w:tcW w:w="2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0.49</w:t>
            </w:r>
          </w:p>
        </w:tc>
        <w:tc>
          <w:tcPr>
            <w:tcW w:w="200" w:type="dxa"/>
            <w:vAlign w:val="bottom"/>
          </w:tcPr>
          <w:p>
            <w:pPr>
              <w:spacing w:after="0"/>
              <w:rPr>
                <w:sz w:val="18"/>
                <w:szCs w:val="18"/>
                <w:color w:val="auto"/>
              </w:rPr>
            </w:pPr>
          </w:p>
        </w:tc>
        <w:tc>
          <w:tcPr>
            <w:tcW w:w="2760" w:type="dxa"/>
            <w:vAlign w:val="bottom"/>
          </w:tcPr>
          <w:p>
            <w:pPr>
              <w:ind w:left="1020"/>
              <w:spacing w:after="0"/>
              <w:rPr>
                <w:sz w:val="20"/>
                <w:szCs w:val="20"/>
                <w:color w:val="auto"/>
              </w:rPr>
            </w:pPr>
            <w:r>
              <w:rPr>
                <w:rFonts w:ascii="Arial" w:cs="Arial" w:eastAsia="Arial" w:hAnsi="Arial"/>
                <w:sz w:val="18"/>
                <w:szCs w:val="18"/>
                <w:color w:val="auto"/>
              </w:rPr>
              <w:t>4,373,988</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August (1-22) 2023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0.48</w:t>
            </w:r>
          </w:p>
        </w:tc>
        <w:tc>
          <w:tcPr>
            <w:tcW w:w="200" w:type="dxa"/>
            <w:vAlign w:val="bottom"/>
            <w:shd w:val="clear" w:color="auto" w:fill="E6EFFF"/>
          </w:tcPr>
          <w:p>
            <w:pPr>
              <w:spacing w:after="0"/>
              <w:rPr>
                <w:sz w:val="18"/>
                <w:szCs w:val="18"/>
                <w:color w:val="auto"/>
              </w:rPr>
            </w:pP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0.36</w:t>
            </w:r>
          </w:p>
        </w:tc>
        <w:tc>
          <w:tcPr>
            <w:tcW w:w="200" w:type="dxa"/>
            <w:vAlign w:val="bottom"/>
            <w:shd w:val="clear" w:color="auto" w:fill="E6EFFF"/>
          </w:tcPr>
          <w:p>
            <w:pPr>
              <w:spacing w:after="0"/>
              <w:rPr>
                <w:sz w:val="18"/>
                <w:szCs w:val="18"/>
                <w:color w:val="auto"/>
              </w:rPr>
            </w:pPr>
          </w:p>
        </w:tc>
        <w:tc>
          <w:tcPr>
            <w:tcW w:w="2760" w:type="dxa"/>
            <w:vAlign w:val="bottom"/>
            <w:shd w:val="clear" w:color="auto" w:fill="E6EFFF"/>
          </w:tcPr>
          <w:p>
            <w:pPr>
              <w:ind w:left="1020"/>
              <w:spacing w:after="0"/>
              <w:rPr>
                <w:sz w:val="20"/>
                <w:szCs w:val="20"/>
                <w:color w:val="auto"/>
              </w:rPr>
            </w:pPr>
            <w:r>
              <w:rPr>
                <w:rFonts w:ascii="Arial" w:cs="Arial" w:eastAsia="Arial" w:hAnsi="Arial"/>
                <w:sz w:val="18"/>
                <w:szCs w:val="18"/>
                <w:color w:val="auto"/>
              </w:rPr>
              <w:t>2,030,858</w:t>
            </w:r>
          </w:p>
        </w:tc>
      </w:tr>
    </w:tbl>
    <w:p>
      <w:pPr>
        <w:spacing w:after="0" w:line="189"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w:t>
      </w:r>
      <w:r>
        <w:rPr>
          <w:rFonts w:ascii="Arial" w:cs="Arial" w:eastAsia="Arial" w:hAnsi="Arial"/>
          <w:sz w:val="22"/>
          <w:szCs w:val="22"/>
          <w:color w:val="auto"/>
        </w:rPr>
        <w:t>:</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(1) Source: NEO as of the date of this Prospectus Supplement.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August 22, 2023, being the last day on which the Common Shares traded prior to the date of this Prospectus Supplement, the closing price of the Common Shares as reported on the NEO was $0.42.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NYSE American Price Range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820" w:type="dxa"/>
            <w:vAlign w:val="bottom"/>
            <w:gridSpan w:val="2"/>
          </w:tcPr>
          <w:p>
            <w:pPr>
              <w:ind w:left="1060"/>
              <w:spacing w:after="0"/>
              <w:rPr>
                <w:sz w:val="20"/>
                <w:szCs w:val="20"/>
                <w:color w:val="auto"/>
              </w:rPr>
            </w:pPr>
            <w:r>
              <w:rPr>
                <w:rFonts w:ascii="Arial" w:cs="Arial" w:eastAsia="Arial" w:hAnsi="Arial"/>
                <w:sz w:val="18"/>
                <w:szCs w:val="18"/>
                <w:b w:val="1"/>
                <w:bCs w:val="1"/>
                <w:color w:val="auto"/>
              </w:rPr>
              <w:t>Month</w:t>
            </w:r>
          </w:p>
        </w:tc>
        <w:tc>
          <w:tcPr>
            <w:tcW w:w="2840" w:type="dxa"/>
            <w:vAlign w:val="bottom"/>
            <w:gridSpan w:val="2"/>
          </w:tcPr>
          <w:p>
            <w:pPr>
              <w:ind w:left="800"/>
              <w:spacing w:after="0"/>
              <w:rPr>
                <w:sz w:val="20"/>
                <w:szCs w:val="20"/>
                <w:color w:val="auto"/>
              </w:rPr>
            </w:pPr>
            <w:r>
              <w:rPr>
                <w:rFonts w:ascii="Arial" w:cs="Arial" w:eastAsia="Arial" w:hAnsi="Arial"/>
                <w:sz w:val="18"/>
                <w:szCs w:val="18"/>
                <w:b w:val="1"/>
                <w:bCs w:val="1"/>
                <w:color w:val="auto"/>
              </w:rPr>
              <w:t xml:space="preserve">High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2820" w:type="dxa"/>
            <w:vAlign w:val="bottom"/>
            <w:gridSpan w:val="2"/>
          </w:tcPr>
          <w:p>
            <w:pPr>
              <w:ind w:left="820"/>
              <w:spacing w:after="0"/>
              <w:rPr>
                <w:sz w:val="20"/>
                <w:szCs w:val="20"/>
                <w:color w:val="auto"/>
              </w:rPr>
            </w:pPr>
            <w:r>
              <w:rPr>
                <w:rFonts w:ascii="Arial" w:cs="Arial" w:eastAsia="Arial" w:hAnsi="Arial"/>
                <w:sz w:val="18"/>
                <w:szCs w:val="18"/>
                <w:b w:val="1"/>
                <w:bCs w:val="1"/>
                <w:color w:val="auto"/>
              </w:rPr>
              <w:t xml:space="preserve">Low </w:t>
            </w:r>
            <w:r>
              <w:rPr>
                <w:rFonts w:ascii="Arial" w:cs="Arial" w:eastAsia="Arial" w:hAnsi="Arial"/>
                <w:sz w:val="18"/>
                <w:szCs w:val="18"/>
                <w:color w:val="auto"/>
              </w:rPr>
              <w:t>(US$)</w:t>
            </w:r>
            <w:r>
              <w:rPr>
                <w:rFonts w:ascii="Arial" w:cs="Arial" w:eastAsia="Arial" w:hAnsi="Arial"/>
                <w:sz w:val="29"/>
                <w:szCs w:val="29"/>
                <w:b w:val="1"/>
                <w:bCs w:val="1"/>
                <w:color w:val="auto"/>
                <w:vertAlign w:val="superscript"/>
              </w:rPr>
              <w:t>(1)</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5"/>
              </w:rPr>
              <w:t>Volume</w:t>
            </w:r>
            <w:r>
              <w:rPr>
                <w:rFonts w:ascii="Arial" w:cs="Arial" w:eastAsia="Arial" w:hAnsi="Arial"/>
                <w:sz w:val="29"/>
                <w:szCs w:val="29"/>
                <w:b w:val="1"/>
                <w:bCs w:val="1"/>
                <w:color w:val="auto"/>
                <w:w w:val="85"/>
                <w:vertAlign w:val="superscript"/>
              </w:rPr>
              <w:t>(1)</w:t>
            </w:r>
          </w:p>
        </w:tc>
      </w:tr>
      <w:tr>
        <w:trPr>
          <w:trHeight w:val="209"/>
        </w:trPr>
        <w:tc>
          <w:tcPr>
            <w:tcW w:w="2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August 2022</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1.14</w:t>
            </w:r>
          </w:p>
        </w:tc>
        <w:tc>
          <w:tcPr>
            <w:tcW w:w="200" w:type="dxa"/>
            <w:vAlign w:val="bottom"/>
            <w:shd w:val="clear" w:color="auto" w:fill="E6EFFF"/>
          </w:tcPr>
          <w:p>
            <w:pPr>
              <w:spacing w:after="0"/>
              <w:rPr>
                <w:sz w:val="18"/>
                <w:szCs w:val="18"/>
                <w:color w:val="auto"/>
              </w:rPr>
            </w:pP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0.58</w:t>
            </w:r>
          </w:p>
        </w:tc>
        <w:tc>
          <w:tcPr>
            <w:tcW w:w="180" w:type="dxa"/>
            <w:vAlign w:val="bottom"/>
            <w:shd w:val="clear" w:color="auto" w:fill="E6EFFF"/>
          </w:tcPr>
          <w:p>
            <w:pPr>
              <w:spacing w:after="0"/>
              <w:rPr>
                <w:sz w:val="18"/>
                <w:szCs w:val="18"/>
                <w:color w:val="auto"/>
              </w:rPr>
            </w:pPr>
          </w:p>
        </w:tc>
        <w:tc>
          <w:tcPr>
            <w:tcW w:w="27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37,402,882</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September 2022</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1.14</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0.47</w:t>
            </w:r>
          </w:p>
        </w:tc>
        <w:tc>
          <w:tcPr>
            <w:tcW w:w="18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8"/>
              </w:rPr>
              <w:t>25,585,300</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October 2022</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0.655</w:t>
            </w:r>
          </w:p>
        </w:tc>
        <w:tc>
          <w:tcPr>
            <w:tcW w:w="200" w:type="dxa"/>
            <w:vAlign w:val="bottom"/>
            <w:shd w:val="clear" w:color="auto" w:fill="E6EFFF"/>
          </w:tcPr>
          <w:p>
            <w:pPr>
              <w:spacing w:after="0"/>
              <w:rPr>
                <w:sz w:val="18"/>
                <w:szCs w:val="18"/>
                <w:color w:val="auto"/>
              </w:rPr>
            </w:pP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0.445</w:t>
            </w:r>
          </w:p>
        </w:tc>
        <w:tc>
          <w:tcPr>
            <w:tcW w:w="180" w:type="dxa"/>
            <w:vAlign w:val="bottom"/>
            <w:shd w:val="clear" w:color="auto" w:fill="E6EFFF"/>
          </w:tcPr>
          <w:p>
            <w:pPr>
              <w:spacing w:after="0"/>
              <w:rPr>
                <w:sz w:val="18"/>
                <w:szCs w:val="18"/>
                <w:color w:val="auto"/>
              </w:rPr>
            </w:pPr>
          </w:p>
        </w:tc>
        <w:tc>
          <w:tcPr>
            <w:tcW w:w="27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18,602,731</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November 2022</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0.4839</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0.36</w:t>
            </w:r>
          </w:p>
        </w:tc>
        <w:tc>
          <w:tcPr>
            <w:tcW w:w="18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8"/>
              </w:rPr>
              <w:t>19,969,352</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December 2022</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0.3888</w:t>
            </w:r>
          </w:p>
        </w:tc>
        <w:tc>
          <w:tcPr>
            <w:tcW w:w="200" w:type="dxa"/>
            <w:vAlign w:val="bottom"/>
            <w:shd w:val="clear" w:color="auto" w:fill="E6EFFF"/>
          </w:tcPr>
          <w:p>
            <w:pPr>
              <w:spacing w:after="0"/>
              <w:rPr>
                <w:sz w:val="18"/>
                <w:szCs w:val="18"/>
                <w:color w:val="auto"/>
              </w:rPr>
            </w:pP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0.2649</w:t>
            </w:r>
          </w:p>
        </w:tc>
        <w:tc>
          <w:tcPr>
            <w:tcW w:w="180" w:type="dxa"/>
            <w:vAlign w:val="bottom"/>
            <w:shd w:val="clear" w:color="auto" w:fill="E6EFFF"/>
          </w:tcPr>
          <w:p>
            <w:pPr>
              <w:spacing w:after="0"/>
              <w:rPr>
                <w:sz w:val="18"/>
                <w:szCs w:val="18"/>
                <w:color w:val="auto"/>
              </w:rPr>
            </w:pPr>
          </w:p>
        </w:tc>
        <w:tc>
          <w:tcPr>
            <w:tcW w:w="27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23,739,104</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January 2023</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0.62</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0.2971</w:t>
            </w:r>
          </w:p>
        </w:tc>
        <w:tc>
          <w:tcPr>
            <w:tcW w:w="18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8"/>
              </w:rPr>
              <w:t>38,677,475</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February 2023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0.60</w:t>
            </w:r>
          </w:p>
        </w:tc>
        <w:tc>
          <w:tcPr>
            <w:tcW w:w="200" w:type="dxa"/>
            <w:vAlign w:val="bottom"/>
            <w:shd w:val="clear" w:color="auto" w:fill="E6EFFF"/>
          </w:tcPr>
          <w:p>
            <w:pPr>
              <w:spacing w:after="0"/>
              <w:rPr>
                <w:sz w:val="18"/>
                <w:szCs w:val="18"/>
                <w:color w:val="auto"/>
              </w:rPr>
            </w:pP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0.385</w:t>
            </w:r>
          </w:p>
        </w:tc>
        <w:tc>
          <w:tcPr>
            <w:tcW w:w="180" w:type="dxa"/>
            <w:vAlign w:val="bottom"/>
            <w:shd w:val="clear" w:color="auto" w:fill="E6EFFF"/>
          </w:tcPr>
          <w:p>
            <w:pPr>
              <w:spacing w:after="0"/>
              <w:rPr>
                <w:sz w:val="18"/>
                <w:szCs w:val="18"/>
                <w:color w:val="auto"/>
              </w:rPr>
            </w:pPr>
          </w:p>
        </w:tc>
        <w:tc>
          <w:tcPr>
            <w:tcW w:w="27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35,754,753</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March 2023</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0.50</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0.35</w:t>
            </w:r>
          </w:p>
        </w:tc>
        <w:tc>
          <w:tcPr>
            <w:tcW w:w="18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8"/>
              </w:rPr>
              <w:t>28,943,897</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April 2023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7"/>
              </w:rPr>
              <w:t>0.4046</w:t>
            </w:r>
          </w:p>
        </w:tc>
        <w:tc>
          <w:tcPr>
            <w:tcW w:w="200" w:type="dxa"/>
            <w:vAlign w:val="bottom"/>
            <w:shd w:val="clear" w:color="auto" w:fill="E6EFFF"/>
          </w:tcPr>
          <w:p>
            <w:pPr>
              <w:spacing w:after="0"/>
              <w:rPr>
                <w:sz w:val="18"/>
                <w:szCs w:val="18"/>
                <w:color w:val="auto"/>
              </w:rPr>
            </w:pP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0.29</w:t>
            </w:r>
          </w:p>
        </w:tc>
        <w:tc>
          <w:tcPr>
            <w:tcW w:w="180" w:type="dxa"/>
            <w:vAlign w:val="bottom"/>
            <w:shd w:val="clear" w:color="auto" w:fill="E6EFFF"/>
          </w:tcPr>
          <w:p>
            <w:pPr>
              <w:spacing w:after="0"/>
              <w:rPr>
                <w:sz w:val="18"/>
                <w:szCs w:val="18"/>
                <w:color w:val="auto"/>
              </w:rPr>
            </w:pPr>
          </w:p>
        </w:tc>
        <w:tc>
          <w:tcPr>
            <w:tcW w:w="27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18,366,468</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May 2023</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0.3466</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0.2552</w:t>
            </w:r>
          </w:p>
        </w:tc>
        <w:tc>
          <w:tcPr>
            <w:tcW w:w="18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8"/>
              </w:rPr>
              <w:t>26,443,776</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June 2023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0.39</w:t>
            </w:r>
          </w:p>
        </w:tc>
        <w:tc>
          <w:tcPr>
            <w:tcW w:w="200" w:type="dxa"/>
            <w:vAlign w:val="bottom"/>
            <w:shd w:val="clear" w:color="auto" w:fill="E6EFFF"/>
          </w:tcPr>
          <w:p>
            <w:pPr>
              <w:spacing w:after="0"/>
              <w:rPr>
                <w:sz w:val="18"/>
                <w:szCs w:val="18"/>
                <w:color w:val="auto"/>
              </w:rPr>
            </w:pP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0.21</w:t>
            </w:r>
          </w:p>
        </w:tc>
        <w:tc>
          <w:tcPr>
            <w:tcW w:w="180" w:type="dxa"/>
            <w:vAlign w:val="bottom"/>
            <w:shd w:val="clear" w:color="auto" w:fill="E6EFFF"/>
          </w:tcPr>
          <w:p>
            <w:pPr>
              <w:spacing w:after="0"/>
              <w:rPr>
                <w:sz w:val="18"/>
                <w:szCs w:val="18"/>
                <w:color w:val="auto"/>
              </w:rPr>
            </w:pPr>
          </w:p>
        </w:tc>
        <w:tc>
          <w:tcPr>
            <w:tcW w:w="27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49,472,709</w:t>
            </w:r>
          </w:p>
        </w:tc>
      </w:tr>
      <w:tr>
        <w:trPr>
          <w:trHeight w:val="216"/>
        </w:trPr>
        <w:tc>
          <w:tcPr>
            <w:tcW w:w="2820" w:type="dxa"/>
            <w:vAlign w:val="bottom"/>
            <w:gridSpan w:val="2"/>
          </w:tcPr>
          <w:p>
            <w:pPr>
              <w:ind w:left="80"/>
              <w:spacing w:after="0"/>
              <w:rPr>
                <w:sz w:val="20"/>
                <w:szCs w:val="20"/>
                <w:color w:val="auto"/>
              </w:rPr>
            </w:pPr>
            <w:r>
              <w:rPr>
                <w:rFonts w:ascii="Arial" w:cs="Arial" w:eastAsia="Arial" w:hAnsi="Arial"/>
                <w:sz w:val="18"/>
                <w:szCs w:val="18"/>
                <w:color w:val="auto"/>
              </w:rPr>
              <w:t>July 2023</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0.53</w:t>
            </w:r>
          </w:p>
        </w:tc>
        <w:tc>
          <w:tcPr>
            <w:tcW w:w="2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0.3689</w:t>
            </w:r>
          </w:p>
        </w:tc>
        <w:tc>
          <w:tcPr>
            <w:tcW w:w="18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8"/>
              </w:rPr>
              <w:t>54,877,677</w:t>
            </w:r>
          </w:p>
        </w:tc>
      </w:tr>
      <w:tr>
        <w:trPr>
          <w:trHeight w:val="216"/>
        </w:trPr>
        <w:tc>
          <w:tcPr>
            <w:tcW w:w="2820" w:type="dxa"/>
            <w:vAlign w:val="bottom"/>
            <w:gridSpan w:val="2"/>
            <w:shd w:val="clear" w:color="auto" w:fill="E6EFFF"/>
          </w:tcPr>
          <w:p>
            <w:pPr>
              <w:ind w:left="80"/>
              <w:spacing w:after="0"/>
              <w:rPr>
                <w:sz w:val="20"/>
                <w:szCs w:val="20"/>
                <w:color w:val="auto"/>
              </w:rPr>
            </w:pPr>
            <w:r>
              <w:rPr>
                <w:rFonts w:ascii="Arial" w:cs="Arial" w:eastAsia="Arial" w:hAnsi="Arial"/>
                <w:sz w:val="18"/>
                <w:szCs w:val="18"/>
                <w:color w:val="auto"/>
              </w:rPr>
              <w:t>August (1-22) 2023</w:t>
            </w: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0.37</w:t>
            </w:r>
          </w:p>
        </w:tc>
        <w:tc>
          <w:tcPr>
            <w:tcW w:w="200" w:type="dxa"/>
            <w:vAlign w:val="bottom"/>
            <w:shd w:val="clear" w:color="auto" w:fill="E6EFFF"/>
          </w:tcPr>
          <w:p>
            <w:pPr>
              <w:spacing w:after="0"/>
              <w:rPr>
                <w:sz w:val="18"/>
                <w:szCs w:val="18"/>
                <w:color w:val="auto"/>
              </w:rPr>
            </w:pPr>
          </w:p>
        </w:tc>
        <w:tc>
          <w:tcPr>
            <w:tcW w:w="26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0.275</w:t>
            </w:r>
          </w:p>
        </w:tc>
        <w:tc>
          <w:tcPr>
            <w:tcW w:w="180" w:type="dxa"/>
            <w:vAlign w:val="bottom"/>
            <w:shd w:val="clear" w:color="auto" w:fill="E6EFFF"/>
          </w:tcPr>
          <w:p>
            <w:pPr>
              <w:spacing w:after="0"/>
              <w:rPr>
                <w:sz w:val="18"/>
                <w:szCs w:val="18"/>
                <w:color w:val="auto"/>
              </w:rPr>
            </w:pPr>
          </w:p>
        </w:tc>
        <w:tc>
          <w:tcPr>
            <w:tcW w:w="276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53,948,226</w:t>
            </w:r>
          </w:p>
        </w:tc>
      </w:tr>
    </w:tbl>
    <w:p>
      <w:pPr>
        <w:spacing w:after="0" w:line="189" w:lineRule="exact"/>
        <w:rPr>
          <w:sz w:val="20"/>
          <w:szCs w:val="20"/>
          <w:color w:val="auto"/>
        </w:rPr>
      </w:pPr>
    </w:p>
    <w:p>
      <w:pPr>
        <w:ind w:left="400"/>
        <w:spacing w:after="0"/>
        <w:rPr>
          <w:sz w:val="20"/>
          <w:szCs w:val="20"/>
          <w:color w:val="auto"/>
        </w:rPr>
      </w:pPr>
      <w:r>
        <w:rPr>
          <w:rFonts w:ascii="Arial" w:cs="Arial" w:eastAsia="Arial" w:hAnsi="Arial"/>
          <w:sz w:val="22"/>
          <w:szCs w:val="22"/>
          <w:b w:val="1"/>
          <w:bCs w:val="1"/>
          <w:u w:val="single" w:color="auto"/>
          <w:color w:val="auto"/>
        </w:rPr>
        <w:t>Note</w:t>
      </w:r>
      <w:r>
        <w:rPr>
          <w:rFonts w:ascii="Arial" w:cs="Arial" w:eastAsia="Arial" w:hAnsi="Arial"/>
          <w:sz w:val="22"/>
          <w:szCs w:val="22"/>
          <w:color w:val="auto"/>
        </w:rPr>
        <w:t>:</w:t>
      </w:r>
    </w:p>
    <w:p>
      <w:pPr>
        <w:spacing w:after="0" w:line="1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(1) Source: The NYSE American as of the date of this Prospectus Supplement.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On August 22, 2023, being the last day on which the Common Shares traded prior to the date of this Prospectus Supplement, the closing price of the Common Shares as reported on the NYSE American was US$0.31.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 SALES</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6"/>
              </w:rPr>
              <w:t>Issuance / Exercise</w:t>
            </w:r>
          </w:p>
        </w:tc>
      </w:tr>
      <w:tr>
        <w:trPr>
          <w:trHeight w:val="270"/>
        </w:trPr>
        <w:tc>
          <w:tcPr>
            <w:tcW w:w="2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Date of Issuance</w:t>
            </w:r>
          </w:p>
        </w:tc>
        <w:tc>
          <w:tcPr>
            <w:tcW w:w="2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Securities Issued</w:t>
            </w:r>
          </w:p>
        </w:tc>
        <w:tc>
          <w:tcPr>
            <w:tcW w:w="2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Type</w:t>
            </w:r>
          </w:p>
        </w:tc>
        <w:tc>
          <w:tcPr>
            <w:tcW w:w="268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90"/>
              </w:rPr>
              <w:t>Price Per Security (CAD)</w:t>
            </w:r>
            <w:r>
              <w:rPr>
                <w:rFonts w:ascii="Arial" w:cs="Arial" w:eastAsia="Arial" w:hAnsi="Arial"/>
                <w:sz w:val="29"/>
                <w:szCs w:val="29"/>
                <w:b w:val="1"/>
                <w:bCs w:val="1"/>
                <w:color w:val="auto"/>
                <w:w w:val="90"/>
                <w:vertAlign w:val="superscript"/>
              </w:rPr>
              <w:t>(1)</w:t>
            </w:r>
          </w:p>
        </w:tc>
      </w:tr>
      <w:tr>
        <w:trPr>
          <w:trHeight w:val="210"/>
        </w:trPr>
        <w:tc>
          <w:tcPr>
            <w:tcW w:w="2740" w:type="dxa"/>
            <w:vAlign w:val="bottom"/>
            <w:tcBorders>
              <w:top w:val="single" w:sz="8" w:color="auto"/>
            </w:tcBorders>
            <w:shd w:val="clear" w:color="auto" w:fill="E6EFFF"/>
          </w:tcPr>
          <w:p>
            <w:pPr>
              <w:jc w:val="center"/>
              <w:spacing w:after="0"/>
              <w:rPr>
                <w:sz w:val="20"/>
                <w:szCs w:val="20"/>
                <w:color w:val="auto"/>
              </w:rPr>
            </w:pPr>
            <w:r>
              <w:rPr>
                <w:rFonts w:ascii="Arial" w:cs="Arial" w:eastAsia="Arial" w:hAnsi="Arial"/>
                <w:sz w:val="18"/>
                <w:szCs w:val="18"/>
                <w:color w:val="auto"/>
                <w:w w:val="91"/>
              </w:rPr>
              <w:t>August 15, 2022</w:t>
            </w:r>
          </w:p>
        </w:tc>
        <w:tc>
          <w:tcPr>
            <w:tcW w:w="200" w:type="dxa"/>
            <w:vAlign w:val="bottom"/>
            <w:tcBorders>
              <w:top w:val="single" w:sz="8" w:color="E6EFFF"/>
            </w:tcBorders>
            <w:shd w:val="clear" w:color="auto" w:fill="E6EFFF"/>
          </w:tcPr>
          <w:p>
            <w:pPr>
              <w:spacing w:after="0"/>
              <w:rPr>
                <w:sz w:val="18"/>
                <w:szCs w:val="18"/>
                <w:color w:val="auto"/>
              </w:rPr>
            </w:pPr>
          </w:p>
        </w:tc>
        <w:tc>
          <w:tcPr>
            <w:tcW w:w="2620" w:type="dxa"/>
            <w:vAlign w:val="bottom"/>
            <w:tcBorders>
              <w:top w:val="single" w:sz="8" w:color="auto"/>
            </w:tcBorders>
            <w:shd w:val="clear" w:color="auto" w:fill="E6EFFF"/>
          </w:tcPr>
          <w:p>
            <w:pPr>
              <w:jc w:val="center"/>
              <w:spacing w:after="0"/>
              <w:rPr>
                <w:sz w:val="20"/>
                <w:szCs w:val="20"/>
                <w:color w:val="auto"/>
              </w:rPr>
            </w:pPr>
            <w:r>
              <w:rPr>
                <w:rFonts w:ascii="Arial" w:cs="Arial" w:eastAsia="Arial" w:hAnsi="Arial"/>
                <w:sz w:val="18"/>
                <w:szCs w:val="18"/>
                <w:color w:val="auto"/>
                <w:w w:val="89"/>
              </w:rPr>
              <w:t>820,000</w:t>
            </w:r>
          </w:p>
        </w:tc>
        <w:tc>
          <w:tcPr>
            <w:tcW w:w="200" w:type="dxa"/>
            <w:vAlign w:val="bottom"/>
            <w:tcBorders>
              <w:top w:val="single" w:sz="8" w:color="E6EFFF"/>
            </w:tcBorders>
            <w:shd w:val="clear" w:color="auto" w:fill="E6EFFF"/>
          </w:tcPr>
          <w:p>
            <w:pPr>
              <w:spacing w:after="0"/>
              <w:rPr>
                <w:sz w:val="18"/>
                <w:szCs w:val="18"/>
                <w:color w:val="auto"/>
              </w:rPr>
            </w:pPr>
          </w:p>
        </w:tc>
        <w:tc>
          <w:tcPr>
            <w:tcW w:w="2620" w:type="dxa"/>
            <w:vAlign w:val="bottom"/>
            <w:tcBorders>
              <w:top w:val="single" w:sz="8" w:color="auto"/>
            </w:tcBorders>
            <w:shd w:val="clear" w:color="auto" w:fill="E6EFFF"/>
          </w:tcPr>
          <w:p>
            <w:pPr>
              <w:jc w:val="center"/>
              <w:spacing w:after="0"/>
              <w:rPr>
                <w:sz w:val="20"/>
                <w:szCs w:val="20"/>
                <w:color w:val="auto"/>
              </w:rPr>
            </w:pPr>
            <w:r>
              <w:rPr>
                <w:rFonts w:ascii="Arial" w:cs="Arial" w:eastAsia="Arial" w:hAnsi="Arial"/>
                <w:sz w:val="18"/>
                <w:szCs w:val="18"/>
                <w:color w:val="auto"/>
                <w:w w:val="93"/>
              </w:rPr>
              <w:t>Options</w:t>
            </w:r>
          </w:p>
        </w:tc>
        <w:tc>
          <w:tcPr>
            <w:tcW w:w="180" w:type="dxa"/>
            <w:vAlign w:val="bottom"/>
            <w:tcBorders>
              <w:top w:val="single" w:sz="8" w:color="E6EFFF"/>
            </w:tcBorders>
            <w:shd w:val="clear" w:color="auto" w:fill="E6EFFF"/>
          </w:tcPr>
          <w:p>
            <w:pPr>
              <w:spacing w:after="0"/>
              <w:rPr>
                <w:sz w:val="18"/>
                <w:szCs w:val="18"/>
                <w:color w:val="auto"/>
              </w:rPr>
            </w:pPr>
          </w:p>
        </w:tc>
        <w:tc>
          <w:tcPr>
            <w:tcW w:w="2680" w:type="dxa"/>
            <w:vAlign w:val="bottom"/>
            <w:tcBorders>
              <w:top w:val="single" w:sz="8" w:color="auto"/>
            </w:tcBorders>
            <w:shd w:val="clear" w:color="auto" w:fill="E6EFFF"/>
          </w:tcPr>
          <w:p>
            <w:pPr>
              <w:jc w:val="center"/>
              <w:spacing w:after="0"/>
              <w:rPr>
                <w:sz w:val="20"/>
                <w:szCs w:val="20"/>
                <w:color w:val="auto"/>
              </w:rPr>
            </w:pPr>
            <w:r>
              <w:rPr>
                <w:rFonts w:ascii="Arial" w:cs="Arial" w:eastAsia="Arial" w:hAnsi="Arial"/>
                <w:sz w:val="18"/>
                <w:szCs w:val="18"/>
                <w:color w:val="auto"/>
                <w:w w:val="88"/>
              </w:rPr>
              <w:t>$0.97</w:t>
            </w:r>
          </w:p>
        </w:tc>
      </w:tr>
      <w:tr>
        <w:trPr>
          <w:trHeight w:val="256"/>
        </w:trPr>
        <w:tc>
          <w:tcPr>
            <w:tcW w:w="2940" w:type="dxa"/>
            <w:vAlign w:val="bottom"/>
            <w:gridSpan w:val="2"/>
          </w:tcPr>
          <w:p>
            <w:pPr>
              <w:jc w:val="center"/>
              <w:ind w:right="180"/>
              <w:spacing w:after="0" w:line="256" w:lineRule="exact"/>
              <w:rPr>
                <w:sz w:val="20"/>
                <w:szCs w:val="20"/>
                <w:color w:val="auto"/>
              </w:rPr>
            </w:pPr>
            <w:r>
              <w:rPr>
                <w:rFonts w:ascii="Arial" w:cs="Arial" w:eastAsia="Arial" w:hAnsi="Arial"/>
                <w:sz w:val="18"/>
                <w:szCs w:val="18"/>
                <w:color w:val="auto"/>
                <w:w w:val="87"/>
              </w:rPr>
              <w:t>August 15, 2022</w:t>
            </w:r>
            <w:r>
              <w:rPr>
                <w:rFonts w:ascii="Arial" w:cs="Arial" w:eastAsia="Arial" w:hAnsi="Arial"/>
                <w:sz w:val="29"/>
                <w:szCs w:val="29"/>
                <w:color w:val="auto"/>
                <w:w w:val="87"/>
                <w:vertAlign w:val="superscript"/>
              </w:rPr>
              <w:t>(3)</w:t>
            </w: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130,200</w:t>
            </w:r>
          </w:p>
        </w:tc>
        <w:tc>
          <w:tcPr>
            <w:tcW w:w="200" w:type="dxa"/>
            <w:vAlign w:val="bottom"/>
          </w:tcPr>
          <w:p>
            <w:pPr>
              <w:spacing w:after="0"/>
              <w:rPr>
                <w:sz w:val="22"/>
                <w:szCs w:val="22"/>
                <w:color w:val="auto"/>
              </w:rPr>
            </w:pPr>
          </w:p>
        </w:tc>
        <w:tc>
          <w:tcPr>
            <w:tcW w:w="28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$1.11</w:t>
            </w:r>
          </w:p>
        </w:tc>
      </w:tr>
      <w:tr>
        <w:trPr>
          <w:trHeight w:val="257"/>
        </w:trPr>
        <w:tc>
          <w:tcPr>
            <w:tcW w:w="2940" w:type="dxa"/>
            <w:vAlign w:val="bottom"/>
            <w:gridSpan w:val="2"/>
            <w:shd w:val="clear" w:color="auto" w:fill="E6EFFF"/>
          </w:tcPr>
          <w:p>
            <w:pPr>
              <w:jc w:val="center"/>
              <w:ind w:right="180"/>
              <w:spacing w:after="0" w:line="256" w:lineRule="exact"/>
              <w:rPr>
                <w:sz w:val="20"/>
                <w:szCs w:val="20"/>
                <w:color w:val="auto"/>
              </w:rPr>
            </w:pPr>
            <w:r>
              <w:rPr>
                <w:rFonts w:ascii="Arial" w:cs="Arial" w:eastAsia="Arial" w:hAnsi="Arial"/>
                <w:sz w:val="18"/>
                <w:szCs w:val="18"/>
                <w:color w:val="auto"/>
                <w:w w:val="87"/>
              </w:rPr>
              <w:t>August 16, 2022</w:t>
            </w:r>
            <w:r>
              <w:rPr>
                <w:rFonts w:ascii="Arial" w:cs="Arial" w:eastAsia="Arial" w:hAnsi="Arial"/>
                <w:sz w:val="29"/>
                <w:szCs w:val="29"/>
                <w:color w:val="auto"/>
                <w:w w:val="87"/>
                <w:vertAlign w:val="superscript"/>
              </w:rPr>
              <w:t>(3)</w:t>
            </w: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100,000</w:t>
            </w:r>
          </w:p>
        </w:tc>
        <w:tc>
          <w:tcPr>
            <w:tcW w:w="200" w:type="dxa"/>
            <w:vAlign w:val="bottom"/>
            <w:shd w:val="clear" w:color="auto" w:fill="E6EFFF"/>
          </w:tcPr>
          <w:p>
            <w:pPr>
              <w:spacing w:after="0"/>
              <w:rPr>
                <w:sz w:val="22"/>
                <w:szCs w:val="22"/>
                <w:color w:val="auto"/>
              </w:rPr>
            </w:pPr>
          </w:p>
        </w:tc>
        <w:tc>
          <w:tcPr>
            <w:tcW w:w="2800" w:type="dxa"/>
            <w:vAlign w:val="bottom"/>
            <w:gridSpan w:val="2"/>
            <w:shd w:val="clear" w:color="auto" w:fill="E6EFFF"/>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$1.08</w:t>
            </w:r>
          </w:p>
        </w:tc>
      </w:tr>
      <w:tr>
        <w:trPr>
          <w:trHeight w:val="256"/>
        </w:trPr>
        <w:tc>
          <w:tcPr>
            <w:tcW w:w="2940" w:type="dxa"/>
            <w:vAlign w:val="bottom"/>
            <w:gridSpan w:val="2"/>
          </w:tcPr>
          <w:p>
            <w:pPr>
              <w:jc w:val="center"/>
              <w:ind w:right="180"/>
              <w:spacing w:after="0" w:line="256" w:lineRule="exact"/>
              <w:rPr>
                <w:sz w:val="20"/>
                <w:szCs w:val="20"/>
                <w:color w:val="auto"/>
              </w:rPr>
            </w:pPr>
            <w:r>
              <w:rPr>
                <w:rFonts w:ascii="Arial" w:cs="Arial" w:eastAsia="Arial" w:hAnsi="Arial"/>
                <w:sz w:val="18"/>
                <w:szCs w:val="18"/>
                <w:color w:val="auto"/>
                <w:w w:val="87"/>
              </w:rPr>
              <w:t>August 17, 2022</w:t>
            </w:r>
            <w:r>
              <w:rPr>
                <w:rFonts w:ascii="Arial" w:cs="Arial" w:eastAsia="Arial" w:hAnsi="Arial"/>
                <w:sz w:val="29"/>
                <w:szCs w:val="29"/>
                <w:color w:val="auto"/>
                <w:w w:val="87"/>
                <w:vertAlign w:val="superscript"/>
              </w:rPr>
              <w:t>(3)</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92,300</w:t>
            </w:r>
          </w:p>
        </w:tc>
        <w:tc>
          <w:tcPr>
            <w:tcW w:w="200" w:type="dxa"/>
            <w:vAlign w:val="bottom"/>
          </w:tcPr>
          <w:p>
            <w:pPr>
              <w:spacing w:after="0"/>
              <w:rPr>
                <w:sz w:val="22"/>
                <w:szCs w:val="22"/>
                <w:color w:val="auto"/>
              </w:rPr>
            </w:pPr>
          </w:p>
        </w:tc>
        <w:tc>
          <w:tcPr>
            <w:tcW w:w="28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$1.00</w:t>
            </w:r>
          </w:p>
        </w:tc>
      </w:tr>
      <w:tr>
        <w:trPr>
          <w:trHeight w:val="257"/>
        </w:trPr>
        <w:tc>
          <w:tcPr>
            <w:tcW w:w="2940" w:type="dxa"/>
            <w:vAlign w:val="bottom"/>
            <w:gridSpan w:val="2"/>
            <w:shd w:val="clear" w:color="auto" w:fill="E6EFFF"/>
          </w:tcPr>
          <w:p>
            <w:pPr>
              <w:jc w:val="center"/>
              <w:ind w:right="180"/>
              <w:spacing w:after="0" w:line="256" w:lineRule="exact"/>
              <w:rPr>
                <w:sz w:val="20"/>
                <w:szCs w:val="20"/>
                <w:color w:val="auto"/>
              </w:rPr>
            </w:pPr>
            <w:r>
              <w:rPr>
                <w:rFonts w:ascii="Arial" w:cs="Arial" w:eastAsia="Arial" w:hAnsi="Arial"/>
                <w:sz w:val="18"/>
                <w:szCs w:val="18"/>
                <w:color w:val="auto"/>
                <w:w w:val="87"/>
              </w:rPr>
              <w:t>August 18, 2022</w:t>
            </w:r>
            <w:r>
              <w:rPr>
                <w:rFonts w:ascii="Arial" w:cs="Arial" w:eastAsia="Arial" w:hAnsi="Arial"/>
                <w:sz w:val="29"/>
                <w:szCs w:val="29"/>
                <w:color w:val="auto"/>
                <w:w w:val="87"/>
                <w:vertAlign w:val="superscript"/>
              </w:rPr>
              <w:t>(3)</w:t>
            </w: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17,302</w:t>
            </w:r>
          </w:p>
        </w:tc>
        <w:tc>
          <w:tcPr>
            <w:tcW w:w="200" w:type="dxa"/>
            <w:vAlign w:val="bottom"/>
            <w:shd w:val="clear" w:color="auto" w:fill="E6EFFF"/>
          </w:tcPr>
          <w:p>
            <w:pPr>
              <w:spacing w:after="0"/>
              <w:rPr>
                <w:sz w:val="22"/>
                <w:szCs w:val="22"/>
                <w:color w:val="auto"/>
              </w:rPr>
            </w:pPr>
          </w:p>
        </w:tc>
        <w:tc>
          <w:tcPr>
            <w:tcW w:w="2800" w:type="dxa"/>
            <w:vAlign w:val="bottom"/>
            <w:gridSpan w:val="2"/>
            <w:shd w:val="clear" w:color="auto" w:fill="E6EFFF"/>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$.98</w:t>
            </w:r>
          </w:p>
        </w:tc>
      </w:tr>
      <w:tr>
        <w:trPr>
          <w:trHeight w:val="257"/>
        </w:trPr>
        <w:tc>
          <w:tcPr>
            <w:tcW w:w="2940" w:type="dxa"/>
            <w:vAlign w:val="bottom"/>
            <w:gridSpan w:val="2"/>
          </w:tcPr>
          <w:p>
            <w:pPr>
              <w:jc w:val="center"/>
              <w:ind w:right="180"/>
              <w:spacing w:after="0" w:line="256" w:lineRule="exact"/>
              <w:rPr>
                <w:sz w:val="20"/>
                <w:szCs w:val="20"/>
                <w:color w:val="auto"/>
              </w:rPr>
            </w:pPr>
            <w:r>
              <w:rPr>
                <w:rFonts w:ascii="Arial" w:cs="Arial" w:eastAsia="Arial" w:hAnsi="Arial"/>
                <w:sz w:val="18"/>
                <w:szCs w:val="18"/>
                <w:color w:val="auto"/>
                <w:w w:val="87"/>
              </w:rPr>
              <w:t>August 19, 2022</w:t>
            </w:r>
            <w:r>
              <w:rPr>
                <w:rFonts w:ascii="Arial" w:cs="Arial" w:eastAsia="Arial" w:hAnsi="Arial"/>
                <w:sz w:val="29"/>
                <w:szCs w:val="29"/>
                <w:color w:val="auto"/>
                <w:w w:val="87"/>
                <w:vertAlign w:val="superscript"/>
              </w:rPr>
              <w:t>(3)</w:t>
            </w: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175,000</w:t>
            </w:r>
          </w:p>
        </w:tc>
        <w:tc>
          <w:tcPr>
            <w:tcW w:w="200" w:type="dxa"/>
            <w:vAlign w:val="bottom"/>
          </w:tcPr>
          <w:p>
            <w:pPr>
              <w:spacing w:after="0"/>
              <w:rPr>
                <w:sz w:val="22"/>
                <w:szCs w:val="22"/>
                <w:color w:val="auto"/>
              </w:rPr>
            </w:pPr>
          </w:p>
        </w:tc>
        <w:tc>
          <w:tcPr>
            <w:tcW w:w="28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$1.05</w:t>
            </w:r>
          </w:p>
        </w:tc>
      </w:tr>
      <w:tr>
        <w:trPr>
          <w:trHeight w:val="256"/>
        </w:trPr>
        <w:tc>
          <w:tcPr>
            <w:tcW w:w="2940" w:type="dxa"/>
            <w:vAlign w:val="bottom"/>
            <w:gridSpan w:val="2"/>
            <w:shd w:val="clear" w:color="auto" w:fill="E6EFFF"/>
          </w:tcPr>
          <w:p>
            <w:pPr>
              <w:jc w:val="center"/>
              <w:ind w:right="180"/>
              <w:spacing w:after="0" w:line="256" w:lineRule="exact"/>
              <w:rPr>
                <w:sz w:val="20"/>
                <w:szCs w:val="20"/>
                <w:color w:val="auto"/>
              </w:rPr>
            </w:pPr>
            <w:r>
              <w:rPr>
                <w:rFonts w:ascii="Arial" w:cs="Arial" w:eastAsia="Arial" w:hAnsi="Arial"/>
                <w:sz w:val="18"/>
                <w:szCs w:val="18"/>
                <w:color w:val="auto"/>
                <w:w w:val="87"/>
              </w:rPr>
              <w:t>August 22, 2022</w:t>
            </w:r>
            <w:r>
              <w:rPr>
                <w:rFonts w:ascii="Arial" w:cs="Arial" w:eastAsia="Arial" w:hAnsi="Arial"/>
                <w:sz w:val="29"/>
                <w:szCs w:val="29"/>
                <w:color w:val="auto"/>
                <w:w w:val="87"/>
                <w:vertAlign w:val="superscript"/>
              </w:rPr>
              <w:t>(3)</w:t>
            </w: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554,450</w:t>
            </w:r>
          </w:p>
        </w:tc>
        <w:tc>
          <w:tcPr>
            <w:tcW w:w="200" w:type="dxa"/>
            <w:vAlign w:val="bottom"/>
            <w:shd w:val="clear" w:color="auto" w:fill="E6EFFF"/>
          </w:tcPr>
          <w:p>
            <w:pPr>
              <w:spacing w:after="0"/>
              <w:rPr>
                <w:sz w:val="22"/>
                <w:szCs w:val="22"/>
                <w:color w:val="auto"/>
              </w:rPr>
            </w:pPr>
          </w:p>
        </w:tc>
        <w:tc>
          <w:tcPr>
            <w:tcW w:w="2800" w:type="dxa"/>
            <w:vAlign w:val="bottom"/>
            <w:gridSpan w:val="2"/>
            <w:shd w:val="clear" w:color="auto" w:fill="E6EFFF"/>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$1.14</w:t>
            </w:r>
          </w:p>
        </w:tc>
      </w:tr>
      <w:tr>
        <w:trPr>
          <w:trHeight w:val="216"/>
        </w:trPr>
        <w:tc>
          <w:tcPr>
            <w:tcW w:w="29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August 22, 2022</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65,000</w:t>
            </w:r>
          </w:p>
        </w:tc>
        <w:tc>
          <w:tcPr>
            <w:tcW w:w="200" w:type="dxa"/>
            <w:vAlign w:val="bottom"/>
          </w:tcPr>
          <w:p>
            <w:pPr>
              <w:spacing w:after="0"/>
              <w:rPr>
                <w:sz w:val="18"/>
                <w:szCs w:val="18"/>
                <w:color w:val="auto"/>
              </w:rPr>
            </w:pPr>
          </w:p>
        </w:tc>
        <w:tc>
          <w:tcPr>
            <w:tcW w:w="28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$0.75</w:t>
            </w:r>
          </w:p>
        </w:tc>
      </w:tr>
      <w:tr>
        <w:trPr>
          <w:trHeight w:val="256"/>
        </w:trPr>
        <w:tc>
          <w:tcPr>
            <w:tcW w:w="2940" w:type="dxa"/>
            <w:vAlign w:val="bottom"/>
            <w:gridSpan w:val="2"/>
            <w:shd w:val="clear" w:color="auto" w:fill="E6EFFF"/>
          </w:tcPr>
          <w:p>
            <w:pPr>
              <w:jc w:val="center"/>
              <w:ind w:right="180"/>
              <w:spacing w:after="0" w:line="256" w:lineRule="exact"/>
              <w:rPr>
                <w:sz w:val="20"/>
                <w:szCs w:val="20"/>
                <w:color w:val="auto"/>
              </w:rPr>
            </w:pPr>
            <w:r>
              <w:rPr>
                <w:rFonts w:ascii="Arial" w:cs="Arial" w:eastAsia="Arial" w:hAnsi="Arial"/>
                <w:sz w:val="18"/>
                <w:szCs w:val="18"/>
                <w:color w:val="auto"/>
                <w:w w:val="87"/>
              </w:rPr>
              <w:t>August 23, 2022</w:t>
            </w:r>
            <w:r>
              <w:rPr>
                <w:rFonts w:ascii="Arial" w:cs="Arial" w:eastAsia="Arial" w:hAnsi="Arial"/>
                <w:sz w:val="29"/>
                <w:szCs w:val="29"/>
                <w:color w:val="auto"/>
                <w:w w:val="87"/>
                <w:vertAlign w:val="superscript"/>
              </w:rPr>
              <w:t>(3)</w:t>
            </w: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57,496</w:t>
            </w:r>
          </w:p>
        </w:tc>
        <w:tc>
          <w:tcPr>
            <w:tcW w:w="200" w:type="dxa"/>
            <w:vAlign w:val="bottom"/>
            <w:shd w:val="clear" w:color="auto" w:fill="E6EFFF"/>
          </w:tcPr>
          <w:p>
            <w:pPr>
              <w:spacing w:after="0"/>
              <w:rPr>
                <w:sz w:val="22"/>
                <w:szCs w:val="22"/>
                <w:color w:val="auto"/>
              </w:rPr>
            </w:pPr>
          </w:p>
        </w:tc>
        <w:tc>
          <w:tcPr>
            <w:tcW w:w="2800" w:type="dxa"/>
            <w:vAlign w:val="bottom"/>
            <w:gridSpan w:val="2"/>
            <w:shd w:val="clear" w:color="auto" w:fill="E6EFFF"/>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$1.18</w:t>
            </w:r>
          </w:p>
        </w:tc>
      </w:tr>
      <w:tr>
        <w:trPr>
          <w:trHeight w:val="257"/>
        </w:trPr>
        <w:tc>
          <w:tcPr>
            <w:tcW w:w="2940" w:type="dxa"/>
            <w:vAlign w:val="bottom"/>
            <w:gridSpan w:val="2"/>
          </w:tcPr>
          <w:p>
            <w:pPr>
              <w:jc w:val="center"/>
              <w:ind w:right="180"/>
              <w:spacing w:after="0" w:line="256" w:lineRule="exact"/>
              <w:rPr>
                <w:sz w:val="20"/>
                <w:szCs w:val="20"/>
                <w:color w:val="auto"/>
              </w:rPr>
            </w:pPr>
            <w:r>
              <w:rPr>
                <w:rFonts w:ascii="Arial" w:cs="Arial" w:eastAsia="Arial" w:hAnsi="Arial"/>
                <w:sz w:val="18"/>
                <w:szCs w:val="18"/>
                <w:color w:val="auto"/>
                <w:w w:val="87"/>
              </w:rPr>
              <w:t>August 25, 2022</w:t>
            </w:r>
            <w:r>
              <w:rPr>
                <w:rFonts w:ascii="Arial" w:cs="Arial" w:eastAsia="Arial" w:hAnsi="Arial"/>
                <w:sz w:val="29"/>
                <w:szCs w:val="29"/>
                <w:color w:val="auto"/>
                <w:w w:val="87"/>
                <w:vertAlign w:val="superscript"/>
              </w:rPr>
              <w:t>(3)</w:t>
            </w: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120,000</w:t>
            </w:r>
          </w:p>
        </w:tc>
        <w:tc>
          <w:tcPr>
            <w:tcW w:w="200" w:type="dxa"/>
            <w:vAlign w:val="bottom"/>
          </w:tcPr>
          <w:p>
            <w:pPr>
              <w:spacing w:after="0"/>
              <w:rPr>
                <w:sz w:val="22"/>
                <w:szCs w:val="22"/>
                <w:color w:val="auto"/>
              </w:rPr>
            </w:pPr>
          </w:p>
        </w:tc>
        <w:tc>
          <w:tcPr>
            <w:tcW w:w="28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$1.06</w:t>
            </w:r>
          </w:p>
        </w:tc>
      </w:tr>
      <w:tr>
        <w:trPr>
          <w:trHeight w:val="256"/>
        </w:trPr>
        <w:tc>
          <w:tcPr>
            <w:tcW w:w="2940" w:type="dxa"/>
            <w:vAlign w:val="bottom"/>
            <w:gridSpan w:val="2"/>
            <w:shd w:val="clear" w:color="auto" w:fill="E6EFFF"/>
          </w:tcPr>
          <w:p>
            <w:pPr>
              <w:jc w:val="center"/>
              <w:ind w:right="180"/>
              <w:spacing w:after="0" w:line="256" w:lineRule="exact"/>
              <w:rPr>
                <w:sz w:val="20"/>
                <w:szCs w:val="20"/>
                <w:color w:val="auto"/>
              </w:rPr>
            </w:pPr>
            <w:r>
              <w:rPr>
                <w:rFonts w:ascii="Arial" w:cs="Arial" w:eastAsia="Arial" w:hAnsi="Arial"/>
                <w:sz w:val="18"/>
                <w:szCs w:val="18"/>
                <w:color w:val="auto"/>
                <w:w w:val="87"/>
              </w:rPr>
              <w:t>August 26, 2022</w:t>
            </w:r>
            <w:r>
              <w:rPr>
                <w:rFonts w:ascii="Arial" w:cs="Arial" w:eastAsia="Arial" w:hAnsi="Arial"/>
                <w:sz w:val="29"/>
                <w:szCs w:val="29"/>
                <w:color w:val="auto"/>
                <w:w w:val="87"/>
                <w:vertAlign w:val="superscript"/>
              </w:rPr>
              <w:t>(3)</w:t>
            </w: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0"/>
              </w:rPr>
              <w:t>82,000</w:t>
            </w:r>
          </w:p>
        </w:tc>
        <w:tc>
          <w:tcPr>
            <w:tcW w:w="200" w:type="dxa"/>
            <w:vAlign w:val="bottom"/>
            <w:shd w:val="clear" w:color="auto" w:fill="E6EFFF"/>
          </w:tcPr>
          <w:p>
            <w:pPr>
              <w:spacing w:after="0"/>
              <w:rPr>
                <w:sz w:val="22"/>
                <w:szCs w:val="22"/>
                <w:color w:val="auto"/>
              </w:rPr>
            </w:pPr>
          </w:p>
        </w:tc>
        <w:tc>
          <w:tcPr>
            <w:tcW w:w="2800" w:type="dxa"/>
            <w:vAlign w:val="bottom"/>
            <w:gridSpan w:val="2"/>
            <w:shd w:val="clear" w:color="auto" w:fill="E6EFFF"/>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$1.11</w:t>
            </w:r>
          </w:p>
        </w:tc>
      </w:tr>
      <w:tr>
        <w:trPr>
          <w:trHeight w:val="257"/>
        </w:trPr>
        <w:tc>
          <w:tcPr>
            <w:tcW w:w="2940" w:type="dxa"/>
            <w:vAlign w:val="bottom"/>
            <w:gridSpan w:val="2"/>
          </w:tcPr>
          <w:p>
            <w:pPr>
              <w:jc w:val="center"/>
              <w:ind w:right="180"/>
              <w:spacing w:after="0" w:line="256" w:lineRule="exact"/>
              <w:rPr>
                <w:sz w:val="20"/>
                <w:szCs w:val="20"/>
                <w:color w:val="auto"/>
              </w:rPr>
            </w:pPr>
            <w:r>
              <w:rPr>
                <w:rFonts w:ascii="Arial" w:cs="Arial" w:eastAsia="Arial" w:hAnsi="Arial"/>
                <w:sz w:val="18"/>
                <w:szCs w:val="18"/>
                <w:color w:val="auto"/>
                <w:w w:val="85"/>
              </w:rPr>
              <w:t>September 1, 2022</w:t>
            </w:r>
            <w:r>
              <w:rPr>
                <w:rFonts w:ascii="Arial" w:cs="Arial" w:eastAsia="Arial" w:hAnsi="Arial"/>
                <w:sz w:val="29"/>
                <w:szCs w:val="29"/>
                <w:color w:val="auto"/>
                <w:w w:val="85"/>
                <w:vertAlign w:val="superscript"/>
              </w:rPr>
              <w:t>(3)</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66,168</w:t>
            </w:r>
          </w:p>
        </w:tc>
        <w:tc>
          <w:tcPr>
            <w:tcW w:w="200" w:type="dxa"/>
            <w:vAlign w:val="bottom"/>
          </w:tcPr>
          <w:p>
            <w:pPr>
              <w:spacing w:after="0"/>
              <w:rPr>
                <w:sz w:val="22"/>
                <w:szCs w:val="22"/>
                <w:color w:val="auto"/>
              </w:rPr>
            </w:pPr>
          </w:p>
        </w:tc>
        <w:tc>
          <w:tcPr>
            <w:tcW w:w="28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$1.33</w:t>
            </w:r>
          </w:p>
        </w:tc>
      </w:tr>
      <w:tr>
        <w:trPr>
          <w:trHeight w:val="256"/>
        </w:trPr>
        <w:tc>
          <w:tcPr>
            <w:tcW w:w="2940" w:type="dxa"/>
            <w:vAlign w:val="bottom"/>
            <w:gridSpan w:val="2"/>
            <w:shd w:val="clear" w:color="auto" w:fill="E6EFFF"/>
          </w:tcPr>
          <w:p>
            <w:pPr>
              <w:jc w:val="center"/>
              <w:ind w:right="180"/>
              <w:spacing w:after="0" w:line="256" w:lineRule="exact"/>
              <w:rPr>
                <w:sz w:val="20"/>
                <w:szCs w:val="20"/>
                <w:color w:val="auto"/>
              </w:rPr>
            </w:pPr>
            <w:r>
              <w:rPr>
                <w:rFonts w:ascii="Arial" w:cs="Arial" w:eastAsia="Arial" w:hAnsi="Arial"/>
                <w:sz w:val="18"/>
                <w:szCs w:val="18"/>
                <w:color w:val="auto"/>
                <w:w w:val="85"/>
              </w:rPr>
              <w:t>September 2, 2022</w:t>
            </w:r>
            <w:r>
              <w:rPr>
                <w:rFonts w:ascii="Arial" w:cs="Arial" w:eastAsia="Arial" w:hAnsi="Arial"/>
                <w:sz w:val="29"/>
                <w:szCs w:val="29"/>
                <w:color w:val="auto"/>
                <w:w w:val="85"/>
                <w:vertAlign w:val="superscript"/>
              </w:rPr>
              <w:t>(3)</w:t>
            </w: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200,000</w:t>
            </w:r>
          </w:p>
        </w:tc>
        <w:tc>
          <w:tcPr>
            <w:tcW w:w="200" w:type="dxa"/>
            <w:vAlign w:val="bottom"/>
            <w:shd w:val="clear" w:color="auto" w:fill="E6EFFF"/>
          </w:tcPr>
          <w:p>
            <w:pPr>
              <w:spacing w:after="0"/>
              <w:rPr>
                <w:sz w:val="22"/>
                <w:szCs w:val="22"/>
                <w:color w:val="auto"/>
              </w:rPr>
            </w:pPr>
          </w:p>
        </w:tc>
        <w:tc>
          <w:tcPr>
            <w:tcW w:w="2800" w:type="dxa"/>
            <w:vAlign w:val="bottom"/>
            <w:gridSpan w:val="2"/>
            <w:shd w:val="clear" w:color="auto" w:fill="E6EFFF"/>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$1.47</w:t>
            </w:r>
          </w:p>
        </w:tc>
      </w:tr>
      <w:tr>
        <w:trPr>
          <w:trHeight w:val="257"/>
        </w:trPr>
        <w:tc>
          <w:tcPr>
            <w:tcW w:w="2940" w:type="dxa"/>
            <w:vAlign w:val="bottom"/>
            <w:gridSpan w:val="2"/>
          </w:tcPr>
          <w:p>
            <w:pPr>
              <w:jc w:val="center"/>
              <w:ind w:right="180"/>
              <w:spacing w:after="0" w:line="256" w:lineRule="exact"/>
              <w:rPr>
                <w:sz w:val="20"/>
                <w:szCs w:val="20"/>
                <w:color w:val="auto"/>
              </w:rPr>
            </w:pPr>
            <w:r>
              <w:rPr>
                <w:rFonts w:ascii="Arial" w:cs="Arial" w:eastAsia="Arial" w:hAnsi="Arial"/>
                <w:sz w:val="18"/>
                <w:szCs w:val="18"/>
                <w:color w:val="auto"/>
                <w:w w:val="85"/>
              </w:rPr>
              <w:t>September 6, 2022</w:t>
            </w:r>
            <w:r>
              <w:rPr>
                <w:rFonts w:ascii="Arial" w:cs="Arial" w:eastAsia="Arial" w:hAnsi="Arial"/>
                <w:sz w:val="29"/>
                <w:szCs w:val="29"/>
                <w:color w:val="auto"/>
                <w:w w:val="85"/>
                <w:vertAlign w:val="superscript"/>
              </w:rPr>
              <w:t>(3)</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88,000</w:t>
            </w:r>
          </w:p>
        </w:tc>
        <w:tc>
          <w:tcPr>
            <w:tcW w:w="200" w:type="dxa"/>
            <w:vAlign w:val="bottom"/>
          </w:tcPr>
          <w:p>
            <w:pPr>
              <w:spacing w:after="0"/>
              <w:rPr>
                <w:sz w:val="22"/>
                <w:szCs w:val="22"/>
                <w:color w:val="auto"/>
              </w:rPr>
            </w:pPr>
          </w:p>
        </w:tc>
        <w:tc>
          <w:tcPr>
            <w:tcW w:w="28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$1.38</w:t>
            </w:r>
          </w:p>
        </w:tc>
      </w:tr>
      <w:tr>
        <w:trPr>
          <w:trHeight w:val="256"/>
        </w:trPr>
        <w:tc>
          <w:tcPr>
            <w:tcW w:w="2940" w:type="dxa"/>
            <w:vAlign w:val="bottom"/>
            <w:gridSpan w:val="2"/>
            <w:shd w:val="clear" w:color="auto" w:fill="E6EFFF"/>
          </w:tcPr>
          <w:p>
            <w:pPr>
              <w:jc w:val="center"/>
              <w:ind w:right="180"/>
              <w:spacing w:after="0" w:line="256" w:lineRule="exact"/>
              <w:rPr>
                <w:sz w:val="20"/>
                <w:szCs w:val="20"/>
                <w:color w:val="auto"/>
              </w:rPr>
            </w:pPr>
            <w:r>
              <w:rPr>
                <w:rFonts w:ascii="Arial" w:cs="Arial" w:eastAsia="Arial" w:hAnsi="Arial"/>
                <w:sz w:val="18"/>
                <w:szCs w:val="18"/>
                <w:color w:val="auto"/>
                <w:w w:val="85"/>
              </w:rPr>
              <w:t>September 7, 2022</w:t>
            </w:r>
            <w:r>
              <w:rPr>
                <w:rFonts w:ascii="Arial" w:cs="Arial" w:eastAsia="Arial" w:hAnsi="Arial"/>
                <w:sz w:val="29"/>
                <w:szCs w:val="29"/>
                <w:color w:val="auto"/>
                <w:w w:val="85"/>
                <w:vertAlign w:val="superscript"/>
              </w:rPr>
              <w:t>(3)</w:t>
            </w:r>
          </w:p>
        </w:tc>
        <w:tc>
          <w:tcPr>
            <w:tcW w:w="262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108,000</w:t>
            </w:r>
          </w:p>
        </w:tc>
        <w:tc>
          <w:tcPr>
            <w:tcW w:w="200" w:type="dxa"/>
            <w:vAlign w:val="bottom"/>
            <w:shd w:val="clear" w:color="auto" w:fill="E6EFFF"/>
          </w:tcPr>
          <w:p>
            <w:pPr>
              <w:spacing w:after="0"/>
              <w:rPr>
                <w:sz w:val="22"/>
                <w:szCs w:val="22"/>
                <w:color w:val="auto"/>
              </w:rPr>
            </w:pPr>
          </w:p>
        </w:tc>
        <w:tc>
          <w:tcPr>
            <w:tcW w:w="2800" w:type="dxa"/>
            <w:vAlign w:val="bottom"/>
            <w:gridSpan w:val="2"/>
            <w:shd w:val="clear" w:color="auto" w:fill="E6EFFF"/>
          </w:tcPr>
          <w:p>
            <w:pPr>
              <w:jc w:val="center"/>
              <w:ind w:right="180"/>
              <w:spacing w:after="0"/>
              <w:rPr>
                <w:sz w:val="20"/>
                <w:szCs w:val="20"/>
                <w:color w:val="auto"/>
              </w:rPr>
            </w:pPr>
            <w:r>
              <w:rPr>
                <w:rFonts w:ascii="Arial" w:cs="Arial" w:eastAsia="Arial" w:hAnsi="Arial"/>
                <w:sz w:val="18"/>
                <w:szCs w:val="18"/>
                <w:color w:val="auto"/>
                <w:w w:val="87"/>
              </w:rPr>
              <w:t>Common Shares</w:t>
            </w:r>
          </w:p>
        </w:tc>
        <w:tc>
          <w:tcPr>
            <w:tcW w:w="268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$1.39</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color w:val="auto"/>
        </w:rPr>
        <w:t>September 8, 2022</w:t>
      </w:r>
      <w:r>
        <w:rPr>
          <w:rFonts w:ascii="Arial" w:cs="Arial" w:eastAsia="Arial" w:hAnsi="Arial"/>
          <w:sz w:val="26"/>
          <w:szCs w:val="26"/>
          <w:color w:val="auto"/>
          <w:vertAlign w:val="superscript"/>
        </w:rPr>
        <w:t>(3)</w:t>
      </w:r>
    </w:p>
    <w:p>
      <w:pPr>
        <w:ind w:left="40"/>
        <w:spacing w:after="0" w:line="205" w:lineRule="auto"/>
        <w:rPr>
          <w:sz w:val="20"/>
          <w:szCs w:val="20"/>
          <w:color w:val="auto"/>
        </w:rPr>
      </w:pPr>
      <w:r>
        <w:rPr>
          <w:rFonts w:ascii="Arial" w:cs="Arial" w:eastAsia="Arial" w:hAnsi="Arial"/>
          <w:sz w:val="16"/>
          <w:szCs w:val="16"/>
          <w:color w:val="auto"/>
        </w:rPr>
        <w:t>September 9, 2022</w:t>
      </w:r>
      <w:r>
        <w:rPr>
          <w:rFonts w:ascii="Arial" w:cs="Arial" w:eastAsia="Arial" w:hAnsi="Arial"/>
          <w:sz w:val="26"/>
          <w:szCs w:val="26"/>
          <w:color w:val="auto"/>
          <w:vertAlign w:val="superscript"/>
        </w:rPr>
        <w:t>(3)</w:t>
      </w:r>
    </w:p>
    <w:p>
      <w:pPr>
        <w:spacing w:after="0" w:line="224" w:lineRule="auto"/>
        <w:rPr>
          <w:sz w:val="20"/>
          <w:szCs w:val="20"/>
          <w:color w:val="auto"/>
        </w:rPr>
      </w:pPr>
      <w:r>
        <w:rPr>
          <w:rFonts w:ascii="Arial" w:cs="Arial" w:eastAsia="Arial" w:hAnsi="Arial"/>
          <w:sz w:val="15"/>
          <w:szCs w:val="15"/>
          <w:color w:val="auto"/>
        </w:rPr>
        <w:t>September 12,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13,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14,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15,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16,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19,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20,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21,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22,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23,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26,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27, 2022</w:t>
      </w:r>
      <w:r>
        <w:rPr>
          <w:rFonts w:ascii="Arial" w:cs="Arial" w:eastAsia="Arial" w:hAnsi="Arial"/>
          <w:sz w:val="24"/>
          <w:szCs w:val="24"/>
          <w:color w:val="auto"/>
          <w:vertAlign w:val="superscript"/>
        </w:rPr>
        <w:t>(3)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September 28, 2022</w:t>
      </w:r>
    </w:p>
    <w:p>
      <w:pPr>
        <w:spacing w:after="0" w:line="30"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September 28, 2022</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September 28, 2022</w:t>
      </w:r>
      <w:r>
        <w:rPr>
          <w:rFonts w:ascii="Arial" w:cs="Arial" w:eastAsia="Arial" w:hAnsi="Arial"/>
          <w:sz w:val="24"/>
          <w:szCs w:val="24"/>
          <w:color w:val="auto"/>
          <w:vertAlign w:val="superscript"/>
        </w:rPr>
        <w:t>(3)</w:t>
      </w:r>
    </w:p>
    <w:p>
      <w:pPr>
        <w:spacing w:after="0" w:line="223" w:lineRule="auto"/>
        <w:rPr>
          <w:sz w:val="20"/>
          <w:szCs w:val="20"/>
          <w:color w:val="auto"/>
        </w:rPr>
      </w:pPr>
      <w:r>
        <w:rPr>
          <w:rFonts w:ascii="Arial" w:cs="Arial" w:eastAsia="Arial" w:hAnsi="Arial"/>
          <w:sz w:val="15"/>
          <w:szCs w:val="15"/>
          <w:color w:val="auto"/>
        </w:rPr>
        <w:t>September 29, 2022</w:t>
      </w:r>
      <w:r>
        <w:rPr>
          <w:rFonts w:ascii="Arial" w:cs="Arial" w:eastAsia="Arial" w:hAnsi="Arial"/>
          <w:sz w:val="24"/>
          <w:szCs w:val="24"/>
          <w:color w:val="auto"/>
          <w:vertAlign w:val="superscript"/>
        </w:rPr>
        <w:t>(3)</w:t>
      </w:r>
    </w:p>
    <w:p>
      <w:pPr>
        <w:ind w:left="80"/>
        <w:spacing w:after="0"/>
        <w:rPr>
          <w:sz w:val="20"/>
          <w:szCs w:val="20"/>
          <w:color w:val="auto"/>
        </w:rPr>
      </w:pPr>
      <w:r>
        <w:rPr>
          <w:rFonts w:ascii="Arial" w:cs="Arial" w:eastAsia="Arial" w:hAnsi="Arial"/>
          <w:sz w:val="16"/>
          <w:szCs w:val="16"/>
          <w:color w:val="auto"/>
        </w:rPr>
        <w:t>September 30, 2022</w:t>
      </w:r>
    </w:p>
    <w:p>
      <w:pPr>
        <w:spacing w:after="0" w:line="30"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September 30, 2022</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2022</w:t>
      </w:r>
      <w:r>
        <w:rPr>
          <w:rFonts w:ascii="Arial" w:cs="Arial" w:eastAsia="Arial" w:hAnsi="Arial"/>
          <w:sz w:val="24"/>
          <w:szCs w:val="24"/>
          <w:color w:val="auto"/>
          <w:vertAlign w:val="superscript"/>
        </w:rPr>
        <w:t>(3)</w:t>
      </w:r>
    </w:p>
    <w:p>
      <w:pPr>
        <w:ind w:left="140"/>
        <w:spacing w:after="0" w:line="191" w:lineRule="auto"/>
        <w:rPr>
          <w:sz w:val="20"/>
          <w:szCs w:val="20"/>
          <w:color w:val="auto"/>
        </w:rPr>
      </w:pPr>
      <w:r>
        <w:rPr>
          <w:rFonts w:ascii="Arial" w:cs="Arial" w:eastAsia="Arial" w:hAnsi="Arial"/>
          <w:sz w:val="17"/>
          <w:szCs w:val="17"/>
          <w:color w:val="auto"/>
        </w:rPr>
        <w:t>October 3, 2022</w:t>
      </w:r>
      <w:r>
        <w:rPr>
          <w:rFonts w:ascii="Arial" w:cs="Arial" w:eastAsia="Arial" w:hAnsi="Arial"/>
          <w:sz w:val="28"/>
          <w:szCs w:val="28"/>
          <w:color w:val="auto"/>
          <w:vertAlign w:val="superscript"/>
        </w:rPr>
        <w:t>(3)</w:t>
      </w:r>
    </w:p>
    <w:p>
      <w:pPr>
        <w:ind w:left="140"/>
        <w:spacing w:after="0" w:line="191" w:lineRule="auto"/>
        <w:rPr>
          <w:sz w:val="20"/>
          <w:szCs w:val="20"/>
          <w:color w:val="auto"/>
        </w:rPr>
      </w:pPr>
      <w:r>
        <w:rPr>
          <w:rFonts w:ascii="Arial" w:cs="Arial" w:eastAsia="Arial" w:hAnsi="Arial"/>
          <w:sz w:val="17"/>
          <w:szCs w:val="17"/>
          <w:color w:val="auto"/>
        </w:rPr>
        <w:t>October 4, 2022</w:t>
      </w:r>
      <w:r>
        <w:rPr>
          <w:rFonts w:ascii="Arial" w:cs="Arial" w:eastAsia="Arial" w:hAnsi="Arial"/>
          <w:sz w:val="28"/>
          <w:szCs w:val="28"/>
          <w:color w:val="auto"/>
          <w:vertAlign w:val="superscript"/>
        </w:rPr>
        <w:t>(3)</w:t>
      </w:r>
    </w:p>
    <w:p>
      <w:pPr>
        <w:ind w:left="140"/>
        <w:spacing w:after="0" w:line="191" w:lineRule="auto"/>
        <w:rPr>
          <w:sz w:val="20"/>
          <w:szCs w:val="20"/>
          <w:color w:val="auto"/>
        </w:rPr>
      </w:pPr>
      <w:r>
        <w:rPr>
          <w:rFonts w:ascii="Arial" w:cs="Arial" w:eastAsia="Arial" w:hAnsi="Arial"/>
          <w:sz w:val="17"/>
          <w:szCs w:val="17"/>
          <w:color w:val="auto"/>
        </w:rPr>
        <w:t>October 7, 2022</w:t>
      </w:r>
      <w:r>
        <w:rPr>
          <w:rFonts w:ascii="Arial" w:cs="Arial" w:eastAsia="Arial" w:hAnsi="Arial"/>
          <w:sz w:val="28"/>
          <w:szCs w:val="28"/>
          <w:color w:val="auto"/>
          <w:vertAlign w:val="superscript"/>
        </w:rPr>
        <w:t>(2)</w:t>
      </w:r>
    </w:p>
    <w:p>
      <w:pPr>
        <w:ind w:left="100"/>
        <w:spacing w:after="0" w:line="206" w:lineRule="auto"/>
        <w:rPr>
          <w:sz w:val="20"/>
          <w:szCs w:val="20"/>
          <w:color w:val="auto"/>
        </w:rPr>
      </w:pPr>
      <w:r>
        <w:rPr>
          <w:rFonts w:ascii="Arial" w:cs="Arial" w:eastAsia="Arial" w:hAnsi="Arial"/>
          <w:sz w:val="16"/>
          <w:szCs w:val="16"/>
          <w:color w:val="auto"/>
        </w:rPr>
        <w:t>October 17,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18,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19,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20,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21, 2022</w:t>
      </w:r>
      <w:r>
        <w:rPr>
          <w:rFonts w:ascii="Arial" w:cs="Arial" w:eastAsia="Arial" w:hAnsi="Arial"/>
          <w:sz w:val="26"/>
          <w:szCs w:val="26"/>
          <w:color w:val="auto"/>
          <w:vertAlign w:val="superscript"/>
        </w:rPr>
        <w:t>(3)</w:t>
      </w:r>
    </w:p>
    <w:p>
      <w:pPr>
        <w:ind w:left="100"/>
        <w:spacing w:after="0" w:line="205" w:lineRule="auto"/>
        <w:rPr>
          <w:sz w:val="20"/>
          <w:szCs w:val="20"/>
          <w:color w:val="auto"/>
        </w:rPr>
      </w:pPr>
      <w:r>
        <w:rPr>
          <w:rFonts w:ascii="Arial" w:cs="Arial" w:eastAsia="Arial" w:hAnsi="Arial"/>
          <w:sz w:val="16"/>
          <w:szCs w:val="16"/>
          <w:color w:val="auto"/>
        </w:rPr>
        <w:t>October 24,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25,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26,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27,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28, 2022</w:t>
      </w:r>
      <w:r>
        <w:rPr>
          <w:rFonts w:ascii="Arial" w:cs="Arial" w:eastAsia="Arial" w:hAnsi="Arial"/>
          <w:sz w:val="26"/>
          <w:szCs w:val="26"/>
          <w:color w:val="auto"/>
          <w:vertAlign w:val="superscript"/>
        </w:rPr>
        <w:t>(3)</w:t>
      </w:r>
    </w:p>
    <w:p>
      <w:pPr>
        <w:ind w:left="100"/>
        <w:spacing w:after="0" w:line="206" w:lineRule="auto"/>
        <w:rPr>
          <w:sz w:val="20"/>
          <w:szCs w:val="20"/>
          <w:color w:val="auto"/>
        </w:rPr>
      </w:pPr>
      <w:r>
        <w:rPr>
          <w:rFonts w:ascii="Arial" w:cs="Arial" w:eastAsia="Arial" w:hAnsi="Arial"/>
          <w:sz w:val="16"/>
          <w:szCs w:val="16"/>
          <w:color w:val="auto"/>
        </w:rPr>
        <w:t>October 31, 2022</w:t>
      </w:r>
      <w:r>
        <w:rPr>
          <w:rFonts w:ascii="Arial" w:cs="Arial" w:eastAsia="Arial" w:hAnsi="Arial"/>
          <w:sz w:val="26"/>
          <w:szCs w:val="26"/>
          <w:color w:val="auto"/>
          <w:vertAlign w:val="superscript"/>
        </w:rPr>
        <w:t>(3)</w:t>
      </w:r>
    </w:p>
    <w:p>
      <w:pPr>
        <w:ind w:left="40"/>
        <w:spacing w:after="0" w:line="206" w:lineRule="auto"/>
        <w:rPr>
          <w:sz w:val="20"/>
          <w:szCs w:val="20"/>
          <w:color w:val="auto"/>
        </w:rPr>
      </w:pPr>
      <w:r>
        <w:rPr>
          <w:rFonts w:ascii="Arial" w:cs="Arial" w:eastAsia="Arial" w:hAnsi="Arial"/>
          <w:sz w:val="16"/>
          <w:szCs w:val="16"/>
          <w:color w:val="auto"/>
        </w:rPr>
        <w:t>November 1, 2022</w:t>
      </w:r>
      <w:r>
        <w:rPr>
          <w:rFonts w:ascii="Arial" w:cs="Arial" w:eastAsia="Arial" w:hAnsi="Arial"/>
          <w:sz w:val="26"/>
          <w:szCs w:val="26"/>
          <w:color w:val="auto"/>
          <w:vertAlign w:val="superscript"/>
        </w:rPr>
        <w:t>(3)</w:t>
      </w:r>
    </w:p>
    <w:p>
      <w:pPr>
        <w:ind w:left="40"/>
        <w:spacing w:after="0" w:line="206" w:lineRule="auto"/>
        <w:rPr>
          <w:sz w:val="20"/>
          <w:szCs w:val="20"/>
          <w:color w:val="auto"/>
        </w:rPr>
      </w:pPr>
      <w:r>
        <w:rPr>
          <w:rFonts w:ascii="Arial" w:cs="Arial" w:eastAsia="Arial" w:hAnsi="Arial"/>
          <w:sz w:val="16"/>
          <w:szCs w:val="16"/>
          <w:color w:val="auto"/>
        </w:rPr>
        <w:t>November 2, 2022</w:t>
      </w:r>
      <w:r>
        <w:rPr>
          <w:rFonts w:ascii="Arial" w:cs="Arial" w:eastAsia="Arial" w:hAnsi="Arial"/>
          <w:sz w:val="26"/>
          <w:szCs w:val="26"/>
          <w:color w:val="auto"/>
          <w:vertAlign w:val="superscript"/>
        </w:rPr>
        <w:t>(3)</w:t>
      </w:r>
    </w:p>
    <w:p>
      <w:pPr>
        <w:ind w:left="40"/>
        <w:spacing w:after="0" w:line="206" w:lineRule="auto"/>
        <w:rPr>
          <w:sz w:val="20"/>
          <w:szCs w:val="20"/>
          <w:color w:val="auto"/>
        </w:rPr>
      </w:pPr>
      <w:r>
        <w:rPr>
          <w:rFonts w:ascii="Arial" w:cs="Arial" w:eastAsia="Arial" w:hAnsi="Arial"/>
          <w:sz w:val="16"/>
          <w:szCs w:val="16"/>
          <w:color w:val="auto"/>
        </w:rPr>
        <w:t>November 3, 2022</w:t>
      </w:r>
      <w:r>
        <w:rPr>
          <w:rFonts w:ascii="Arial" w:cs="Arial" w:eastAsia="Arial" w:hAnsi="Arial"/>
          <w:sz w:val="26"/>
          <w:szCs w:val="26"/>
          <w:color w:val="auto"/>
          <w:vertAlign w:val="superscript"/>
        </w:rPr>
        <w:t>(3)</w:t>
      </w:r>
    </w:p>
    <w:p>
      <w:pPr>
        <w:ind w:left="40"/>
        <w:spacing w:after="0" w:line="206" w:lineRule="auto"/>
        <w:rPr>
          <w:sz w:val="20"/>
          <w:szCs w:val="20"/>
          <w:color w:val="auto"/>
        </w:rPr>
      </w:pPr>
      <w:r>
        <w:rPr>
          <w:rFonts w:ascii="Arial" w:cs="Arial" w:eastAsia="Arial" w:hAnsi="Arial"/>
          <w:sz w:val="16"/>
          <w:szCs w:val="16"/>
          <w:color w:val="auto"/>
        </w:rPr>
        <w:t>November 4, 2022</w:t>
      </w:r>
      <w:r>
        <w:rPr>
          <w:rFonts w:ascii="Arial" w:cs="Arial" w:eastAsia="Arial" w:hAnsi="Arial"/>
          <w:sz w:val="26"/>
          <w:szCs w:val="26"/>
          <w:color w:val="auto"/>
          <w:vertAlign w:val="superscript"/>
        </w:rPr>
        <w:t>(3)</w:t>
      </w:r>
    </w:p>
    <w:p>
      <w:pPr>
        <w:ind w:left="40"/>
        <w:spacing w:after="0" w:line="205" w:lineRule="auto"/>
        <w:rPr>
          <w:sz w:val="20"/>
          <w:szCs w:val="20"/>
          <w:color w:val="auto"/>
        </w:rPr>
      </w:pPr>
      <w:r>
        <w:rPr>
          <w:rFonts w:ascii="Arial" w:cs="Arial" w:eastAsia="Arial" w:hAnsi="Arial"/>
          <w:sz w:val="16"/>
          <w:szCs w:val="16"/>
          <w:color w:val="auto"/>
        </w:rPr>
        <w:t>November 7, 2022</w:t>
      </w:r>
      <w:r>
        <w:rPr>
          <w:rFonts w:ascii="Arial" w:cs="Arial" w:eastAsia="Arial" w:hAnsi="Arial"/>
          <w:sz w:val="26"/>
          <w:szCs w:val="26"/>
          <w:color w:val="auto"/>
          <w:vertAlign w:val="superscript"/>
        </w:rPr>
        <w:t>(3)</w:t>
      </w:r>
    </w:p>
    <w:p>
      <w:pPr>
        <w:ind w:left="40"/>
        <w:spacing w:after="0" w:line="206" w:lineRule="auto"/>
        <w:rPr>
          <w:sz w:val="20"/>
          <w:szCs w:val="20"/>
          <w:color w:val="auto"/>
        </w:rPr>
      </w:pPr>
      <w:r>
        <w:rPr>
          <w:rFonts w:ascii="Arial" w:cs="Arial" w:eastAsia="Arial" w:hAnsi="Arial"/>
          <w:sz w:val="16"/>
          <w:szCs w:val="16"/>
          <w:color w:val="auto"/>
        </w:rPr>
        <w:t>November 8, 2022</w:t>
      </w:r>
      <w:r>
        <w:rPr>
          <w:rFonts w:ascii="Arial" w:cs="Arial" w:eastAsia="Arial" w:hAnsi="Arial"/>
          <w:sz w:val="26"/>
          <w:szCs w:val="26"/>
          <w:color w:val="auto"/>
          <w:vertAlign w:val="superscript"/>
        </w:rPr>
        <w:t>(3)</w:t>
      </w:r>
    </w:p>
    <w:p>
      <w:pPr>
        <w:spacing w:after="0" w:line="206" w:lineRule="auto"/>
        <w:rPr>
          <w:sz w:val="20"/>
          <w:szCs w:val="20"/>
          <w:color w:val="auto"/>
        </w:rPr>
      </w:pPr>
      <w:r>
        <w:rPr>
          <w:rFonts w:ascii="Arial" w:cs="Arial" w:eastAsia="Arial" w:hAnsi="Arial"/>
          <w:sz w:val="16"/>
          <w:szCs w:val="16"/>
          <w:color w:val="auto"/>
        </w:rPr>
        <w:t>November 10, 2022</w:t>
      </w:r>
      <w:r>
        <w:rPr>
          <w:rFonts w:ascii="Arial" w:cs="Arial" w:eastAsia="Arial" w:hAnsi="Arial"/>
          <w:sz w:val="26"/>
          <w:szCs w:val="26"/>
          <w:color w:val="auto"/>
          <w:vertAlign w:val="superscript"/>
        </w:rPr>
        <w:t>(3)</w:t>
      </w:r>
    </w:p>
    <w:p>
      <w:pPr>
        <w:spacing w:after="0" w:line="206" w:lineRule="auto"/>
        <w:rPr>
          <w:sz w:val="20"/>
          <w:szCs w:val="20"/>
          <w:color w:val="auto"/>
        </w:rPr>
      </w:pPr>
      <w:r>
        <w:rPr>
          <w:rFonts w:ascii="Arial" w:cs="Arial" w:eastAsia="Arial" w:hAnsi="Arial"/>
          <w:sz w:val="16"/>
          <w:szCs w:val="16"/>
          <w:color w:val="auto"/>
        </w:rPr>
        <w:t>November 14, 2022</w:t>
      </w:r>
      <w:r>
        <w:rPr>
          <w:rFonts w:ascii="Arial" w:cs="Arial" w:eastAsia="Arial" w:hAnsi="Arial"/>
          <w:sz w:val="26"/>
          <w:szCs w:val="26"/>
          <w:color w:val="auto"/>
          <w:vertAlign w:val="superscript"/>
        </w:rPr>
        <w:t>(3)</w:t>
      </w:r>
    </w:p>
    <w:p>
      <w:pPr>
        <w:spacing w:after="0" w:line="206" w:lineRule="auto"/>
        <w:rPr>
          <w:sz w:val="20"/>
          <w:szCs w:val="20"/>
          <w:color w:val="auto"/>
        </w:rPr>
      </w:pPr>
      <w:r>
        <w:rPr>
          <w:rFonts w:ascii="Arial" w:cs="Arial" w:eastAsia="Arial" w:hAnsi="Arial"/>
          <w:sz w:val="16"/>
          <w:szCs w:val="16"/>
          <w:color w:val="auto"/>
        </w:rPr>
        <w:t>November 15, 2022</w:t>
      </w:r>
      <w:r>
        <w:rPr>
          <w:rFonts w:ascii="Arial" w:cs="Arial" w:eastAsia="Arial" w:hAnsi="Arial"/>
          <w:sz w:val="26"/>
          <w:szCs w:val="26"/>
          <w:color w:val="auto"/>
          <w:vertAlign w:val="superscript"/>
        </w:rPr>
        <w:t>(3)</w:t>
      </w:r>
    </w:p>
    <w:p>
      <w:pPr>
        <w:spacing w:after="0" w:line="206" w:lineRule="auto"/>
        <w:rPr>
          <w:sz w:val="20"/>
          <w:szCs w:val="20"/>
          <w:color w:val="auto"/>
        </w:rPr>
      </w:pPr>
      <w:r>
        <w:rPr>
          <w:rFonts w:ascii="Arial" w:cs="Arial" w:eastAsia="Arial" w:hAnsi="Arial"/>
          <w:sz w:val="16"/>
          <w:szCs w:val="16"/>
          <w:color w:val="auto"/>
        </w:rPr>
        <w:t>November 15, 2022</w:t>
      </w:r>
      <w:r>
        <w:rPr>
          <w:rFonts w:ascii="Arial" w:cs="Arial" w:eastAsia="Arial" w:hAnsi="Arial"/>
          <w:sz w:val="26"/>
          <w:szCs w:val="26"/>
          <w:color w:val="auto"/>
          <w:vertAlign w:val="superscript"/>
        </w:rPr>
        <w:t>(3)</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November 16, 2022</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90"/>
              </w:rPr>
              <w:t>64,547</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100,000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166,153</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100,000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184,000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90"/>
              </w:rPr>
              <w:t>40,000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90"/>
              </w:rPr>
              <w:t>90,000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192,000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$0.89</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461,421</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100,000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380,896</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$0.88</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113,000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$0.85</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125,214</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$0.85</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287,000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$0.77</w:t>
            </w:r>
          </w:p>
        </w:tc>
      </w:tr>
      <w:tr>
        <w:trPr>
          <w:trHeight w:val="229"/>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235,000</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195,000</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2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44"/>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227,831</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328,900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29"/>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90"/>
              </w:rPr>
              <w:t>10,000</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90"/>
              </w:rPr>
              <w:t>75,000</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2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44"/>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366,300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150,000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90"/>
              </w:rPr>
              <w:t>63,452</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912,572</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131,700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$0.80</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153,600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90"/>
              </w:rPr>
              <w:t>91,512</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$0.76</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90"/>
              </w:rPr>
              <w:t>74,000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530,000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326,000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$0.70</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317,000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287,000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224,000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236,000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323,900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372,300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159,600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90"/>
              </w:rPr>
              <w:t>46,600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90"/>
              </w:rPr>
              <w:t>11,465</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90"/>
              </w:rPr>
              <w:t>87,584</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293,648</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344,000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120,339</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235,400</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6"/>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222,437</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43"/>
        </w:trPr>
        <w:tc>
          <w:tcPr>
            <w:tcW w:w="1540" w:type="dxa"/>
            <w:vAlign w:val="bottom"/>
          </w:tcPr>
          <w:p>
            <w:pPr>
              <w:jc w:val="center"/>
              <w:ind w:right="870"/>
              <w:spacing w:after="0"/>
              <w:rPr>
                <w:sz w:val="20"/>
                <w:szCs w:val="20"/>
                <w:color w:val="auto"/>
              </w:rPr>
            </w:pPr>
            <w:r>
              <w:rPr>
                <w:rFonts w:ascii="Arial" w:cs="Arial" w:eastAsia="Arial" w:hAnsi="Arial"/>
                <w:sz w:val="18"/>
                <w:szCs w:val="18"/>
                <w:color w:val="auto"/>
                <w:w w:val="89"/>
              </w:rPr>
              <w:t>200,000</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20" w:type="dxa"/>
            <w:vAlign w:val="bottom"/>
          </w:tcPr>
          <w:p>
            <w:pPr>
              <w:jc w:val="right"/>
              <w:spacing w:after="0"/>
              <w:rPr>
                <w:sz w:val="20"/>
                <w:szCs w:val="20"/>
                <w:color w:val="auto"/>
              </w:rPr>
            </w:pPr>
            <w:r>
              <w:rPr>
                <w:rFonts w:ascii="Arial" w:cs="Arial" w:eastAsia="Arial" w:hAnsi="Arial"/>
                <w:sz w:val="18"/>
                <w:szCs w:val="18"/>
                <w:color w:val="auto"/>
              </w:rPr>
              <w:t>$0.91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-7362825</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-7037070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-6711315</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-6385560</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-6059805</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-5734050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-5408295</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-5082540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-4808220</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-4482465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-4208145</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-3882390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-3557270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-3230880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-2905125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-2579370</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-2253615</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-1927860</wp:posOffset>
            </wp:positionV>
            <wp:extent cx="713232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-1602105</wp:posOffset>
            </wp:positionV>
            <wp:extent cx="713232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-1276350</wp:posOffset>
            </wp:positionV>
            <wp:extent cx="713232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-950595</wp:posOffset>
            </wp:positionV>
            <wp:extent cx="713232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-624840</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-299720</wp:posOffset>
            </wp:positionV>
            <wp:extent cx="713232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142240</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2">
            <w:col w:w="2680" w:space="720"/>
            <w:col w:w="6159"/>
          </w:cols>
          <w:pgMar w:left="900" w:top="341" w:right="1440" w:bottom="1440" w:gutter="0" w:footer="0" w:header="0"/>
        </w:sectPr>
      </w:pPr>
    </w:p>
    <w:bookmarkStart w:id="20" w:name="page21"/>
    <w:bookmarkEnd w:id="20"/>
    <w:p>
      <w:pPr>
        <w:jc w:val="center"/>
        <w:ind w:right="1000"/>
        <w:spacing w:after="0"/>
        <w:rPr>
          <w:sz w:val="20"/>
          <w:szCs w:val="20"/>
          <w:color w:val="auto"/>
        </w:rPr>
      </w:pPr>
      <w:r>
        <w:rPr>
          <w:rFonts w:ascii="Arial" w:cs="Arial" w:eastAsia="Arial" w:hAnsi="Arial"/>
          <w:sz w:val="18"/>
          <w:szCs w:val="18"/>
          <w:color w:val="auto"/>
        </w:rPr>
        <w:t>November 16, 2022</w:t>
      </w:r>
    </w:p>
    <w:p>
      <w:pPr>
        <w:spacing w:after="0" w:line="5" w:lineRule="exact"/>
        <w:rPr>
          <w:sz w:val="20"/>
          <w:szCs w:val="20"/>
          <w:color w:val="auto"/>
        </w:rPr>
      </w:pPr>
    </w:p>
    <w:p>
      <w:pPr>
        <w:jc w:val="center"/>
        <w:ind w:right="1000"/>
        <w:spacing w:after="0"/>
        <w:rPr>
          <w:sz w:val="20"/>
          <w:szCs w:val="20"/>
          <w:color w:val="auto"/>
        </w:rPr>
      </w:pPr>
      <w:r>
        <w:rPr>
          <w:rFonts w:ascii="Arial" w:cs="Arial" w:eastAsia="Arial" w:hAnsi="Arial"/>
          <w:sz w:val="15"/>
          <w:szCs w:val="15"/>
          <w:color w:val="auto"/>
        </w:rPr>
        <w:t>November 30, 2022</w:t>
      </w:r>
      <w:r>
        <w:rPr>
          <w:rFonts w:ascii="Arial" w:cs="Arial" w:eastAsia="Arial" w:hAnsi="Arial"/>
          <w:sz w:val="24"/>
          <w:szCs w:val="24"/>
          <w:color w:val="auto"/>
          <w:vertAlign w:val="superscript"/>
        </w:rPr>
        <w:t>(3)</w:t>
      </w:r>
    </w:p>
    <w:p>
      <w:pPr>
        <w:jc w:val="center"/>
        <w:ind w:right="1000"/>
        <w:spacing w:after="0" w:line="205" w:lineRule="auto"/>
        <w:rPr>
          <w:sz w:val="20"/>
          <w:szCs w:val="20"/>
          <w:color w:val="auto"/>
        </w:rPr>
      </w:pPr>
      <w:r>
        <w:rPr>
          <w:rFonts w:ascii="Arial" w:cs="Arial" w:eastAsia="Arial" w:hAnsi="Arial"/>
          <w:sz w:val="16"/>
          <w:szCs w:val="16"/>
          <w:color w:val="auto"/>
        </w:rPr>
        <w:t>December 1, 2022</w:t>
      </w:r>
      <w:r>
        <w:rPr>
          <w:rFonts w:ascii="Arial" w:cs="Arial" w:eastAsia="Arial" w:hAnsi="Arial"/>
          <w:sz w:val="26"/>
          <w:szCs w:val="26"/>
          <w:color w:val="auto"/>
          <w:vertAlign w:val="superscript"/>
        </w:rPr>
        <w:t>(3)</w:t>
      </w:r>
    </w:p>
    <w:p>
      <w:pPr>
        <w:jc w:val="center"/>
        <w:ind w:right="1000"/>
        <w:spacing w:after="0" w:line="206" w:lineRule="auto"/>
        <w:rPr>
          <w:sz w:val="20"/>
          <w:szCs w:val="20"/>
          <w:color w:val="auto"/>
        </w:rPr>
      </w:pPr>
      <w:r>
        <w:rPr>
          <w:rFonts w:ascii="Arial" w:cs="Arial" w:eastAsia="Arial" w:hAnsi="Arial"/>
          <w:sz w:val="16"/>
          <w:szCs w:val="16"/>
          <w:color w:val="auto"/>
        </w:rPr>
        <w:t>December 5, 2022</w:t>
      </w:r>
      <w:r>
        <w:rPr>
          <w:rFonts w:ascii="Arial" w:cs="Arial" w:eastAsia="Arial" w:hAnsi="Arial"/>
          <w:sz w:val="26"/>
          <w:szCs w:val="26"/>
          <w:color w:val="auto"/>
          <w:vertAlign w:val="superscript"/>
        </w:rPr>
        <w:t>(3)</w:t>
      </w:r>
    </w:p>
    <w:p>
      <w:pPr>
        <w:jc w:val="center"/>
        <w:ind w:right="1000"/>
        <w:spacing w:after="0" w:line="206" w:lineRule="auto"/>
        <w:rPr>
          <w:sz w:val="20"/>
          <w:szCs w:val="20"/>
          <w:color w:val="auto"/>
        </w:rPr>
      </w:pPr>
      <w:r>
        <w:rPr>
          <w:rFonts w:ascii="Arial" w:cs="Arial" w:eastAsia="Arial" w:hAnsi="Arial"/>
          <w:sz w:val="16"/>
          <w:szCs w:val="16"/>
          <w:color w:val="auto"/>
        </w:rPr>
        <w:t>December 6, 2022</w:t>
      </w:r>
      <w:r>
        <w:rPr>
          <w:rFonts w:ascii="Arial" w:cs="Arial" w:eastAsia="Arial" w:hAnsi="Arial"/>
          <w:sz w:val="26"/>
          <w:szCs w:val="26"/>
          <w:color w:val="auto"/>
          <w:vertAlign w:val="superscript"/>
        </w:rPr>
        <w:t>(3)</w:t>
      </w:r>
    </w:p>
    <w:p>
      <w:pPr>
        <w:jc w:val="center"/>
        <w:ind w:right="1000"/>
        <w:spacing w:after="0" w:line="206" w:lineRule="auto"/>
        <w:rPr>
          <w:sz w:val="20"/>
          <w:szCs w:val="20"/>
          <w:color w:val="auto"/>
        </w:rPr>
      </w:pPr>
      <w:r>
        <w:rPr>
          <w:rFonts w:ascii="Arial" w:cs="Arial" w:eastAsia="Arial" w:hAnsi="Arial"/>
          <w:sz w:val="16"/>
          <w:szCs w:val="16"/>
          <w:color w:val="auto"/>
        </w:rPr>
        <w:t>December 7, 2022</w:t>
      </w:r>
      <w:r>
        <w:rPr>
          <w:rFonts w:ascii="Arial" w:cs="Arial" w:eastAsia="Arial" w:hAnsi="Arial"/>
          <w:sz w:val="26"/>
          <w:szCs w:val="26"/>
          <w:color w:val="auto"/>
          <w:vertAlign w:val="superscript"/>
        </w:rPr>
        <w:t>(3)</w:t>
      </w:r>
    </w:p>
    <w:p>
      <w:pPr>
        <w:jc w:val="center"/>
        <w:ind w:right="1000"/>
        <w:spacing w:after="0" w:line="206" w:lineRule="auto"/>
        <w:rPr>
          <w:sz w:val="20"/>
          <w:szCs w:val="20"/>
          <w:color w:val="auto"/>
        </w:rPr>
      </w:pPr>
      <w:r>
        <w:rPr>
          <w:rFonts w:ascii="Arial" w:cs="Arial" w:eastAsia="Arial" w:hAnsi="Arial"/>
          <w:sz w:val="16"/>
          <w:szCs w:val="16"/>
          <w:color w:val="auto"/>
        </w:rPr>
        <w:t>December 8, 2022</w:t>
      </w:r>
      <w:r>
        <w:rPr>
          <w:rFonts w:ascii="Arial" w:cs="Arial" w:eastAsia="Arial" w:hAnsi="Arial"/>
          <w:sz w:val="26"/>
          <w:szCs w:val="26"/>
          <w:color w:val="auto"/>
          <w:vertAlign w:val="superscript"/>
        </w:rPr>
        <w:t>(3)</w:t>
      </w:r>
    </w:p>
    <w:p>
      <w:pPr>
        <w:jc w:val="center"/>
        <w:ind w:right="1000"/>
        <w:spacing w:after="0" w:line="206" w:lineRule="auto"/>
        <w:rPr>
          <w:sz w:val="20"/>
          <w:szCs w:val="20"/>
          <w:color w:val="auto"/>
        </w:rPr>
      </w:pPr>
      <w:r>
        <w:rPr>
          <w:rFonts w:ascii="Arial" w:cs="Arial" w:eastAsia="Arial" w:hAnsi="Arial"/>
          <w:sz w:val="16"/>
          <w:szCs w:val="16"/>
          <w:color w:val="auto"/>
        </w:rPr>
        <w:t>December 8, 2022</w:t>
      </w:r>
      <w:r>
        <w:rPr>
          <w:rFonts w:ascii="Arial" w:cs="Arial" w:eastAsia="Arial" w:hAnsi="Arial"/>
          <w:sz w:val="26"/>
          <w:szCs w:val="26"/>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January 12,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January 12, 2023</w:t>
      </w:r>
      <w:r>
        <w:rPr>
          <w:rFonts w:ascii="Arial" w:cs="Arial" w:eastAsia="Arial" w:hAnsi="Arial"/>
          <w:sz w:val="28"/>
          <w:szCs w:val="28"/>
          <w:color w:val="auto"/>
          <w:vertAlign w:val="superscript"/>
        </w:rPr>
        <w:t>(2)</w:t>
      </w:r>
    </w:p>
    <w:p>
      <w:pPr>
        <w:jc w:val="center"/>
        <w:ind w:right="1000"/>
        <w:spacing w:after="0" w:line="191" w:lineRule="auto"/>
        <w:rPr>
          <w:sz w:val="20"/>
          <w:szCs w:val="20"/>
          <w:color w:val="auto"/>
        </w:rPr>
      </w:pPr>
      <w:r>
        <w:rPr>
          <w:rFonts w:ascii="Arial" w:cs="Arial" w:eastAsia="Arial" w:hAnsi="Arial"/>
          <w:sz w:val="17"/>
          <w:szCs w:val="17"/>
          <w:color w:val="auto"/>
        </w:rPr>
        <w:t>January 17, 2023</w:t>
      </w:r>
      <w:r>
        <w:rPr>
          <w:rFonts w:ascii="Arial" w:cs="Arial" w:eastAsia="Arial" w:hAnsi="Arial"/>
          <w:sz w:val="28"/>
          <w:szCs w:val="28"/>
          <w:color w:val="auto"/>
          <w:vertAlign w:val="superscript"/>
        </w:rPr>
        <w:t>(3)</w:t>
      </w:r>
    </w:p>
    <w:p>
      <w:pPr>
        <w:jc w:val="center"/>
        <w:ind w:right="1000"/>
        <w:spacing w:after="0" w:line="192" w:lineRule="auto"/>
        <w:rPr>
          <w:sz w:val="20"/>
          <w:szCs w:val="20"/>
          <w:color w:val="auto"/>
        </w:rPr>
      </w:pPr>
      <w:r>
        <w:rPr>
          <w:rFonts w:ascii="Arial" w:cs="Arial" w:eastAsia="Arial" w:hAnsi="Arial"/>
          <w:sz w:val="17"/>
          <w:szCs w:val="17"/>
          <w:color w:val="auto"/>
        </w:rPr>
        <w:t>January 18,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January 19,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January 20,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January 23,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January 24, 2023</w:t>
      </w:r>
      <w:r>
        <w:rPr>
          <w:rFonts w:ascii="Arial" w:cs="Arial" w:eastAsia="Arial" w:hAnsi="Arial"/>
          <w:sz w:val="28"/>
          <w:szCs w:val="28"/>
          <w:color w:val="auto"/>
          <w:vertAlign w:val="superscript"/>
        </w:rPr>
        <w:t>(3)</w:t>
      </w:r>
    </w:p>
    <w:p>
      <w:pPr>
        <w:jc w:val="center"/>
        <w:ind w:right="1000"/>
        <w:spacing w:after="0" w:line="192" w:lineRule="auto"/>
        <w:rPr>
          <w:sz w:val="20"/>
          <w:szCs w:val="20"/>
          <w:color w:val="auto"/>
        </w:rPr>
      </w:pPr>
      <w:r>
        <w:rPr>
          <w:rFonts w:ascii="Arial" w:cs="Arial" w:eastAsia="Arial" w:hAnsi="Arial"/>
          <w:sz w:val="17"/>
          <w:szCs w:val="17"/>
          <w:color w:val="auto"/>
        </w:rPr>
        <w:t>January 26,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January 30,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January 31,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February 1,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February 2,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February 6, 2023</w:t>
      </w:r>
      <w:r>
        <w:rPr>
          <w:rFonts w:ascii="Arial" w:cs="Arial" w:eastAsia="Arial" w:hAnsi="Arial"/>
          <w:sz w:val="28"/>
          <w:szCs w:val="28"/>
          <w:color w:val="auto"/>
          <w:vertAlign w:val="superscript"/>
        </w:rPr>
        <w:t>(3)</w:t>
      </w:r>
    </w:p>
    <w:p>
      <w:pPr>
        <w:jc w:val="center"/>
        <w:ind w:right="1000"/>
        <w:spacing w:after="0" w:line="192" w:lineRule="auto"/>
        <w:rPr>
          <w:sz w:val="20"/>
          <w:szCs w:val="20"/>
          <w:color w:val="auto"/>
        </w:rPr>
      </w:pPr>
      <w:r>
        <w:rPr>
          <w:rFonts w:ascii="Arial" w:cs="Arial" w:eastAsia="Arial" w:hAnsi="Arial"/>
          <w:sz w:val="17"/>
          <w:szCs w:val="17"/>
          <w:color w:val="auto"/>
        </w:rPr>
        <w:t>February 7,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February 8, 2023</w:t>
      </w:r>
      <w:r>
        <w:rPr>
          <w:rFonts w:ascii="Arial" w:cs="Arial" w:eastAsia="Arial" w:hAnsi="Arial"/>
          <w:sz w:val="28"/>
          <w:szCs w:val="28"/>
          <w:color w:val="auto"/>
          <w:vertAlign w:val="superscript"/>
        </w:rPr>
        <w:t>(3)</w:t>
      </w:r>
    </w:p>
    <w:p>
      <w:pPr>
        <w:jc w:val="center"/>
        <w:ind w:right="1000"/>
        <w:spacing w:after="0" w:line="191" w:lineRule="auto"/>
        <w:rPr>
          <w:sz w:val="20"/>
          <w:szCs w:val="20"/>
          <w:color w:val="auto"/>
        </w:rPr>
      </w:pPr>
      <w:r>
        <w:rPr>
          <w:rFonts w:ascii="Arial" w:cs="Arial" w:eastAsia="Arial" w:hAnsi="Arial"/>
          <w:sz w:val="17"/>
          <w:szCs w:val="17"/>
          <w:color w:val="auto"/>
        </w:rPr>
        <w:t>February 9, 2023</w:t>
      </w:r>
      <w:r>
        <w:rPr>
          <w:rFonts w:ascii="Arial" w:cs="Arial" w:eastAsia="Arial" w:hAnsi="Arial"/>
          <w:sz w:val="28"/>
          <w:szCs w:val="28"/>
          <w:color w:val="auto"/>
          <w:vertAlign w:val="superscript"/>
        </w:rPr>
        <w:t>(3)</w:t>
      </w:r>
    </w:p>
    <w:p>
      <w:pPr>
        <w:jc w:val="center"/>
        <w:ind w:right="1000"/>
        <w:spacing w:after="0" w:line="206" w:lineRule="auto"/>
        <w:rPr>
          <w:sz w:val="20"/>
          <w:szCs w:val="20"/>
          <w:color w:val="auto"/>
        </w:rPr>
      </w:pPr>
      <w:r>
        <w:rPr>
          <w:rFonts w:ascii="Arial" w:cs="Arial" w:eastAsia="Arial" w:hAnsi="Arial"/>
          <w:sz w:val="16"/>
          <w:szCs w:val="16"/>
          <w:color w:val="auto"/>
        </w:rPr>
        <w:t>February 10, 2023</w:t>
      </w:r>
      <w:r>
        <w:rPr>
          <w:rFonts w:ascii="Arial" w:cs="Arial" w:eastAsia="Arial" w:hAnsi="Arial"/>
          <w:sz w:val="26"/>
          <w:szCs w:val="26"/>
          <w:color w:val="auto"/>
          <w:vertAlign w:val="superscript"/>
        </w:rPr>
        <w:t>(3)</w:t>
      </w:r>
    </w:p>
    <w:p>
      <w:pPr>
        <w:jc w:val="center"/>
        <w:ind w:right="1000"/>
        <w:spacing w:after="0" w:line="206" w:lineRule="auto"/>
        <w:rPr>
          <w:sz w:val="20"/>
          <w:szCs w:val="20"/>
          <w:color w:val="auto"/>
        </w:rPr>
      </w:pPr>
      <w:r>
        <w:rPr>
          <w:rFonts w:ascii="Arial" w:cs="Arial" w:eastAsia="Arial" w:hAnsi="Arial"/>
          <w:sz w:val="16"/>
          <w:szCs w:val="16"/>
          <w:color w:val="auto"/>
        </w:rPr>
        <w:t>February 13, 2023</w:t>
      </w:r>
      <w:r>
        <w:rPr>
          <w:rFonts w:ascii="Arial" w:cs="Arial" w:eastAsia="Arial" w:hAnsi="Arial"/>
          <w:sz w:val="26"/>
          <w:szCs w:val="26"/>
          <w:color w:val="auto"/>
          <w:vertAlign w:val="superscript"/>
        </w:rPr>
        <w:t>(3)</w:t>
      </w:r>
    </w:p>
    <w:p>
      <w:pPr>
        <w:jc w:val="center"/>
        <w:ind w:right="1000"/>
        <w:spacing w:after="0" w:line="184" w:lineRule="auto"/>
        <w:rPr>
          <w:sz w:val="20"/>
          <w:szCs w:val="20"/>
          <w:color w:val="auto"/>
        </w:rPr>
      </w:pPr>
      <w:r>
        <w:rPr>
          <w:rFonts w:ascii="Arial" w:cs="Arial" w:eastAsia="Arial" w:hAnsi="Arial"/>
          <w:sz w:val="18"/>
          <w:szCs w:val="18"/>
          <w:color w:val="auto"/>
        </w:rPr>
        <w:t>March 3, 2023</w:t>
      </w:r>
      <w:r>
        <w:rPr>
          <w:rFonts w:ascii="Arial" w:cs="Arial" w:eastAsia="Arial" w:hAnsi="Arial"/>
          <w:sz w:val="29"/>
          <w:szCs w:val="29"/>
          <w:color w:val="auto"/>
          <w:vertAlign w:val="superscript"/>
        </w:rPr>
        <w:t>(3)</w:t>
      </w:r>
    </w:p>
    <w:p>
      <w:pPr>
        <w:jc w:val="center"/>
        <w:ind w:right="1000"/>
        <w:spacing w:after="0" w:line="185" w:lineRule="auto"/>
        <w:rPr>
          <w:sz w:val="20"/>
          <w:szCs w:val="20"/>
          <w:color w:val="auto"/>
        </w:rPr>
      </w:pPr>
      <w:r>
        <w:rPr>
          <w:rFonts w:ascii="Arial" w:cs="Arial" w:eastAsia="Arial" w:hAnsi="Arial"/>
          <w:sz w:val="18"/>
          <w:szCs w:val="18"/>
          <w:color w:val="auto"/>
        </w:rPr>
        <w:t>March 6, 2023</w:t>
      </w:r>
      <w:r>
        <w:rPr>
          <w:rFonts w:ascii="Arial" w:cs="Arial" w:eastAsia="Arial" w:hAnsi="Arial"/>
          <w:sz w:val="29"/>
          <w:szCs w:val="29"/>
          <w:color w:val="auto"/>
          <w:vertAlign w:val="superscript"/>
        </w:rPr>
        <w:t>(3)</w:t>
      </w:r>
    </w:p>
    <w:p>
      <w:pPr>
        <w:jc w:val="center"/>
        <w:ind w:right="1000"/>
        <w:spacing w:after="0" w:line="185" w:lineRule="auto"/>
        <w:rPr>
          <w:sz w:val="20"/>
          <w:szCs w:val="20"/>
          <w:color w:val="auto"/>
        </w:rPr>
      </w:pPr>
      <w:r>
        <w:rPr>
          <w:rFonts w:ascii="Arial" w:cs="Arial" w:eastAsia="Arial" w:hAnsi="Arial"/>
          <w:sz w:val="18"/>
          <w:szCs w:val="18"/>
          <w:color w:val="auto"/>
        </w:rPr>
        <w:t>March 7, 2023</w:t>
      </w:r>
      <w:r>
        <w:rPr>
          <w:rFonts w:ascii="Arial" w:cs="Arial" w:eastAsia="Arial" w:hAnsi="Arial"/>
          <w:sz w:val="29"/>
          <w:szCs w:val="29"/>
          <w:color w:val="auto"/>
          <w:vertAlign w:val="superscript"/>
        </w:rPr>
        <w:t>(3)</w:t>
      </w:r>
    </w:p>
    <w:p>
      <w:pPr>
        <w:jc w:val="center"/>
        <w:ind w:right="1000"/>
        <w:spacing w:after="0" w:line="184" w:lineRule="auto"/>
        <w:rPr>
          <w:sz w:val="20"/>
          <w:szCs w:val="20"/>
          <w:color w:val="auto"/>
        </w:rPr>
      </w:pPr>
      <w:r>
        <w:rPr>
          <w:rFonts w:ascii="Arial" w:cs="Arial" w:eastAsia="Arial" w:hAnsi="Arial"/>
          <w:sz w:val="18"/>
          <w:szCs w:val="18"/>
          <w:color w:val="auto"/>
        </w:rPr>
        <w:t>March 8, 2023</w:t>
      </w:r>
      <w:r>
        <w:rPr>
          <w:rFonts w:ascii="Arial" w:cs="Arial" w:eastAsia="Arial" w:hAnsi="Arial"/>
          <w:sz w:val="29"/>
          <w:szCs w:val="29"/>
          <w:color w:val="auto"/>
          <w:vertAlign w:val="superscript"/>
        </w:rPr>
        <w:t>(3)</w:t>
      </w:r>
    </w:p>
    <w:p>
      <w:pPr>
        <w:jc w:val="center"/>
        <w:ind w:right="1000"/>
        <w:spacing w:after="0" w:line="185" w:lineRule="auto"/>
        <w:rPr>
          <w:sz w:val="20"/>
          <w:szCs w:val="20"/>
          <w:color w:val="auto"/>
        </w:rPr>
      </w:pPr>
      <w:r>
        <w:rPr>
          <w:rFonts w:ascii="Arial" w:cs="Arial" w:eastAsia="Arial" w:hAnsi="Arial"/>
          <w:sz w:val="18"/>
          <w:szCs w:val="18"/>
          <w:color w:val="auto"/>
        </w:rPr>
        <w:t>March 9, 2023</w:t>
      </w:r>
      <w:r>
        <w:rPr>
          <w:rFonts w:ascii="Arial" w:cs="Arial" w:eastAsia="Arial" w:hAnsi="Arial"/>
          <w:sz w:val="29"/>
          <w:szCs w:val="29"/>
          <w:color w:val="auto"/>
          <w:vertAlign w:val="superscript"/>
        </w:rPr>
        <w:t>(3)</w:t>
      </w:r>
    </w:p>
    <w:p>
      <w:pPr>
        <w:jc w:val="center"/>
        <w:ind w:right="1000"/>
        <w:spacing w:after="0" w:line="184" w:lineRule="auto"/>
        <w:rPr>
          <w:sz w:val="20"/>
          <w:szCs w:val="20"/>
          <w:color w:val="auto"/>
        </w:rPr>
      </w:pPr>
      <w:r>
        <w:rPr>
          <w:rFonts w:ascii="Arial" w:cs="Arial" w:eastAsia="Arial" w:hAnsi="Arial"/>
          <w:sz w:val="18"/>
          <w:szCs w:val="18"/>
          <w:color w:val="auto"/>
        </w:rPr>
        <w:t>March 13, 2023</w:t>
      </w:r>
      <w:r>
        <w:rPr>
          <w:rFonts w:ascii="Arial" w:cs="Arial" w:eastAsia="Arial" w:hAnsi="Arial"/>
          <w:sz w:val="29"/>
          <w:szCs w:val="29"/>
          <w:color w:val="auto"/>
          <w:vertAlign w:val="superscript"/>
        </w:rPr>
        <w:t>(3)</w:t>
      </w:r>
    </w:p>
    <w:p>
      <w:pPr>
        <w:jc w:val="center"/>
        <w:ind w:right="1000"/>
        <w:spacing w:after="0" w:line="185" w:lineRule="auto"/>
        <w:rPr>
          <w:sz w:val="20"/>
          <w:szCs w:val="20"/>
          <w:color w:val="auto"/>
        </w:rPr>
      </w:pPr>
      <w:r>
        <w:rPr>
          <w:rFonts w:ascii="Arial" w:cs="Arial" w:eastAsia="Arial" w:hAnsi="Arial"/>
          <w:sz w:val="18"/>
          <w:szCs w:val="18"/>
          <w:color w:val="auto"/>
        </w:rPr>
        <w:t>March 14, 2023</w:t>
      </w:r>
      <w:r>
        <w:rPr>
          <w:rFonts w:ascii="Arial" w:cs="Arial" w:eastAsia="Arial" w:hAnsi="Arial"/>
          <w:sz w:val="29"/>
          <w:szCs w:val="29"/>
          <w:color w:val="auto"/>
          <w:vertAlign w:val="superscript"/>
        </w:rPr>
        <w:t>(3)</w:t>
      </w:r>
    </w:p>
    <w:p>
      <w:pPr>
        <w:jc w:val="center"/>
        <w:ind w:right="1000"/>
        <w:spacing w:after="0" w:line="185" w:lineRule="auto"/>
        <w:rPr>
          <w:sz w:val="20"/>
          <w:szCs w:val="20"/>
          <w:color w:val="auto"/>
        </w:rPr>
      </w:pPr>
      <w:r>
        <w:rPr>
          <w:rFonts w:ascii="Arial" w:cs="Arial" w:eastAsia="Arial" w:hAnsi="Arial"/>
          <w:sz w:val="18"/>
          <w:szCs w:val="18"/>
          <w:color w:val="auto"/>
        </w:rPr>
        <w:t>March 14, 2023</w:t>
      </w:r>
      <w:r>
        <w:rPr>
          <w:rFonts w:ascii="Arial" w:cs="Arial" w:eastAsia="Arial" w:hAnsi="Arial"/>
          <w:sz w:val="29"/>
          <w:szCs w:val="29"/>
          <w:color w:val="auto"/>
          <w:vertAlign w:val="superscript"/>
        </w:rPr>
        <w:t>(2)</w:t>
      </w:r>
    </w:p>
    <w:p>
      <w:pPr>
        <w:jc w:val="center"/>
        <w:ind w:right="1000"/>
        <w:spacing w:after="0" w:line="184" w:lineRule="auto"/>
        <w:rPr>
          <w:sz w:val="20"/>
          <w:szCs w:val="20"/>
          <w:color w:val="auto"/>
        </w:rPr>
      </w:pPr>
      <w:r>
        <w:rPr>
          <w:rFonts w:ascii="Arial" w:cs="Arial" w:eastAsia="Arial" w:hAnsi="Arial"/>
          <w:sz w:val="18"/>
          <w:szCs w:val="18"/>
          <w:color w:val="auto"/>
        </w:rPr>
        <w:t>March 16, 2023</w:t>
      </w:r>
      <w:r>
        <w:rPr>
          <w:rFonts w:ascii="Arial" w:cs="Arial" w:eastAsia="Arial" w:hAnsi="Arial"/>
          <w:sz w:val="29"/>
          <w:szCs w:val="29"/>
          <w:color w:val="auto"/>
          <w:vertAlign w:val="superscript"/>
        </w:rPr>
        <w:t>(3)</w:t>
      </w:r>
    </w:p>
    <w:p>
      <w:pPr>
        <w:jc w:val="center"/>
        <w:ind w:right="1000"/>
        <w:spacing w:after="0" w:line="185" w:lineRule="auto"/>
        <w:rPr>
          <w:sz w:val="20"/>
          <w:szCs w:val="20"/>
          <w:color w:val="auto"/>
        </w:rPr>
      </w:pPr>
      <w:r>
        <w:rPr>
          <w:rFonts w:ascii="Arial" w:cs="Arial" w:eastAsia="Arial" w:hAnsi="Arial"/>
          <w:sz w:val="18"/>
          <w:szCs w:val="18"/>
          <w:color w:val="auto"/>
        </w:rPr>
        <w:t>March 17, 2023</w:t>
      </w:r>
      <w:r>
        <w:rPr>
          <w:rFonts w:ascii="Arial" w:cs="Arial" w:eastAsia="Arial" w:hAnsi="Arial"/>
          <w:sz w:val="29"/>
          <w:szCs w:val="29"/>
          <w:color w:val="auto"/>
          <w:vertAlign w:val="superscript"/>
        </w:rPr>
        <w:t>(3)</w:t>
      </w:r>
    </w:p>
    <w:p>
      <w:pPr>
        <w:jc w:val="center"/>
        <w:ind w:right="1000"/>
        <w:spacing w:after="0" w:line="184" w:lineRule="auto"/>
        <w:rPr>
          <w:sz w:val="20"/>
          <w:szCs w:val="20"/>
          <w:color w:val="auto"/>
        </w:rPr>
      </w:pPr>
      <w:r>
        <w:rPr>
          <w:rFonts w:ascii="Arial" w:cs="Arial" w:eastAsia="Arial" w:hAnsi="Arial"/>
          <w:sz w:val="18"/>
          <w:szCs w:val="18"/>
          <w:color w:val="auto"/>
        </w:rPr>
        <w:t>March 20, 2023</w:t>
      </w:r>
      <w:r>
        <w:rPr>
          <w:rFonts w:ascii="Arial" w:cs="Arial" w:eastAsia="Arial" w:hAnsi="Arial"/>
          <w:sz w:val="29"/>
          <w:szCs w:val="29"/>
          <w:color w:val="auto"/>
          <w:vertAlign w:val="superscript"/>
        </w:rPr>
        <w:t>(3)</w:t>
      </w:r>
    </w:p>
    <w:p>
      <w:pPr>
        <w:jc w:val="center"/>
        <w:ind w:right="1000"/>
        <w:spacing w:after="0" w:line="185" w:lineRule="auto"/>
        <w:rPr>
          <w:sz w:val="20"/>
          <w:szCs w:val="20"/>
          <w:color w:val="auto"/>
        </w:rPr>
      </w:pPr>
      <w:r>
        <w:rPr>
          <w:rFonts w:ascii="Arial" w:cs="Arial" w:eastAsia="Arial" w:hAnsi="Arial"/>
          <w:sz w:val="18"/>
          <w:szCs w:val="18"/>
          <w:color w:val="auto"/>
        </w:rPr>
        <w:t>March 21, 2023</w:t>
      </w:r>
      <w:r>
        <w:rPr>
          <w:rFonts w:ascii="Arial" w:cs="Arial" w:eastAsia="Arial" w:hAnsi="Arial"/>
          <w:sz w:val="29"/>
          <w:szCs w:val="29"/>
          <w:color w:val="auto"/>
          <w:vertAlign w:val="superscript"/>
        </w:rPr>
        <w:t>(3)</w:t>
      </w:r>
    </w:p>
    <w:p>
      <w:pPr>
        <w:jc w:val="center"/>
        <w:ind w:right="1000"/>
        <w:spacing w:after="0" w:line="185" w:lineRule="auto"/>
        <w:rPr>
          <w:sz w:val="20"/>
          <w:szCs w:val="20"/>
          <w:color w:val="auto"/>
        </w:rPr>
      </w:pPr>
      <w:r>
        <w:rPr>
          <w:rFonts w:ascii="Arial" w:cs="Arial" w:eastAsia="Arial" w:hAnsi="Arial"/>
          <w:sz w:val="18"/>
          <w:szCs w:val="18"/>
          <w:color w:val="auto"/>
        </w:rPr>
        <w:t>March 22, 2023</w:t>
      </w:r>
      <w:r>
        <w:rPr>
          <w:rFonts w:ascii="Arial" w:cs="Arial" w:eastAsia="Arial" w:hAnsi="Arial"/>
          <w:sz w:val="29"/>
          <w:szCs w:val="29"/>
          <w:color w:val="auto"/>
          <w:vertAlign w:val="superscript"/>
        </w:rPr>
        <w:t>(3)</w:t>
      </w:r>
    </w:p>
    <w:p>
      <w:pPr>
        <w:jc w:val="center"/>
        <w:ind w:right="1000"/>
        <w:spacing w:after="0" w:line="184" w:lineRule="auto"/>
        <w:rPr>
          <w:sz w:val="20"/>
          <w:szCs w:val="20"/>
          <w:color w:val="auto"/>
        </w:rPr>
      </w:pPr>
      <w:r>
        <w:rPr>
          <w:rFonts w:ascii="Arial" w:cs="Arial" w:eastAsia="Arial" w:hAnsi="Arial"/>
          <w:sz w:val="18"/>
          <w:szCs w:val="18"/>
          <w:color w:val="auto"/>
        </w:rPr>
        <w:t>March 28, 2023</w:t>
      </w:r>
      <w:r>
        <w:rPr>
          <w:rFonts w:ascii="Arial" w:cs="Arial" w:eastAsia="Arial" w:hAnsi="Arial"/>
          <w:sz w:val="29"/>
          <w:szCs w:val="29"/>
          <w:color w:val="auto"/>
          <w:vertAlign w:val="superscript"/>
        </w:rPr>
        <w:t>(3)</w:t>
      </w:r>
    </w:p>
    <w:p>
      <w:pPr>
        <w:jc w:val="center"/>
        <w:ind w:right="1000"/>
        <w:spacing w:after="0" w:line="185" w:lineRule="auto"/>
        <w:rPr>
          <w:sz w:val="20"/>
          <w:szCs w:val="20"/>
          <w:color w:val="auto"/>
        </w:rPr>
      </w:pPr>
      <w:r>
        <w:rPr>
          <w:rFonts w:ascii="Arial" w:cs="Arial" w:eastAsia="Arial" w:hAnsi="Arial"/>
          <w:sz w:val="18"/>
          <w:szCs w:val="18"/>
          <w:color w:val="auto"/>
        </w:rPr>
        <w:t>March 29, 2023</w:t>
      </w:r>
      <w:r>
        <w:rPr>
          <w:rFonts w:ascii="Arial" w:cs="Arial" w:eastAsia="Arial" w:hAnsi="Arial"/>
          <w:sz w:val="29"/>
          <w:szCs w:val="29"/>
          <w:color w:val="auto"/>
          <w:vertAlign w:val="superscript"/>
        </w:rPr>
        <w:t>(3)</w:t>
      </w:r>
    </w:p>
    <w:p>
      <w:pPr>
        <w:jc w:val="center"/>
        <w:ind w:right="1000"/>
        <w:spacing w:after="0" w:line="184" w:lineRule="auto"/>
        <w:rPr>
          <w:sz w:val="20"/>
          <w:szCs w:val="20"/>
          <w:color w:val="auto"/>
        </w:rPr>
      </w:pPr>
      <w:r>
        <w:rPr>
          <w:rFonts w:ascii="Arial" w:cs="Arial" w:eastAsia="Arial" w:hAnsi="Arial"/>
          <w:sz w:val="18"/>
          <w:szCs w:val="18"/>
          <w:color w:val="auto"/>
        </w:rPr>
        <w:t>April 19, 2023</w:t>
      </w:r>
      <w:r>
        <w:rPr>
          <w:rFonts w:ascii="Arial" w:cs="Arial" w:eastAsia="Arial" w:hAnsi="Arial"/>
          <w:sz w:val="29"/>
          <w:szCs w:val="29"/>
          <w:color w:val="auto"/>
          <w:vertAlign w:val="superscript"/>
        </w:rPr>
        <w:t>(3)</w:t>
      </w:r>
    </w:p>
    <w:p>
      <w:pPr>
        <w:jc w:val="center"/>
        <w:ind w:right="1000"/>
        <w:spacing w:after="0" w:line="185" w:lineRule="auto"/>
        <w:rPr>
          <w:sz w:val="20"/>
          <w:szCs w:val="20"/>
          <w:color w:val="auto"/>
        </w:rPr>
      </w:pPr>
      <w:r>
        <w:rPr>
          <w:rFonts w:ascii="Arial" w:cs="Arial" w:eastAsia="Arial" w:hAnsi="Arial"/>
          <w:sz w:val="18"/>
          <w:szCs w:val="18"/>
          <w:color w:val="auto"/>
        </w:rPr>
        <w:t>April 20, 2023</w:t>
      </w:r>
      <w:r>
        <w:rPr>
          <w:rFonts w:ascii="Arial" w:cs="Arial" w:eastAsia="Arial" w:hAnsi="Arial"/>
          <w:sz w:val="29"/>
          <w:szCs w:val="29"/>
          <w:color w:val="auto"/>
          <w:vertAlign w:val="superscript"/>
        </w:rPr>
        <w:t>(3)</w:t>
      </w:r>
    </w:p>
    <w:p>
      <w:pPr>
        <w:jc w:val="center"/>
        <w:ind w:right="1000"/>
        <w:spacing w:after="0" w:line="185" w:lineRule="auto"/>
        <w:rPr>
          <w:sz w:val="20"/>
          <w:szCs w:val="20"/>
          <w:color w:val="auto"/>
        </w:rPr>
      </w:pPr>
      <w:r>
        <w:rPr>
          <w:rFonts w:ascii="Arial" w:cs="Arial" w:eastAsia="Arial" w:hAnsi="Arial"/>
          <w:sz w:val="18"/>
          <w:szCs w:val="18"/>
          <w:color w:val="auto"/>
        </w:rPr>
        <w:t>April 21, 2023</w:t>
      </w:r>
      <w:r>
        <w:rPr>
          <w:rFonts w:ascii="Arial" w:cs="Arial" w:eastAsia="Arial" w:hAnsi="Arial"/>
          <w:sz w:val="29"/>
          <w:szCs w:val="29"/>
          <w:color w:val="auto"/>
          <w:vertAlign w:val="superscript"/>
        </w:rPr>
        <w:t>(3)</w:t>
      </w:r>
    </w:p>
    <w:p>
      <w:pPr>
        <w:jc w:val="center"/>
        <w:ind w:right="1000"/>
        <w:spacing w:after="0"/>
        <w:rPr>
          <w:sz w:val="20"/>
          <w:szCs w:val="20"/>
          <w:color w:val="auto"/>
        </w:rPr>
      </w:pPr>
      <w:r>
        <w:rPr>
          <w:rFonts w:ascii="Arial" w:cs="Arial" w:eastAsia="Arial" w:hAnsi="Arial"/>
          <w:sz w:val="18"/>
          <w:szCs w:val="18"/>
          <w:color w:val="auto"/>
        </w:rPr>
        <w:t>April 26, 2023</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375,000</w:t>
            </w:r>
          </w:p>
        </w:tc>
        <w:tc>
          <w:tcPr>
            <w:tcW w:w="31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0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44"/>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156,574</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350,300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102,928</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230,000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293,644</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192,600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12,922</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163,000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9"/>
              </w:rPr>
              <w:t>5,089,648</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9"/>
              </w:rPr>
              <w:t>1,200,000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150,000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270,000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171,900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286,000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266,000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333,000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235,000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124,600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167,400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212,000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125,000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290,000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580,000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700,000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123,400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884,000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102,000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50,000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620,000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125,837</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446,000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9"/>
              </w:rPr>
              <w:t>2,387,222</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80,000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254,000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180,000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170,000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439,000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87"/>
              </w:rPr>
              <w:t>47,300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57"/>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350,000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153,000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6"/>
        </w:trPr>
        <w:tc>
          <w:tcPr>
            <w:tcW w:w="1640" w:type="dxa"/>
            <w:vAlign w:val="bottom"/>
          </w:tcPr>
          <w:p>
            <w:pPr>
              <w:jc w:val="center"/>
              <w:ind w:right="830"/>
              <w:spacing w:after="0"/>
              <w:rPr>
                <w:sz w:val="20"/>
                <w:szCs w:val="20"/>
                <w:color w:val="auto"/>
              </w:rPr>
            </w:pPr>
            <w:r>
              <w:rPr>
                <w:rFonts w:ascii="Arial" w:cs="Arial" w:eastAsia="Arial" w:hAnsi="Arial"/>
                <w:sz w:val="18"/>
                <w:szCs w:val="18"/>
                <w:color w:val="auto"/>
                <w:w w:val="92"/>
              </w:rPr>
              <w:t>257,600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$0.47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-7448550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-7148830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-6823075</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-6497320</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-6171565</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-5845810</wp:posOffset>
            </wp:positionV>
            <wp:extent cx="713232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-5520055</wp:posOffset>
            </wp:positionV>
            <wp:extent cx="71323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-5194300</wp:posOffset>
            </wp:positionV>
            <wp:extent cx="713232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-4868545</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-4542790</wp:posOffset>
            </wp:positionV>
            <wp:extent cx="713232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-4217035</wp:posOffset>
            </wp:positionV>
            <wp:extent cx="713232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-3891280</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-3565525</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-3239770</wp:posOffset>
            </wp:positionV>
            <wp:extent cx="713232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-2914015</wp:posOffset>
            </wp:positionV>
            <wp:extent cx="713232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-2588260</wp:posOffset>
            </wp:positionV>
            <wp:extent cx="713232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-2262505</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-1936750</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-1610995</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-1285240</wp:posOffset>
            </wp:positionV>
            <wp:extent cx="71323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-959485</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-633730</wp:posOffset>
            </wp:positionV>
            <wp:extent cx="713232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-307975</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-2498090</wp:posOffset>
            </wp:positionH>
            <wp:positionV relativeFrom="paragraph">
              <wp:posOffset>142240</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2">
            <w:col w:w="2600" w:space="720"/>
            <w:col w:w="6199"/>
          </w:cols>
          <w:pgMar w:left="940" w:top="368" w:right="1440" w:bottom="1440" w:gutter="0" w:footer="0" w:header="0"/>
        </w:sectPr>
      </w:pPr>
    </w:p>
    <w:bookmarkStart w:id="21" w:name="page22"/>
    <w:bookmarkEnd w:id="21"/>
    <w:p>
      <w:pPr>
        <w:ind w:left="840"/>
        <w:spacing w:after="0"/>
        <w:rPr>
          <w:sz w:val="20"/>
          <w:szCs w:val="20"/>
          <w:color w:val="auto"/>
        </w:rPr>
      </w:pPr>
      <w:r>
        <w:rPr>
          <w:rFonts w:ascii="Arial" w:cs="Arial" w:eastAsia="Arial" w:hAnsi="Arial"/>
          <w:sz w:val="17"/>
          <w:szCs w:val="17"/>
          <w:color w:val="auto"/>
        </w:rPr>
        <w:t>May 4, 2023</w:t>
      </w:r>
      <w:r>
        <w:rPr>
          <w:rFonts w:ascii="Arial" w:cs="Arial" w:eastAsia="Arial" w:hAnsi="Arial"/>
          <w:sz w:val="28"/>
          <w:szCs w:val="28"/>
          <w:color w:val="auto"/>
          <w:vertAlign w:val="superscript"/>
        </w:rPr>
        <w:t>(3)</w:t>
      </w:r>
    </w:p>
    <w:p>
      <w:pPr>
        <w:ind w:left="840"/>
        <w:spacing w:after="0" w:line="191" w:lineRule="auto"/>
        <w:rPr>
          <w:sz w:val="20"/>
          <w:szCs w:val="20"/>
          <w:color w:val="auto"/>
        </w:rPr>
      </w:pPr>
      <w:r>
        <w:rPr>
          <w:rFonts w:ascii="Arial" w:cs="Arial" w:eastAsia="Arial" w:hAnsi="Arial"/>
          <w:sz w:val="17"/>
          <w:szCs w:val="17"/>
          <w:color w:val="auto"/>
        </w:rPr>
        <w:t>May 5, 2023</w:t>
      </w:r>
      <w:r>
        <w:rPr>
          <w:rFonts w:ascii="Arial" w:cs="Arial" w:eastAsia="Arial" w:hAnsi="Arial"/>
          <w:sz w:val="28"/>
          <w:szCs w:val="28"/>
          <w:color w:val="auto"/>
          <w:vertAlign w:val="superscript"/>
        </w:rPr>
        <w:t>(3)</w:t>
      </w:r>
    </w:p>
    <w:p>
      <w:pPr>
        <w:ind w:left="840"/>
        <w:spacing w:after="0" w:line="191" w:lineRule="auto"/>
        <w:rPr>
          <w:sz w:val="20"/>
          <w:szCs w:val="20"/>
          <w:color w:val="auto"/>
        </w:rPr>
      </w:pPr>
      <w:r>
        <w:rPr>
          <w:rFonts w:ascii="Arial" w:cs="Arial" w:eastAsia="Arial" w:hAnsi="Arial"/>
          <w:sz w:val="17"/>
          <w:szCs w:val="17"/>
          <w:color w:val="auto"/>
        </w:rPr>
        <w:t>May 9, 2023</w:t>
      </w:r>
      <w:r>
        <w:rPr>
          <w:rFonts w:ascii="Arial" w:cs="Arial" w:eastAsia="Arial" w:hAnsi="Arial"/>
          <w:sz w:val="28"/>
          <w:szCs w:val="28"/>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May 10, 2023</w:t>
      </w:r>
      <w:r>
        <w:rPr>
          <w:rFonts w:ascii="Arial" w:cs="Arial" w:eastAsia="Arial" w:hAnsi="Arial"/>
          <w:sz w:val="26"/>
          <w:szCs w:val="26"/>
          <w:color w:val="auto"/>
          <w:vertAlign w:val="superscript"/>
        </w:rPr>
        <w:t>(3)</w:t>
      </w:r>
    </w:p>
    <w:p>
      <w:pPr>
        <w:ind w:left="800"/>
        <w:spacing w:after="0" w:line="206" w:lineRule="auto"/>
        <w:rPr>
          <w:sz w:val="20"/>
          <w:szCs w:val="20"/>
          <w:color w:val="auto"/>
        </w:rPr>
      </w:pPr>
      <w:r>
        <w:rPr>
          <w:rFonts w:ascii="Arial" w:cs="Arial" w:eastAsia="Arial" w:hAnsi="Arial"/>
          <w:sz w:val="16"/>
          <w:szCs w:val="16"/>
          <w:color w:val="auto"/>
        </w:rPr>
        <w:t>May 11,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May 12, 2023</w:t>
      </w:r>
      <w:r>
        <w:rPr>
          <w:rFonts w:ascii="Arial" w:cs="Arial" w:eastAsia="Arial" w:hAnsi="Arial"/>
          <w:sz w:val="26"/>
          <w:szCs w:val="26"/>
          <w:color w:val="auto"/>
          <w:vertAlign w:val="superscript"/>
        </w:rPr>
        <w:t>(3)</w:t>
      </w:r>
    </w:p>
    <w:p>
      <w:pPr>
        <w:ind w:left="780"/>
        <w:spacing w:after="0" w:line="205" w:lineRule="auto"/>
        <w:rPr>
          <w:sz w:val="20"/>
          <w:szCs w:val="20"/>
          <w:color w:val="auto"/>
        </w:rPr>
      </w:pPr>
      <w:r>
        <w:rPr>
          <w:rFonts w:ascii="Arial" w:cs="Arial" w:eastAsia="Arial" w:hAnsi="Arial"/>
          <w:sz w:val="16"/>
          <w:szCs w:val="16"/>
          <w:color w:val="auto"/>
        </w:rPr>
        <w:t>May 16,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May 17,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May 18,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May 19,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May 23,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May 23,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May 24,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May 25,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May 26,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May 30, 2023</w:t>
      </w:r>
      <w:r>
        <w:rPr>
          <w:rFonts w:ascii="Arial" w:cs="Arial" w:eastAsia="Arial" w:hAnsi="Arial"/>
          <w:sz w:val="26"/>
          <w:szCs w:val="26"/>
          <w:color w:val="auto"/>
          <w:vertAlign w:val="superscript"/>
        </w:rPr>
        <w:t>(3)</w:t>
      </w:r>
    </w:p>
    <w:p>
      <w:pPr>
        <w:ind w:left="780"/>
        <w:spacing w:after="0" w:line="205" w:lineRule="auto"/>
        <w:rPr>
          <w:sz w:val="20"/>
          <w:szCs w:val="20"/>
          <w:color w:val="auto"/>
        </w:rPr>
      </w:pPr>
      <w:r>
        <w:rPr>
          <w:rFonts w:ascii="Arial" w:cs="Arial" w:eastAsia="Arial" w:hAnsi="Arial"/>
          <w:sz w:val="16"/>
          <w:szCs w:val="16"/>
          <w:color w:val="auto"/>
        </w:rPr>
        <w:t>May 30, 2023</w:t>
      </w:r>
      <w:r>
        <w:rPr>
          <w:rFonts w:ascii="Arial" w:cs="Arial" w:eastAsia="Arial" w:hAnsi="Arial"/>
          <w:sz w:val="26"/>
          <w:szCs w:val="26"/>
          <w:color w:val="auto"/>
          <w:vertAlign w:val="superscript"/>
        </w:rPr>
        <w:t>(4)</w:t>
      </w:r>
    </w:p>
    <w:p>
      <w:pPr>
        <w:ind w:left="780"/>
        <w:spacing w:after="0" w:line="206" w:lineRule="auto"/>
        <w:rPr>
          <w:sz w:val="20"/>
          <w:szCs w:val="20"/>
          <w:color w:val="auto"/>
        </w:rPr>
      </w:pPr>
      <w:r>
        <w:rPr>
          <w:rFonts w:ascii="Arial" w:cs="Arial" w:eastAsia="Arial" w:hAnsi="Arial"/>
          <w:sz w:val="16"/>
          <w:szCs w:val="16"/>
          <w:color w:val="auto"/>
        </w:rPr>
        <w:t>May 31, 2023</w:t>
      </w:r>
      <w:r>
        <w:rPr>
          <w:rFonts w:ascii="Arial" w:cs="Arial" w:eastAsia="Arial" w:hAnsi="Arial"/>
          <w:sz w:val="26"/>
          <w:szCs w:val="26"/>
          <w:color w:val="auto"/>
          <w:vertAlign w:val="superscript"/>
        </w:rPr>
        <w:t>(5)</w:t>
      </w:r>
    </w:p>
    <w:p>
      <w:pPr>
        <w:ind w:left="840"/>
        <w:spacing w:after="0" w:line="206" w:lineRule="auto"/>
        <w:rPr>
          <w:sz w:val="20"/>
          <w:szCs w:val="20"/>
          <w:color w:val="auto"/>
        </w:rPr>
      </w:pPr>
      <w:r>
        <w:rPr>
          <w:rFonts w:ascii="Arial" w:cs="Arial" w:eastAsia="Arial" w:hAnsi="Arial"/>
          <w:sz w:val="16"/>
          <w:szCs w:val="16"/>
          <w:color w:val="auto"/>
        </w:rPr>
        <w:t>June 1, 2023</w:t>
      </w:r>
      <w:r>
        <w:rPr>
          <w:rFonts w:ascii="Arial" w:cs="Arial" w:eastAsia="Arial" w:hAnsi="Arial"/>
          <w:sz w:val="26"/>
          <w:szCs w:val="26"/>
          <w:color w:val="auto"/>
          <w:vertAlign w:val="superscript"/>
        </w:rPr>
        <w:t>(3)</w:t>
      </w:r>
    </w:p>
    <w:p>
      <w:pPr>
        <w:ind w:left="840"/>
        <w:spacing w:after="0" w:line="206" w:lineRule="auto"/>
        <w:rPr>
          <w:sz w:val="20"/>
          <w:szCs w:val="20"/>
          <w:color w:val="auto"/>
        </w:rPr>
      </w:pPr>
      <w:r>
        <w:rPr>
          <w:rFonts w:ascii="Arial" w:cs="Arial" w:eastAsia="Arial" w:hAnsi="Arial"/>
          <w:sz w:val="16"/>
          <w:szCs w:val="16"/>
          <w:color w:val="auto"/>
        </w:rPr>
        <w:t>June 1, 2023</w:t>
      </w:r>
      <w:r>
        <w:rPr>
          <w:rFonts w:ascii="Arial" w:cs="Arial" w:eastAsia="Arial" w:hAnsi="Arial"/>
          <w:sz w:val="26"/>
          <w:szCs w:val="26"/>
          <w:color w:val="auto"/>
          <w:vertAlign w:val="superscript"/>
        </w:rPr>
        <w:t>(5)</w:t>
      </w:r>
    </w:p>
    <w:p>
      <w:pPr>
        <w:ind w:left="840"/>
        <w:spacing w:after="0" w:line="206" w:lineRule="auto"/>
        <w:rPr>
          <w:sz w:val="20"/>
          <w:szCs w:val="20"/>
          <w:color w:val="auto"/>
        </w:rPr>
      </w:pPr>
      <w:r>
        <w:rPr>
          <w:rFonts w:ascii="Arial" w:cs="Arial" w:eastAsia="Arial" w:hAnsi="Arial"/>
          <w:sz w:val="16"/>
          <w:szCs w:val="16"/>
          <w:color w:val="auto"/>
        </w:rPr>
        <w:t>June 2, 2023</w:t>
      </w:r>
      <w:r>
        <w:rPr>
          <w:rFonts w:ascii="Arial" w:cs="Arial" w:eastAsia="Arial" w:hAnsi="Arial"/>
          <w:sz w:val="26"/>
          <w:szCs w:val="26"/>
          <w:color w:val="auto"/>
          <w:vertAlign w:val="superscript"/>
        </w:rPr>
        <w:t>(3)</w:t>
      </w:r>
    </w:p>
    <w:p>
      <w:pPr>
        <w:ind w:left="840"/>
        <w:spacing w:after="0" w:line="206" w:lineRule="auto"/>
        <w:rPr>
          <w:sz w:val="20"/>
          <w:szCs w:val="20"/>
          <w:color w:val="auto"/>
        </w:rPr>
      </w:pPr>
      <w:r>
        <w:rPr>
          <w:rFonts w:ascii="Arial" w:cs="Arial" w:eastAsia="Arial" w:hAnsi="Arial"/>
          <w:sz w:val="16"/>
          <w:szCs w:val="16"/>
          <w:color w:val="auto"/>
        </w:rPr>
        <w:t>June 2, 2023</w:t>
      </w:r>
      <w:r>
        <w:rPr>
          <w:rFonts w:ascii="Arial" w:cs="Arial" w:eastAsia="Arial" w:hAnsi="Arial"/>
          <w:sz w:val="26"/>
          <w:szCs w:val="26"/>
          <w:color w:val="auto"/>
          <w:vertAlign w:val="superscript"/>
        </w:rPr>
        <w:t>(5)</w:t>
      </w:r>
    </w:p>
    <w:p>
      <w:pPr>
        <w:ind w:left="840"/>
        <w:spacing w:after="0" w:line="206" w:lineRule="auto"/>
        <w:rPr>
          <w:sz w:val="20"/>
          <w:szCs w:val="20"/>
          <w:color w:val="auto"/>
        </w:rPr>
      </w:pPr>
      <w:r>
        <w:rPr>
          <w:rFonts w:ascii="Arial" w:cs="Arial" w:eastAsia="Arial" w:hAnsi="Arial"/>
          <w:sz w:val="16"/>
          <w:szCs w:val="16"/>
          <w:color w:val="auto"/>
        </w:rPr>
        <w:t>June 5, 2023</w:t>
      </w:r>
      <w:r>
        <w:rPr>
          <w:rFonts w:ascii="Arial" w:cs="Arial" w:eastAsia="Arial" w:hAnsi="Arial"/>
          <w:sz w:val="26"/>
          <w:szCs w:val="26"/>
          <w:color w:val="auto"/>
          <w:vertAlign w:val="superscript"/>
        </w:rPr>
        <w:t>(3)</w:t>
      </w:r>
    </w:p>
    <w:p>
      <w:pPr>
        <w:ind w:left="840"/>
        <w:spacing w:after="0" w:line="206" w:lineRule="auto"/>
        <w:rPr>
          <w:sz w:val="20"/>
          <w:szCs w:val="20"/>
          <w:color w:val="auto"/>
        </w:rPr>
      </w:pPr>
      <w:r>
        <w:rPr>
          <w:rFonts w:ascii="Arial" w:cs="Arial" w:eastAsia="Arial" w:hAnsi="Arial"/>
          <w:sz w:val="16"/>
          <w:szCs w:val="16"/>
          <w:color w:val="auto"/>
        </w:rPr>
        <w:t>June 5, 2023</w:t>
      </w:r>
      <w:r>
        <w:rPr>
          <w:rFonts w:ascii="Arial" w:cs="Arial" w:eastAsia="Arial" w:hAnsi="Arial"/>
          <w:sz w:val="26"/>
          <w:szCs w:val="26"/>
          <w:color w:val="auto"/>
          <w:vertAlign w:val="superscript"/>
        </w:rPr>
        <w:t>(5)</w:t>
      </w:r>
    </w:p>
    <w:p>
      <w:pPr>
        <w:ind w:left="840"/>
        <w:spacing w:after="0" w:line="206" w:lineRule="auto"/>
        <w:rPr>
          <w:sz w:val="20"/>
          <w:szCs w:val="20"/>
          <w:color w:val="auto"/>
        </w:rPr>
      </w:pPr>
      <w:r>
        <w:rPr>
          <w:rFonts w:ascii="Arial" w:cs="Arial" w:eastAsia="Arial" w:hAnsi="Arial"/>
          <w:sz w:val="16"/>
          <w:szCs w:val="16"/>
          <w:color w:val="auto"/>
        </w:rPr>
        <w:t>June 6, 2023</w:t>
      </w:r>
      <w:r>
        <w:rPr>
          <w:rFonts w:ascii="Arial" w:cs="Arial" w:eastAsia="Arial" w:hAnsi="Arial"/>
          <w:sz w:val="26"/>
          <w:szCs w:val="26"/>
          <w:color w:val="auto"/>
          <w:vertAlign w:val="superscript"/>
        </w:rPr>
        <w:t>(3)</w:t>
      </w:r>
    </w:p>
    <w:p>
      <w:pPr>
        <w:ind w:left="840"/>
        <w:spacing w:after="0" w:line="205" w:lineRule="auto"/>
        <w:rPr>
          <w:sz w:val="20"/>
          <w:szCs w:val="20"/>
          <w:color w:val="auto"/>
        </w:rPr>
      </w:pPr>
      <w:r>
        <w:rPr>
          <w:rFonts w:ascii="Arial" w:cs="Arial" w:eastAsia="Arial" w:hAnsi="Arial"/>
          <w:sz w:val="16"/>
          <w:szCs w:val="16"/>
          <w:color w:val="auto"/>
        </w:rPr>
        <w:t>June 7, 2023</w:t>
      </w:r>
      <w:r>
        <w:rPr>
          <w:rFonts w:ascii="Arial" w:cs="Arial" w:eastAsia="Arial" w:hAnsi="Arial"/>
          <w:sz w:val="26"/>
          <w:szCs w:val="26"/>
          <w:color w:val="auto"/>
          <w:vertAlign w:val="superscript"/>
        </w:rPr>
        <w:t>(3)</w:t>
      </w:r>
    </w:p>
    <w:p>
      <w:pPr>
        <w:ind w:left="840"/>
        <w:spacing w:after="0" w:line="206" w:lineRule="auto"/>
        <w:rPr>
          <w:sz w:val="20"/>
          <w:szCs w:val="20"/>
          <w:color w:val="auto"/>
        </w:rPr>
      </w:pPr>
      <w:r>
        <w:rPr>
          <w:rFonts w:ascii="Arial" w:cs="Arial" w:eastAsia="Arial" w:hAnsi="Arial"/>
          <w:sz w:val="16"/>
          <w:szCs w:val="16"/>
          <w:color w:val="auto"/>
        </w:rPr>
        <w:t>June 7, 2023</w:t>
      </w:r>
      <w:r>
        <w:rPr>
          <w:rFonts w:ascii="Arial" w:cs="Arial" w:eastAsia="Arial" w:hAnsi="Arial"/>
          <w:sz w:val="26"/>
          <w:szCs w:val="26"/>
          <w:color w:val="auto"/>
          <w:vertAlign w:val="superscript"/>
        </w:rPr>
        <w:t>(5)</w:t>
      </w:r>
    </w:p>
    <w:p>
      <w:pPr>
        <w:ind w:left="840"/>
        <w:spacing w:after="0" w:line="206" w:lineRule="auto"/>
        <w:rPr>
          <w:sz w:val="20"/>
          <w:szCs w:val="20"/>
          <w:color w:val="auto"/>
        </w:rPr>
      </w:pPr>
      <w:r>
        <w:rPr>
          <w:rFonts w:ascii="Arial" w:cs="Arial" w:eastAsia="Arial" w:hAnsi="Arial"/>
          <w:sz w:val="16"/>
          <w:szCs w:val="16"/>
          <w:color w:val="auto"/>
        </w:rPr>
        <w:t>June 8, 2023</w:t>
      </w:r>
      <w:r>
        <w:rPr>
          <w:rFonts w:ascii="Arial" w:cs="Arial" w:eastAsia="Arial" w:hAnsi="Arial"/>
          <w:sz w:val="26"/>
          <w:szCs w:val="26"/>
          <w:color w:val="auto"/>
          <w:vertAlign w:val="superscript"/>
        </w:rPr>
        <w:t>(3)</w:t>
      </w:r>
    </w:p>
    <w:p>
      <w:pPr>
        <w:ind w:left="840"/>
        <w:spacing w:after="0" w:line="206" w:lineRule="auto"/>
        <w:rPr>
          <w:sz w:val="20"/>
          <w:szCs w:val="20"/>
          <w:color w:val="auto"/>
        </w:rPr>
      </w:pPr>
      <w:r>
        <w:rPr>
          <w:rFonts w:ascii="Arial" w:cs="Arial" w:eastAsia="Arial" w:hAnsi="Arial"/>
          <w:sz w:val="16"/>
          <w:szCs w:val="16"/>
          <w:color w:val="auto"/>
        </w:rPr>
        <w:t>June 8, 2023</w:t>
      </w:r>
      <w:r>
        <w:rPr>
          <w:rFonts w:ascii="Arial" w:cs="Arial" w:eastAsia="Arial" w:hAnsi="Arial"/>
          <w:sz w:val="26"/>
          <w:szCs w:val="26"/>
          <w:color w:val="auto"/>
          <w:vertAlign w:val="superscript"/>
        </w:rPr>
        <w:t>(5)</w:t>
      </w:r>
    </w:p>
    <w:p>
      <w:pPr>
        <w:ind w:left="840"/>
        <w:spacing w:after="0" w:line="206" w:lineRule="auto"/>
        <w:rPr>
          <w:sz w:val="20"/>
          <w:szCs w:val="20"/>
          <w:color w:val="auto"/>
        </w:rPr>
      </w:pPr>
      <w:r>
        <w:rPr>
          <w:rFonts w:ascii="Arial" w:cs="Arial" w:eastAsia="Arial" w:hAnsi="Arial"/>
          <w:sz w:val="16"/>
          <w:szCs w:val="16"/>
          <w:color w:val="auto"/>
        </w:rPr>
        <w:t>June 9, 2023</w:t>
      </w:r>
      <w:r>
        <w:rPr>
          <w:rFonts w:ascii="Arial" w:cs="Arial" w:eastAsia="Arial" w:hAnsi="Arial"/>
          <w:sz w:val="26"/>
          <w:szCs w:val="26"/>
          <w:color w:val="auto"/>
          <w:vertAlign w:val="superscript"/>
        </w:rPr>
        <w:t>(3)</w:t>
      </w:r>
    </w:p>
    <w:p>
      <w:pPr>
        <w:ind w:left="840"/>
        <w:spacing w:after="0" w:line="206" w:lineRule="auto"/>
        <w:rPr>
          <w:sz w:val="20"/>
          <w:szCs w:val="20"/>
          <w:color w:val="auto"/>
        </w:rPr>
      </w:pPr>
      <w:r>
        <w:rPr>
          <w:rFonts w:ascii="Arial" w:cs="Arial" w:eastAsia="Arial" w:hAnsi="Arial"/>
          <w:sz w:val="16"/>
          <w:szCs w:val="16"/>
          <w:color w:val="auto"/>
        </w:rPr>
        <w:t>June 9, 2023</w:t>
      </w:r>
      <w:r>
        <w:rPr>
          <w:rFonts w:ascii="Arial" w:cs="Arial" w:eastAsia="Arial" w:hAnsi="Arial"/>
          <w:sz w:val="26"/>
          <w:szCs w:val="26"/>
          <w:color w:val="auto"/>
          <w:vertAlign w:val="superscript"/>
        </w:rPr>
        <w:t>(5)</w:t>
      </w:r>
    </w:p>
    <w:p>
      <w:pPr>
        <w:ind w:left="780"/>
        <w:spacing w:after="0" w:line="206" w:lineRule="auto"/>
        <w:rPr>
          <w:sz w:val="20"/>
          <w:szCs w:val="20"/>
          <w:color w:val="auto"/>
        </w:rPr>
      </w:pPr>
      <w:r>
        <w:rPr>
          <w:rFonts w:ascii="Arial" w:cs="Arial" w:eastAsia="Arial" w:hAnsi="Arial"/>
          <w:sz w:val="16"/>
          <w:szCs w:val="16"/>
          <w:color w:val="auto"/>
        </w:rPr>
        <w:t>June 12,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June 14, 2023</w:t>
      </w:r>
      <w:r>
        <w:rPr>
          <w:rFonts w:ascii="Arial" w:cs="Arial" w:eastAsia="Arial" w:hAnsi="Arial"/>
          <w:sz w:val="26"/>
          <w:szCs w:val="26"/>
          <w:color w:val="auto"/>
          <w:vertAlign w:val="superscript"/>
        </w:rPr>
        <w:t>(3)</w:t>
      </w:r>
    </w:p>
    <w:p>
      <w:pPr>
        <w:ind w:left="780"/>
        <w:spacing w:after="0" w:line="206" w:lineRule="auto"/>
        <w:rPr>
          <w:sz w:val="20"/>
          <w:szCs w:val="20"/>
          <w:color w:val="auto"/>
        </w:rPr>
      </w:pPr>
      <w:r>
        <w:rPr>
          <w:rFonts w:ascii="Arial" w:cs="Arial" w:eastAsia="Arial" w:hAnsi="Arial"/>
          <w:sz w:val="16"/>
          <w:szCs w:val="16"/>
          <w:color w:val="auto"/>
        </w:rPr>
        <w:t>June 26, 2023</w:t>
      </w:r>
      <w:r>
        <w:rPr>
          <w:rFonts w:ascii="Arial" w:cs="Arial" w:eastAsia="Arial" w:hAnsi="Arial"/>
          <w:sz w:val="26"/>
          <w:szCs w:val="26"/>
          <w:color w:val="auto"/>
          <w:vertAlign w:val="superscript"/>
        </w:rPr>
        <w:t>(3)</w:t>
      </w:r>
    </w:p>
    <w:p>
      <w:pPr>
        <w:jc w:val="center"/>
        <w:ind w:right="380"/>
        <w:spacing w:after="0"/>
        <w:rPr>
          <w:sz w:val="20"/>
          <w:szCs w:val="20"/>
          <w:color w:val="auto"/>
        </w:rPr>
      </w:pPr>
      <w:r>
        <w:rPr>
          <w:rFonts w:ascii="Arial" w:cs="Arial" w:eastAsia="Arial" w:hAnsi="Arial"/>
          <w:sz w:val="18"/>
          <w:szCs w:val="18"/>
          <w:color w:val="auto"/>
        </w:rPr>
        <w:t>June 28, 2023</w:t>
      </w:r>
    </w:p>
    <w:p>
      <w:pPr>
        <w:jc w:val="center"/>
        <w:ind w:right="380"/>
        <w:spacing w:after="0" w:line="190" w:lineRule="auto"/>
        <w:rPr>
          <w:sz w:val="20"/>
          <w:szCs w:val="20"/>
          <w:color w:val="auto"/>
        </w:rPr>
      </w:pPr>
      <w:r>
        <w:rPr>
          <w:rFonts w:ascii="Arial" w:cs="Arial" w:eastAsia="Arial" w:hAnsi="Arial"/>
          <w:sz w:val="18"/>
          <w:szCs w:val="18"/>
          <w:color w:val="auto"/>
        </w:rPr>
        <w:t>July 7, 2023</w:t>
      </w:r>
      <w:r>
        <w:rPr>
          <w:rFonts w:ascii="Arial" w:cs="Arial" w:eastAsia="Arial" w:hAnsi="Arial"/>
          <w:sz w:val="29"/>
          <w:szCs w:val="29"/>
          <w:color w:val="auto"/>
          <w:vertAlign w:val="superscript"/>
        </w:rPr>
        <w:t>(3)</w:t>
      </w:r>
    </w:p>
    <w:p>
      <w:pPr>
        <w:jc w:val="center"/>
        <w:ind w:right="380"/>
        <w:spacing w:after="0" w:line="192" w:lineRule="auto"/>
        <w:rPr>
          <w:sz w:val="20"/>
          <w:szCs w:val="20"/>
          <w:color w:val="auto"/>
        </w:rPr>
      </w:pPr>
      <w:r>
        <w:rPr>
          <w:rFonts w:ascii="Arial" w:cs="Arial" w:eastAsia="Arial" w:hAnsi="Arial"/>
          <w:sz w:val="17"/>
          <w:szCs w:val="17"/>
          <w:color w:val="auto"/>
        </w:rPr>
        <w:t>July 10, 2023</w:t>
      </w:r>
      <w:r>
        <w:rPr>
          <w:rFonts w:ascii="Arial" w:cs="Arial" w:eastAsia="Arial" w:hAnsi="Arial"/>
          <w:sz w:val="28"/>
          <w:szCs w:val="28"/>
          <w:color w:val="auto"/>
          <w:vertAlign w:val="superscript"/>
        </w:rPr>
        <w:t>(3)</w:t>
      </w:r>
    </w:p>
    <w:p>
      <w:pPr>
        <w:jc w:val="center"/>
        <w:ind w:right="380"/>
        <w:spacing w:after="0" w:line="191" w:lineRule="auto"/>
        <w:rPr>
          <w:sz w:val="20"/>
          <w:szCs w:val="20"/>
          <w:color w:val="auto"/>
        </w:rPr>
      </w:pPr>
      <w:r>
        <w:rPr>
          <w:rFonts w:ascii="Arial" w:cs="Arial" w:eastAsia="Arial" w:hAnsi="Arial"/>
          <w:sz w:val="17"/>
          <w:szCs w:val="17"/>
          <w:color w:val="auto"/>
        </w:rPr>
        <w:t>July 11, 2023</w:t>
      </w:r>
      <w:r>
        <w:rPr>
          <w:rFonts w:ascii="Arial" w:cs="Arial" w:eastAsia="Arial" w:hAnsi="Arial"/>
          <w:sz w:val="28"/>
          <w:szCs w:val="28"/>
          <w:color w:val="auto"/>
          <w:vertAlign w:val="superscript"/>
        </w:rPr>
        <w:t>(3)</w:t>
      </w:r>
    </w:p>
    <w:p>
      <w:pPr>
        <w:jc w:val="center"/>
        <w:ind w:right="380"/>
        <w:spacing w:after="0" w:line="191" w:lineRule="auto"/>
        <w:rPr>
          <w:sz w:val="20"/>
          <w:szCs w:val="20"/>
          <w:color w:val="auto"/>
        </w:rPr>
      </w:pPr>
      <w:r>
        <w:rPr>
          <w:rFonts w:ascii="Arial" w:cs="Arial" w:eastAsia="Arial" w:hAnsi="Arial"/>
          <w:sz w:val="17"/>
          <w:szCs w:val="17"/>
          <w:color w:val="auto"/>
        </w:rPr>
        <w:t>July 12, 2023</w:t>
      </w:r>
      <w:r>
        <w:rPr>
          <w:rFonts w:ascii="Arial" w:cs="Arial" w:eastAsia="Arial" w:hAnsi="Arial"/>
          <w:sz w:val="28"/>
          <w:szCs w:val="28"/>
          <w:color w:val="auto"/>
          <w:vertAlign w:val="superscript"/>
        </w:rPr>
        <w:t>(3)</w:t>
      </w:r>
    </w:p>
    <w:p>
      <w:pPr>
        <w:jc w:val="center"/>
        <w:ind w:right="380"/>
        <w:spacing w:after="0" w:line="191" w:lineRule="auto"/>
        <w:rPr>
          <w:sz w:val="20"/>
          <w:szCs w:val="20"/>
          <w:color w:val="auto"/>
        </w:rPr>
      </w:pPr>
      <w:r>
        <w:rPr>
          <w:rFonts w:ascii="Arial" w:cs="Arial" w:eastAsia="Arial" w:hAnsi="Arial"/>
          <w:sz w:val="17"/>
          <w:szCs w:val="17"/>
          <w:color w:val="auto"/>
        </w:rPr>
        <w:t>July 17, 2023</w:t>
      </w:r>
      <w:r>
        <w:rPr>
          <w:rFonts w:ascii="Arial" w:cs="Arial" w:eastAsia="Arial" w:hAnsi="Arial"/>
          <w:sz w:val="28"/>
          <w:szCs w:val="28"/>
          <w:color w:val="auto"/>
          <w:vertAlign w:val="superscript"/>
        </w:rPr>
        <w:t>(3)</w:t>
      </w:r>
    </w:p>
    <w:p>
      <w:pPr>
        <w:jc w:val="center"/>
        <w:ind w:right="380"/>
        <w:spacing w:after="0" w:line="191" w:lineRule="auto"/>
        <w:rPr>
          <w:sz w:val="20"/>
          <w:szCs w:val="20"/>
          <w:color w:val="auto"/>
        </w:rPr>
      </w:pPr>
      <w:r>
        <w:rPr>
          <w:rFonts w:ascii="Arial" w:cs="Arial" w:eastAsia="Arial" w:hAnsi="Arial"/>
          <w:sz w:val="17"/>
          <w:szCs w:val="17"/>
          <w:color w:val="auto"/>
        </w:rPr>
        <w:t>July 18, 2023</w:t>
      </w:r>
      <w:r>
        <w:rPr>
          <w:rFonts w:ascii="Arial" w:cs="Arial" w:eastAsia="Arial" w:hAnsi="Arial"/>
          <w:sz w:val="28"/>
          <w:szCs w:val="28"/>
          <w:color w:val="auto"/>
          <w:vertAlign w:val="superscript"/>
        </w:rPr>
        <w:t>(3)</w:t>
      </w:r>
    </w:p>
    <w:p>
      <w:pPr>
        <w:spacing w:after="0" w:line="1"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August 4, 2023</w:t>
      </w:r>
      <w:r>
        <w:rPr>
          <w:rFonts w:ascii="Arial" w:cs="Arial" w:eastAsia="Arial" w:hAnsi="Arial"/>
          <w:sz w:val="24"/>
          <w:szCs w:val="24"/>
          <w:color w:val="auto"/>
          <w:vertAlign w:val="superscript"/>
        </w:rPr>
        <w:t>(6)</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300,000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323,000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250,000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300,000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250,000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392,000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400,000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104,836</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250,000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387,000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429,000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300,000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463,000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400,000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248,400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89"/>
              </w:rPr>
              <w:t>2,538,844</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300,000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337,000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245,000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87"/>
              </w:rPr>
              <w:t>39,733</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244,000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451,000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167,500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275,000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191,000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162,200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363,000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29"/>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88"/>
              </w:rPr>
              <w:t>11,615,000</w:t>
            </w:r>
          </w:p>
        </w:tc>
        <w:tc>
          <w:tcPr>
            <w:tcW w:w="31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42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44"/>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87"/>
              </w:rPr>
              <w:t>82,602</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419,000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147,000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341,080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618,000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7"/>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92"/>
              </w:rPr>
              <w:t>485,000</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56"/>
        </w:trPr>
        <w:tc>
          <w:tcPr>
            <w:tcW w:w="1720" w:type="dxa"/>
            <w:vAlign w:val="bottom"/>
          </w:tcPr>
          <w:p>
            <w:pPr>
              <w:jc w:val="center"/>
              <w:ind w:right="830"/>
              <w:spacing w:after="0"/>
              <w:rPr>
                <w:sz w:val="20"/>
                <w:szCs w:val="20"/>
                <w:color w:val="auto"/>
              </w:rPr>
            </w:pPr>
            <w:r>
              <w:rPr>
                <w:rFonts w:ascii="Arial" w:cs="Arial" w:eastAsia="Arial" w:hAnsi="Arial"/>
                <w:sz w:val="18"/>
                <w:szCs w:val="18"/>
                <w:color w:val="auto"/>
                <w:w w:val="88"/>
              </w:rPr>
              <w:t>24,264,706</w:t>
            </w:r>
          </w:p>
        </w:tc>
        <w:tc>
          <w:tcPr>
            <w:tcW w:w="31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$0.45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-6797040</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-6471285</wp:posOffset>
            </wp:positionV>
            <wp:extent cx="713232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-6145530</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-5819775</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-5494020</wp:posOffset>
            </wp:positionV>
            <wp:extent cx="7132320"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-5168265</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-4842510</wp:posOffset>
            </wp:positionV>
            <wp:extent cx="713232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-4516755</wp:posOffset>
            </wp:positionV>
            <wp:extent cx="713232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-4191000</wp:posOffset>
            </wp:positionV>
            <wp:extent cx="71323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-3865245</wp:posOffset>
            </wp:positionV>
            <wp:extent cx="713232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-3539490</wp:posOffset>
            </wp:positionV>
            <wp:extent cx="713232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-3214370</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-2887980</wp:posOffset>
            </wp:positionV>
            <wp:extent cx="7132320"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-2562225</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-2236470</wp:posOffset>
            </wp:positionV>
            <wp:extent cx="71323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-1910715</wp:posOffset>
            </wp:positionV>
            <wp:extent cx="713232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-1585595</wp:posOffset>
            </wp:positionV>
            <wp:extent cx="71323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-1259840</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-959485</wp:posOffset>
            </wp:positionV>
            <wp:extent cx="713232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-633730</wp:posOffset>
            </wp:positionV>
            <wp:extent cx="71323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-307975</wp:posOffset>
            </wp:positionV>
            <wp:extent cx="713232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3140" w:space="720"/>
            <w:col w:w="7380"/>
          </w:cols>
          <w:pgMar w:left="320" w:top="318" w:right="339" w:bottom="1440" w:gutter="0" w:footer="0" w:header="0"/>
        </w:sectPr>
      </w:pPr>
    </w:p>
    <w:p>
      <w:pPr>
        <w:spacing w:after="0"/>
        <w:rPr>
          <w:sz w:val="20"/>
          <w:szCs w:val="20"/>
          <w:color w:val="auto"/>
        </w:rPr>
      </w:pPr>
      <w:r>
        <w:rPr>
          <w:rFonts w:ascii="Arial" w:cs="Arial" w:eastAsia="Arial" w:hAnsi="Arial"/>
          <w:sz w:val="22"/>
          <w:szCs w:val="22"/>
          <w:b w:val="1"/>
          <w:bCs w:val="1"/>
          <w:u w:val="single" w:color="auto"/>
          <w:color w:val="auto"/>
        </w:rPr>
        <w:t>Notes:</w:t>
      </w:r>
    </w:p>
    <w:p>
      <w:pPr>
        <w:spacing w:after="0" w:line="14" w:lineRule="exact"/>
        <w:rPr>
          <w:sz w:val="20"/>
          <w:szCs w:val="20"/>
          <w:color w:val="auto"/>
        </w:rPr>
      </w:pPr>
    </w:p>
    <w:p>
      <w:pPr>
        <w:ind w:left="660" w:hanging="328"/>
        <w:spacing w:after="0" w:line="230" w:lineRule="auto"/>
        <w:tabs>
          <w:tab w:leader="none" w:pos="690" w:val="left"/>
        </w:tabs>
        <w:numPr>
          <w:ilvl w:val="0"/>
          <w:numId w:val="9"/>
        </w:numPr>
        <w:rPr>
          <w:rFonts w:ascii="Arial" w:cs="Arial" w:eastAsia="Arial" w:hAnsi="Arial"/>
          <w:sz w:val="22"/>
          <w:szCs w:val="22"/>
          <w:color w:val="auto"/>
        </w:rPr>
      </w:pPr>
      <w:r>
        <w:rPr>
          <w:rFonts w:ascii="Arial" w:cs="Arial" w:eastAsia="Arial" w:hAnsi="Arial"/>
          <w:sz w:val="22"/>
          <w:szCs w:val="22"/>
          <w:color w:val="auto"/>
        </w:rPr>
        <w:t>Certain amounts have been converted from USD to CAD based on the average exchange rate posted by the Bank of Canada for the year ended December 31, 2022, being US$1.00 = C$1.3282.</w:t>
      </w:r>
    </w:p>
    <w:p>
      <w:pPr>
        <w:spacing w:after="0" w:line="1" w:lineRule="exact"/>
        <w:rPr>
          <w:rFonts w:ascii="Arial" w:cs="Arial" w:eastAsia="Arial" w:hAnsi="Arial"/>
          <w:sz w:val="22"/>
          <w:szCs w:val="22"/>
          <w:color w:val="auto"/>
        </w:rPr>
      </w:pPr>
    </w:p>
    <w:p>
      <w:pPr>
        <w:ind w:left="680" w:hanging="348"/>
        <w:spacing w:after="0" w:line="230" w:lineRule="auto"/>
        <w:tabs>
          <w:tab w:leader="none" w:pos="68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Common Shares issued in exchange for Class B Shares.</w:t>
      </w:r>
    </w:p>
    <w:p>
      <w:pPr>
        <w:jc w:val="both"/>
        <w:ind w:left="660" w:hanging="328"/>
        <w:spacing w:after="0" w:line="266" w:lineRule="auto"/>
        <w:tabs>
          <w:tab w:leader="none" w:pos="69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Common Shares issued in connection with the Corporation's prior at-the-market equity program (the "</w:t>
      </w:r>
      <w:r>
        <w:rPr>
          <w:rFonts w:ascii="Arial" w:cs="Arial" w:eastAsia="Arial" w:hAnsi="Arial"/>
          <w:sz w:val="19"/>
          <w:szCs w:val="19"/>
          <w:b w:val="1"/>
          <w:bCs w:val="1"/>
          <w:color w:val="auto"/>
        </w:rPr>
        <w:t>Prior ATM</w:t>
      </w:r>
      <w:r>
        <w:rPr>
          <w:rFonts w:ascii="Arial" w:cs="Arial" w:eastAsia="Arial" w:hAnsi="Arial"/>
          <w:sz w:val="19"/>
          <w:szCs w:val="19"/>
          <w:color w:val="auto"/>
        </w:rPr>
        <w:t xml:space="preserve"> </w:t>
      </w:r>
      <w:r>
        <w:rPr>
          <w:rFonts w:ascii="Arial" w:cs="Arial" w:eastAsia="Arial" w:hAnsi="Arial"/>
          <w:sz w:val="19"/>
          <w:szCs w:val="19"/>
          <w:b w:val="1"/>
          <w:bCs w:val="1"/>
          <w:color w:val="auto"/>
        </w:rPr>
        <w:t>Program</w:t>
      </w:r>
      <w:r>
        <w:rPr>
          <w:rFonts w:ascii="Arial" w:cs="Arial" w:eastAsia="Arial" w:hAnsi="Arial"/>
          <w:sz w:val="19"/>
          <w:szCs w:val="19"/>
          <w:color w:val="auto"/>
        </w:rPr>
        <w:t>") which allowed the Corporation to issue and sell up to US$35,000,000 of Common Shares to the public, from</w:t>
      </w:r>
      <w:r>
        <w:rPr>
          <w:rFonts w:ascii="Arial" w:cs="Arial" w:eastAsia="Arial" w:hAnsi="Arial"/>
          <w:sz w:val="19"/>
          <w:szCs w:val="19"/>
          <w:b w:val="1"/>
          <w:bCs w:val="1"/>
          <w:color w:val="auto"/>
        </w:rPr>
        <w:t xml:space="preserve"> </w:t>
      </w:r>
      <w:r>
        <w:rPr>
          <w:rFonts w:ascii="Arial" w:cs="Arial" w:eastAsia="Arial" w:hAnsi="Arial"/>
          <w:sz w:val="19"/>
          <w:szCs w:val="19"/>
          <w:color w:val="auto"/>
        </w:rPr>
        <w:t>time to time, at its discretion. The Prior ATM Program was qualified by the prospectus supplement dated August 8, 2022.</w:t>
      </w:r>
    </w:p>
    <w:p>
      <w:pPr>
        <w:spacing w:after="0" w:line="2" w:lineRule="exact"/>
        <w:rPr>
          <w:rFonts w:ascii="Arial" w:cs="Arial" w:eastAsia="Arial" w:hAnsi="Arial"/>
          <w:sz w:val="19"/>
          <w:szCs w:val="19"/>
          <w:color w:val="auto"/>
        </w:rPr>
      </w:pPr>
    </w:p>
    <w:p>
      <w:pPr>
        <w:ind w:left="680" w:hanging="348"/>
        <w:spacing w:after="0" w:line="230" w:lineRule="auto"/>
        <w:tabs>
          <w:tab w:leader="none" w:pos="68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Common Shares issued to the Investor on May 30, 2023 pursuant to the Purchase Agreement.</w:t>
      </w:r>
    </w:p>
    <w:p>
      <w:pPr>
        <w:ind w:left="680" w:hanging="348"/>
        <w:spacing w:after="0" w:line="230" w:lineRule="auto"/>
        <w:tabs>
          <w:tab w:leader="none" w:pos="68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Common Shares issued to the Investor pursuant to the Purchase Agreement.</w:t>
      </w:r>
    </w:p>
    <w:p>
      <w:pPr>
        <w:ind w:left="680" w:hanging="348"/>
        <w:spacing w:after="0"/>
        <w:tabs>
          <w:tab w:leader="none" w:pos="680" w:val="left"/>
        </w:tabs>
        <w:numPr>
          <w:ilvl w:val="0"/>
          <w:numId w:val="9"/>
        </w:numPr>
        <w:rPr>
          <w:rFonts w:ascii="Arial" w:cs="Arial" w:eastAsia="Arial" w:hAnsi="Arial"/>
          <w:sz w:val="22"/>
          <w:szCs w:val="22"/>
          <w:color w:val="auto"/>
        </w:rPr>
      </w:pPr>
      <w:r>
        <w:rPr>
          <w:rFonts w:ascii="Arial" w:cs="Arial" w:eastAsia="Arial" w:hAnsi="Arial"/>
          <w:sz w:val="22"/>
          <w:szCs w:val="22"/>
          <w:color w:val="auto"/>
        </w:rPr>
        <w:t>Common Shares issued pursuant to the Offering.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An investment in the Common Shares is highly speculative and subject to a number of risks. Before deciding whether to invest, investors should consider carefully the risks factors set forth below and in the documents incorporated by reference in the Base Shelf Prospectus and this Prospectus Supplement (including those discussed under the heading "Risk Factors" in the Base Shelf Prospectus and the Corporation's most recent annual information form, annual management discussion &amp; analysis and interim management discussion &amp; analysis)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Factors Related to the Offering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 Investment in the Common Shares is Highly Speculative</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Completion of the Offering</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The completion of the Offering remains subject to a number of conditions, and there can be no certainty that the Offering will be completed. If the Offering is not completed, the Corporation may not be able to raise the funds set out herein for the purposes contemplated under </w:t>
      </w:r>
      <w:r>
        <w:rPr>
          <w:rFonts w:ascii="Arial" w:cs="Arial" w:eastAsia="Arial" w:hAnsi="Arial"/>
          <w:sz w:val="21"/>
          <w:szCs w:val="21"/>
          <w:i w:val="1"/>
          <w:iCs w:val="1"/>
          <w:color w:val="auto"/>
        </w:rPr>
        <w:t>"Use of Proceeds"</w:t>
      </w:r>
      <w:r>
        <w:rPr>
          <w:rFonts w:ascii="Arial" w:cs="Arial" w:eastAsia="Arial" w:hAnsi="Arial"/>
          <w:sz w:val="21"/>
          <w:szCs w:val="21"/>
          <w:color w:val="auto"/>
        </w:rPr>
        <w:t xml:space="preserve"> from other sources on commercially reasonable terms, or at all.</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Negative Operating Cash Flow and Going Concern</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22"/>
          <w:szCs w:val="22"/>
          <w:i w:val="1"/>
          <w:iCs w:val="1"/>
          <w:color w:val="auto"/>
        </w:rPr>
        <w:t>"Risk Factors - Risks Related to the Offering - Potential Need</w:t>
      </w:r>
      <w:r>
        <w:rPr>
          <w:rFonts w:ascii="Arial" w:cs="Arial" w:eastAsia="Arial" w:hAnsi="Arial"/>
          <w:sz w:val="22"/>
          <w:szCs w:val="22"/>
          <w:color w:val="auto"/>
        </w:rPr>
        <w:t xml:space="preserve"> </w:t>
      </w:r>
      <w:r>
        <w:rPr>
          <w:rFonts w:ascii="Arial" w:cs="Arial" w:eastAsia="Arial" w:hAnsi="Arial"/>
          <w:sz w:val="22"/>
          <w:szCs w:val="22"/>
          <w:i w:val="1"/>
          <w:iCs w:val="1"/>
          <w:color w:val="auto"/>
        </w:rPr>
        <w:t>for Additional Financing"</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Discretion in the Use of Proceeds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Arial" w:cs="Arial" w:eastAsia="Arial" w:hAnsi="Arial"/>
          <w:sz w:val="19"/>
          <w:szCs w:val="19"/>
          <w:i w:val="1"/>
          <w:iCs w:val="1"/>
          <w:color w:val="auto"/>
        </w:rPr>
        <w:t>"Use of Proceeds"</w:t>
      </w:r>
      <w:r>
        <w:rPr>
          <w:rFonts w:ascii="Arial" w:cs="Arial" w:eastAsia="Arial" w:hAnsi="Arial"/>
          <w:sz w:val="19"/>
          <w:szCs w:val="19"/>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i w:val="1"/>
          <w:iCs w:val="1"/>
          <w:color w:val="auto"/>
        </w:rPr>
        <w:t>Need for Additional Financing</w:t>
      </w:r>
    </w:p>
    <w:p>
      <w:pPr>
        <w:spacing w:after="0" w:line="20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Arial" w:cs="Arial" w:eastAsia="Arial" w:hAnsi="Arial"/>
          <w:sz w:val="22"/>
          <w:szCs w:val="22"/>
          <w:i w:val="1"/>
          <w:iCs w:val="1"/>
          <w:color w:val="auto"/>
        </w:rPr>
        <w:t>See "Risk Factors - Risks Related to the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Offering - Negative Operating Cash Flow and Going Concern" </w:t>
      </w:r>
      <w:r>
        <w:rPr>
          <w:rFonts w:ascii="Arial" w:cs="Arial" w:eastAsia="Arial" w:hAnsi="Arial"/>
          <w:sz w:val="22"/>
          <w:szCs w:val="22"/>
          <w:color w:val="auto"/>
        </w:rPr>
        <w:t>and</w:t>
      </w:r>
      <w:r>
        <w:rPr>
          <w:rFonts w:ascii="Arial" w:cs="Arial" w:eastAsia="Arial" w:hAnsi="Arial"/>
          <w:sz w:val="22"/>
          <w:szCs w:val="22"/>
          <w:i w:val="1"/>
          <w:iCs w:val="1"/>
          <w:color w:val="auto"/>
        </w:rPr>
        <w:t xml:space="preserve"> "Risk Factors - Risks Related to the Offering - Potential Dilution".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Potential Dilution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w:t>
      </w:r>
      <w:r>
        <w:rPr>
          <w:rFonts w:ascii="Arial" w:cs="Arial" w:eastAsia="Arial" w:hAnsi="Arial"/>
          <w:sz w:val="22"/>
          <w:szCs w:val="22"/>
          <w:i w:val="1"/>
          <w:iCs w:val="1"/>
          <w:color w:val="auto"/>
        </w:rPr>
        <w:t>"Risk Factors - Risks Related</w:t>
      </w:r>
      <w:r>
        <w:rPr>
          <w:rFonts w:ascii="Arial" w:cs="Arial" w:eastAsia="Arial" w:hAnsi="Arial"/>
          <w:sz w:val="22"/>
          <w:szCs w:val="22"/>
          <w:color w:val="auto"/>
        </w:rPr>
        <w:t xml:space="preserve"> </w:t>
      </w:r>
      <w:r>
        <w:rPr>
          <w:rFonts w:ascii="Arial" w:cs="Arial" w:eastAsia="Arial" w:hAnsi="Arial"/>
          <w:sz w:val="22"/>
          <w:szCs w:val="22"/>
          <w:i w:val="1"/>
          <w:iCs w:val="1"/>
          <w:color w:val="auto"/>
        </w:rPr>
        <w:t>to an Offering - Potential Need for Additional Financing".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Trading Market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Significant Sales of Common Shares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Positive Return Not Guaranteed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Application and Interpretation of Tax Laws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i w:val="1"/>
          <w:iCs w:val="1"/>
          <w:color w:val="auto"/>
        </w:rPr>
        <w:t>Enforcement of Civil Liabilities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has subsidiaries incorporated in the United States and Ireland.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 consuming and costly process. Certain matters of procedure will also be governed by foreign law.</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Corporation Expects to be a "Passive Foreign Investment Company"</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Based on current business plans and financial expectations, the Corporation expects to be a PFIC (as defined below) for its current tax year and may be a PFIC in future tax years. If the Corporation is a PFIC for any year during a U.S. taxpayer's holding period of Common Shares, then such U.S. taxpayer generally will be required to treat any gain realized upon a disposition of the Common Shares or any so-called "excess distribution" received on its Common Shares as ordinary income, and to pay an interest charge on a portion of such gain or distribution. In certain circumstances, the sum of the tax and the interest charge may exceed the total amount of proceeds realized on the disposition, or the amount of excess distribution received, by the U.S. taxpayer. Subject to certain limitations, these tax consequences may be mitigated if a U.S. taxpayer makes a timely and effective QEF Election (as defined below) or a Mark-to-Market Election (as defined below). Subject to certain limitations, such elections may be made with respect to the Common Shares. A U.S. taxpayer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taxpayer who makes the Mark-to-Market Election generally must include as ordinary income each year the excess of the fair market value of the Common Shares over the taxpayer's basis therein. This paragraph is qualified in its entirety by the discussion below under the heading "</w:t>
      </w:r>
      <w:r>
        <w:rPr>
          <w:rFonts w:ascii="Arial" w:cs="Arial" w:eastAsia="Arial" w:hAnsi="Arial"/>
          <w:sz w:val="19"/>
          <w:szCs w:val="19"/>
          <w:i w:val="1"/>
          <w:iCs w:val="1"/>
          <w:color w:val="auto"/>
        </w:rPr>
        <w:t>Certain United States Federal Income Tax Considerations - Passive Foreign Investment Company Rules</w:t>
      </w:r>
      <w:r>
        <w:rPr>
          <w:rFonts w:ascii="Arial" w:cs="Arial" w:eastAsia="Arial" w:hAnsi="Arial"/>
          <w:sz w:val="19"/>
          <w:szCs w:val="19"/>
          <w:color w:val="auto"/>
        </w:rPr>
        <w:t>." Each potential investor who is a U.S. taxpayer should consult its own tax advisor regarding the tax consequences of the PFIC rules and the acquisition, ownership, and disposition of the Common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CANADIAN INCOME TAX CONSIDERATIONS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following is, as at the date of this Prospectus Supplement, a summary of certain Canadian federal income tax considerations under the Income Tax Act (Canada) (the "</w:t>
      </w:r>
      <w:r>
        <w:rPr>
          <w:rFonts w:ascii="Arial" w:cs="Arial" w:eastAsia="Arial" w:hAnsi="Arial"/>
          <w:sz w:val="19"/>
          <w:szCs w:val="19"/>
          <w:b w:val="1"/>
          <w:bCs w:val="1"/>
          <w:color w:val="auto"/>
        </w:rPr>
        <w:t>Tax Act</w:t>
      </w:r>
      <w:r>
        <w:rPr>
          <w:rFonts w:ascii="Arial" w:cs="Arial" w:eastAsia="Arial" w:hAnsi="Arial"/>
          <w:sz w:val="19"/>
          <w:szCs w:val="19"/>
          <w:color w:val="auto"/>
        </w:rPr>
        <w:t>") generally applicable to an investor who acquires Common Shares as beneficial owner pursuant to the Offering and who, for the purposes of the Tax Act and at all relevant times, deals at arm's length with the Corporation, and who acquires and holds the Common Shares as capital property (a "</w:t>
      </w:r>
      <w:r>
        <w:rPr>
          <w:rFonts w:ascii="Arial" w:cs="Arial" w:eastAsia="Arial" w:hAnsi="Arial"/>
          <w:sz w:val="19"/>
          <w:szCs w:val="19"/>
          <w:b w:val="1"/>
          <w:bCs w:val="1"/>
          <w:color w:val="auto"/>
        </w:rPr>
        <w:t>Holder</w:t>
      </w:r>
      <w:r>
        <w:rPr>
          <w:rFonts w:ascii="Arial" w:cs="Arial" w:eastAsia="Arial" w:hAnsi="Arial"/>
          <w:sz w:val="19"/>
          <w:szCs w:val="19"/>
          <w:color w:val="auto"/>
        </w:rPr>
        <w:t>"). Generally, the Common Shares will be considered to be capital property to a Holder thereof provided that the Holder does not use the Common Shares in the course of carrying on a business of trading or dealing in securities and such Holder has not acquired them in one or more transactions considered to be an adventure or concern in the nature of trade.</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This summary is generally applicable to a Holder who, at all relevant times, for purposes of the Tax Act: (i) is not, and is not deemed to be, resident in Canada for the purposes of the Tax Act or any applicable income tax treaty or convention; and (ii) does not and will not use or hold, and is not and will not be deemed to hold, the Common Shares in connection with carrying on a business in Canada ("</w:t>
      </w:r>
      <w:r>
        <w:rPr>
          <w:rFonts w:ascii="Arial" w:cs="Arial" w:eastAsia="Arial" w:hAnsi="Arial"/>
          <w:sz w:val="19"/>
          <w:szCs w:val="19"/>
          <w:b w:val="1"/>
          <w:bCs w:val="1"/>
          <w:color w:val="auto"/>
        </w:rPr>
        <w:t>Non-Resident Holders</w:t>
      </w:r>
      <w:r>
        <w:rPr>
          <w:rFonts w:ascii="Arial" w:cs="Arial" w:eastAsia="Arial" w:hAnsi="Arial"/>
          <w:sz w:val="19"/>
          <w:szCs w:val="19"/>
          <w:color w:val="auto"/>
        </w:rPr>
        <w:t>"). This summary is not applicable to a Non-Resident Holder that is (i) an insurer carrying on an insurance business in Canada and elsewhere; or (ii) an "authorized foreign bank" (as defined in the Tax Act). Such Holders should consult their own tax advisors with respect to an investment in Common Shares.</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Arial" w:cs="Arial" w:eastAsia="Arial" w:hAnsi="Arial"/>
          <w:sz w:val="19"/>
          <w:szCs w:val="19"/>
          <w:b w:val="1"/>
          <w:bCs w:val="1"/>
          <w:color w:val="auto"/>
        </w:rPr>
        <w:t>CRA</w:t>
      </w:r>
      <w:r>
        <w:rPr>
          <w:rFonts w:ascii="Arial" w:cs="Arial" w:eastAsia="Arial" w:hAnsi="Arial"/>
          <w:sz w:val="19"/>
          <w:szCs w:val="19"/>
          <w:color w:val="auto"/>
        </w:rPr>
        <w:t>"). This summary takes into account all specific proposals to amend the Tax Act and the regulations thereunder publicly announced by or on behalf of the Minister of Finance (Canada) prior to the date hereof (the "</w:t>
      </w:r>
      <w:r>
        <w:rPr>
          <w:rFonts w:ascii="Arial" w:cs="Arial" w:eastAsia="Arial" w:hAnsi="Arial"/>
          <w:sz w:val="19"/>
          <w:szCs w:val="19"/>
          <w:b w:val="1"/>
          <w:bCs w:val="1"/>
          <w:color w:val="auto"/>
        </w:rPr>
        <w:t>Tax Proposals</w:t>
      </w:r>
      <w:r>
        <w:rPr>
          <w:rFonts w:ascii="Arial" w:cs="Arial" w:eastAsia="Arial" w:hAnsi="Arial"/>
          <w:sz w:val="19"/>
          <w:szCs w:val="19"/>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593" w:gutter="0" w:footer="0" w:header="0"/>
        </w:sectPr>
      </w:pPr>
    </w:p>
    <w:bookmarkStart w:id="25" w:name="page26"/>
    <w:bookmarkEnd w:id="25"/>
    <w:p>
      <w:pPr>
        <w:jc w:val="both"/>
        <w:spacing w:after="0" w:line="280" w:lineRule="auto"/>
        <w:rPr>
          <w:sz w:val="20"/>
          <w:szCs w:val="20"/>
          <w:color w:val="auto"/>
        </w:rPr>
      </w:pPr>
      <w:r>
        <w:rPr>
          <w:rFonts w:ascii="Arial" w:cs="Arial" w:eastAsia="Arial" w:hAnsi="Arial"/>
          <w:sz w:val="19"/>
          <w:szCs w:val="19"/>
          <w:b w:val="1"/>
          <w:bCs w:val="1"/>
          <w:color w:val="auto"/>
        </w:rPr>
        <w:t>This summary is of a general nature only, is not exhaustive of all possible Canadian federal income tax considerations and is not intended to be, nor should it be construed to be, legal or tax advice to any particular Non-Resident Holder. Non-Resident Holders should consult their own tax advisors with respect to their particular circumstances. Moreover, no advance income tax ruling has been applied for or obtained from the CRA to confirm the tax consequences of any of the transactions described herein. Non-Resident Holders should consult their own legal and tax advisors for advice with respect to the tax consequences of an investment in the Common Shares based on their particular circumstances.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Currency Conversion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Subject to certain exceptions that are not discussed herein, for the purposes of the Tax Act, all amounts relating to the acquisition, holding or disposition of Common Shares (including dividends, adjusted cost base and proceeds of disposition) must be expressed in Canadian dollars. Amounts denominated in U.S. dollars must generally be converted into Canadian dollars based on the single daily exchange rate as quoted by the Bank of Canada on the date such amounts arise or such other rate of exchange as is acceptable to the </w:t>
      </w:r>
      <w:r>
        <w:rPr>
          <w:rFonts w:ascii="Arial" w:cs="Arial" w:eastAsia="Arial" w:hAnsi="Arial"/>
          <w:sz w:val="22"/>
          <w:szCs w:val="22"/>
          <w:i w:val="1"/>
          <w:iCs w:val="1"/>
          <w:color w:val="auto"/>
        </w:rPr>
        <w:t>Minister of Finance</w:t>
      </w:r>
      <w:r>
        <w:rPr>
          <w:rFonts w:ascii="Arial" w:cs="Arial" w:eastAsia="Arial" w:hAnsi="Arial"/>
          <w:sz w:val="22"/>
          <w:szCs w:val="22"/>
          <w:color w:val="auto"/>
        </w:rPr>
        <w:t xml:space="preserve"> (Canada).</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Dividends paid or credited or deemed under the Tax Act to be paid or credited to a Non-Resident Holder by the Corporation are subject to Canadian withholding tax at the rate of 25% on the gross amount of the dividend unless such rate is reduced by the terms of an applicable tax treaty. For example, under the Canada-United States Tax Convention (1980), as amended (the "Treaty"), the rate of withholding tax on dividends paid or credited to a beneficially entitled Non-Resident Holder who is resident in the U.S. for purposes of the Treaty and who is fully entitled to the benefits of the Treaty (a "U.S. Holder") is generally limited to 15% of the gross amount of the dividend (or 5% in the case of a U.S. Holder that is a corporation beneficially owning at least 10% of the Corporation's voting shares). A Non-Resident Holder is urged to consult its own tax advisors to determine its entitlement to relief under an applicable income tax treaty.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Dispositions of Common Shares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Upon a disposition (or a deemed disposition) of a Common Share (other than to the Corporation unless purchased by the Corporation in the open market in the manner in which shares are normally purchased by any member of the public in the open market), a Non-Resident Holder generally will realize a capital gain (or a capital loss) equal to the amount by which the proceeds of disposition of such security, as applicable, net of any reasonable costs of disposition, are greater (or are less) than the adjusted cost base of such security to the Non-Resident Holder.</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Non-Resident Holder generally will not be subject to tax under the Tax Act in respect of a capital gain realized on the disposition or deemed disposition of a Common Share, unless the Common Share constitutes (or is deemed to constitute) "taxable Canadian property" to the Non-Resident Holder thereof for purposes of the Tax Act, and the Non-Resident Holder is not entitled to relief under the terms of an applicable tax treaty. In addition, capital losses arising on the disposition or deemed disposition of a Common Share will not be recognized under the Tax Act, unless the Common Share constitutes "taxable Canadian property" to the Non-Resident Holder thereof for purposes of the Tax Act, and the Non-Resident Holder is not entitled to relief under the terms of an applicable tax treaty.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Provided the Common Shares are listed on a "designated stock exchange", as defined in the Tax Act (which currently includes the NEO), at the time of disposition, the Common Shares generally will not constitute taxable Canadian property of a Non-Resident Holder at that time, unless at any time during the 60 month period immediately preceding the disposition the following two conditions are satisfied concurrently: (i) one or any combination of (a) the Non-Resident Holder, (b) persons with whom the Non-Resident Holder did not deal at arm's length, or (c) partnerships in which the Non-Resident Holder or a person with whom the Non-Resident Holder did not deal at arm's length held a membership interest directly or indirectly through one or more partnerships owned 25% or more of the issued shares of any class or series of shares of the Corporation; and (ii) more than 50% of the fair market value of the shares of the Corporation was derived directly or indirectly from one or any combination of (a) real or immovable property situated in Canada, (b) "Canadian resource properties" (as defined in the Tax Act), (c) "timber resource properties" (as defined in the Tax Act) or (d) an option, an interest or right in any of the foregoing property, whether or not such property exists. Notwithstanding the foregoing, a Common Share may otherwise be deemed to be taxable Canadian property to a Non-Resident Holder for purposes of the Tax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jc w:val="both"/>
        <w:ind w:right="20"/>
        <w:spacing w:after="0" w:line="257" w:lineRule="auto"/>
        <w:rPr>
          <w:sz w:val="20"/>
          <w:szCs w:val="20"/>
          <w:color w:val="auto"/>
        </w:rPr>
      </w:pPr>
      <w:r>
        <w:rPr>
          <w:rFonts w:ascii="Arial" w:cs="Arial" w:eastAsia="Arial" w:hAnsi="Arial"/>
          <w:sz w:val="22"/>
          <w:szCs w:val="22"/>
          <w:b w:val="1"/>
          <w:bCs w:val="1"/>
          <w:color w:val="auto"/>
        </w:rPr>
        <w:t>Non-Resident Holders should consult their own tax advisors as to whether their Common Shares constitute "taxable Canadian property".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UNITED STATES FEDERAL INCOME TAX CONSIDERATIONS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following is a general summary of certain material U.S. federal income tax considerations applicable to a U.S. Holder (as defined below) arising from and relating to the acquisition, ownership and disposition of Common Shares acquired pursuant to this Offering. This summary is for general information purposes only and does not purport to be a complete analysis or listing of all potential U.S. federal income tax considerations that may apply to a U.S. Holder arising from or relating to the acquisition, ownership and disposition of Common Shares as acquired pursuant to this Offering.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U.S. Holder. This summary does not address the U.S. federal alternative minimum, U.S. federal net investment income, U.S. federal estate and gift, U.S. state and local, and non-U.S. tax consequences to U.S. Holders of the acquisition, ownership and disposition of Common Shares. In addition, except as specifically set forth below, this summary does not discuss applicable income tax reporting requirements. Each prospective U.S. Holder should consult its own tax advisors regarding the U.S. federal, U.S. federal alternative minimum, U.S. federal net investment income, U.S. federal estate and gift, U.S. state and local, and non-U.S. tax consequences relating to the acquisition, ownership and disposition of Common Shares.</w:t>
      </w:r>
    </w:p>
    <w:p>
      <w:pPr>
        <w:spacing w:after="0" w:line="15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No ruling from the Internal Revenue Service (the "</w:t>
      </w:r>
      <w:r>
        <w:rPr>
          <w:rFonts w:ascii="Arial" w:cs="Arial" w:eastAsia="Arial" w:hAnsi="Arial"/>
          <w:sz w:val="19"/>
          <w:szCs w:val="19"/>
          <w:b w:val="1"/>
          <w:bCs w:val="1"/>
          <w:color w:val="auto"/>
        </w:rPr>
        <w:t>IRS</w:t>
      </w:r>
      <w:r>
        <w:rPr>
          <w:rFonts w:ascii="Arial" w:cs="Arial" w:eastAsia="Arial" w:hAnsi="Arial"/>
          <w:sz w:val="19"/>
          <w:szCs w:val="19"/>
          <w:color w:val="auto"/>
        </w:rPr>
        <w:t>") has been requested, or will be obtained, regarding the U.S. federal income tax consequences of the acquisition, ownership and disposition of Common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Scope of this Summary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Authorities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summary is based on the U.S.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Treasury Regulations (whether final, temporary, or proposed), published rulings of the IRS, published administrative positions of the IRS, the current provisions of the Canada-United States Tax Convention (1980) (the "</w:t>
      </w:r>
      <w:r>
        <w:rPr>
          <w:rFonts w:ascii="Arial" w:cs="Arial" w:eastAsia="Arial" w:hAnsi="Arial"/>
          <w:sz w:val="19"/>
          <w:szCs w:val="19"/>
          <w:b w:val="1"/>
          <w:bCs w:val="1"/>
          <w:color w:val="auto"/>
        </w:rPr>
        <w:t>Canada-U.S. Tax Convention</w:t>
      </w:r>
      <w:r>
        <w:rPr>
          <w:rFonts w:ascii="Arial" w:cs="Arial" w:eastAsia="Arial" w:hAnsi="Arial"/>
          <w:sz w:val="19"/>
          <w:szCs w:val="19"/>
          <w:color w:val="auto"/>
        </w:rPr>
        <w:t>"),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Except as provided herein, this summary does not discuss the potential effects, whether adverse or beneficial, of any proposed legislation that, if enacted, could be applied on a retroactive or prospective basis.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summary, the term "U.S. Holder" means a beneficial owner of Common Shares acquired pursuant to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Offering that is for U.S. federal income tax purposes: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Arial" w:cs="Arial" w:eastAsia="Arial" w:hAnsi="Arial"/>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Arial" w:cs="Arial" w:eastAsia="Arial" w:hAnsi="Arial"/>
          <w:sz w:val="22"/>
          <w:szCs w:val="22"/>
          <w:color w:val="auto"/>
        </w:rPr>
        <w:t>an estate whose income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4" w:lineRule="auto"/>
        <w:rPr>
          <w:sz w:val="20"/>
          <w:szCs w:val="20"/>
          <w:color w:val="auto"/>
        </w:rPr>
      </w:pPr>
      <w:r>
        <w:rPr>
          <w:rFonts w:ascii="Arial" w:cs="Arial" w:eastAsia="Arial" w:hAnsi="Arial"/>
          <w:sz w:val="22"/>
          <w:szCs w:val="22"/>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-419735</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i w:val="1"/>
          <w:iCs w:val="1"/>
          <w:color w:val="auto"/>
        </w:rPr>
        <w:t>Non-U.S. Holders</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purposes of this summary, a "non-U.S. Holder" is a beneficial owner of Common Shares that is not a U.S. Holder or an entity classified as a partnership for U.S. federal income tax purposes. This summary does not address the U.S. federal, state or local tax consequences to non-U.S. Holders arising from or relating to the acquisition, ownership and disposition of Common Shares. Accordingly, a non-U.S. Holder should consult its own tax advisors regarding the U.S. federal, state or local and non-U.S. tax consequences (including the potential application of and operation of any income tax treaties) relating to the acquisition, ownership and disposition of Common Shares.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 Holders Subject to Special U.S. Federal Income Tax Rules Not Addressed</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Common Shares as part of a straddle, hedging transaction, conversion transaction, constructive sale, or other integrated transaction; (f) acquire Common Shares in connection with the exercise of employee stock options or otherwise as compensation for services; (g) hold Common Shares other than as a capital asset within the meaning of Section 1221 of the Code (generally, property held for investment purposes); (h) are subject to the alternative minimum tax; (i) are subject to special tax accounting rules with respect to Common Shares; (j) are partnerships or other "pass-through" entities (and partners or other owners thereof); (k) are S corporations (and shareholders thereof); (l) are U.S. expatriates or former long-term residents of the United States subject to Section 877 or 877A of the Code; (m) hold Common Shares in connection with a trade or business, permanent establishment, or fixed base outside the United States; or (n) own or have owned or will own (directly, indirectly, or by attribution) 10% or more of the total combined voting power or value of the outstanding shares of the Corporation. U.S. Holders that are subject to special provisions under the Code, including, but not limited to, U.S. Holders described immediately above, should consult their own tax advisors regarding the U.S. federal, U.S. federal alternative minimum, U.S. federal net investment income, U.S. federal estate and gift, U.S. state and local, and non-U.S. tax consequences relating to the acquisition, ownership and disposition of Common Shares.</w:t>
      </w: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If an entity or arrangement that is classified as a partnership (or other "pass-through" entity) for U.S. federal income tax purposes holds Common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Common Shares.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Rules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PFIC Status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If the Corporation was to constitute a "passive foreign investment company" under the meaning of Section 1297 of the Code (a "</w:t>
      </w:r>
      <w:r>
        <w:rPr>
          <w:rFonts w:ascii="Arial" w:cs="Arial" w:eastAsia="Arial" w:hAnsi="Arial"/>
          <w:sz w:val="19"/>
          <w:szCs w:val="19"/>
          <w:b w:val="1"/>
          <w:bCs w:val="1"/>
          <w:color w:val="auto"/>
        </w:rPr>
        <w:t>PFIC</w:t>
      </w:r>
      <w:r>
        <w:rPr>
          <w:rFonts w:ascii="Arial" w:cs="Arial" w:eastAsia="Arial" w:hAnsi="Arial"/>
          <w:sz w:val="19"/>
          <w:szCs w:val="19"/>
          <w:color w:val="auto"/>
        </w:rPr>
        <w:t>", as defined below) for any year during a U.S. Holder's holding period, then certain potentially adverse rules would affect the U.S. federal income tax consequences to a U.S. Holder as a result of the acquisition, ownership and disposition of Common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depends on the assets and income of such corporation over the course of each such tax year and, as a result,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both"/>
        <w:spacing w:after="0" w:line="249" w:lineRule="auto"/>
        <w:rPr>
          <w:sz w:val="20"/>
          <w:szCs w:val="20"/>
          <w:color w:val="auto"/>
        </w:rPr>
      </w:pPr>
      <w:r>
        <w:rPr>
          <w:rFonts w:ascii="Arial" w:cs="Arial" w:eastAsia="Arial" w:hAnsi="Arial"/>
          <w:sz w:val="21"/>
          <w:szCs w:val="21"/>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generally will be a PFIC if, for a tax year, (a) 75% or more of the gross income of the Corporation is passive income (the "</w:t>
      </w:r>
      <w:r>
        <w:rPr>
          <w:rFonts w:ascii="Arial" w:cs="Arial" w:eastAsia="Arial" w:hAnsi="Arial"/>
          <w:sz w:val="19"/>
          <w:szCs w:val="19"/>
          <w:b w:val="1"/>
          <w:bCs w:val="1"/>
          <w:color w:val="auto"/>
        </w:rPr>
        <w:t>PFIC income test</w:t>
      </w:r>
      <w:r>
        <w:rPr>
          <w:rFonts w:ascii="Arial" w:cs="Arial" w:eastAsia="Arial" w:hAnsi="Arial"/>
          <w:sz w:val="19"/>
          <w:szCs w:val="19"/>
          <w:color w:val="auto"/>
        </w:rPr>
        <w:t>") or (b) 50% or more of the value of the Corporation's assets either produce passive income or are held for the production of passive income, based on the quarterly average of the fair market value of such assets (the "</w:t>
      </w:r>
      <w:r>
        <w:rPr>
          <w:rFonts w:ascii="Arial" w:cs="Arial" w:eastAsia="Arial" w:hAnsi="Arial"/>
          <w:sz w:val="19"/>
          <w:szCs w:val="19"/>
          <w:b w:val="1"/>
          <w:bCs w:val="1"/>
          <w:color w:val="auto"/>
        </w:rPr>
        <w:t>PFIC</w:t>
      </w:r>
      <w:r>
        <w:rPr>
          <w:rFonts w:ascii="Arial" w:cs="Arial" w:eastAsia="Arial" w:hAnsi="Arial"/>
          <w:sz w:val="19"/>
          <w:szCs w:val="19"/>
          <w:color w:val="auto"/>
        </w:rPr>
        <w:t xml:space="preserve"> </w:t>
      </w:r>
      <w:r>
        <w:rPr>
          <w:rFonts w:ascii="Arial" w:cs="Arial" w:eastAsia="Arial" w:hAnsi="Arial"/>
          <w:sz w:val="19"/>
          <w:szCs w:val="19"/>
          <w:b w:val="1"/>
          <w:bCs w:val="1"/>
          <w:color w:val="auto"/>
        </w:rPr>
        <w:t>asset test</w:t>
      </w:r>
      <w:r>
        <w:rPr>
          <w:rFonts w:ascii="Arial" w:cs="Arial" w:eastAsia="Arial" w:hAnsi="Arial"/>
          <w:sz w:val="19"/>
          <w:szCs w:val="19"/>
          <w:color w:val="auto"/>
        </w:rPr>
        <w:t>"). "Gross income" generally includes all sales revenues less the cost of goods sold, plus income from investments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Under certain attribution rules, if the Corporation is a PFIC, U.S. Holders will generally be deemed to own their proportionate share of the Corporation's direct or indirect equity interest in any company that is also a PFIC (a "</w:t>
      </w:r>
      <w:r>
        <w:rPr>
          <w:rFonts w:ascii="Arial" w:cs="Arial" w:eastAsia="Arial" w:hAnsi="Arial"/>
          <w:sz w:val="19"/>
          <w:szCs w:val="19"/>
          <w:b w:val="1"/>
          <w:bCs w:val="1"/>
          <w:color w:val="auto"/>
        </w:rPr>
        <w:t>Subsidiary PFIC</w:t>
      </w:r>
      <w:r>
        <w:rPr>
          <w:rFonts w:ascii="Arial" w:cs="Arial" w:eastAsia="Arial" w:hAnsi="Arial"/>
          <w:sz w:val="19"/>
          <w:szCs w:val="19"/>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Common Shares. Accordingly, U.S. Holders should be aware that they could be subject to tax under the PFIC rules even if no distributions are received and no redemptions or other dispositions of Common Shares are made.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Default PFIC Rules Under Section 1291 of the Code</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the Corporation is a PFIC for any tax year during which a U.S. Holder owns Common Shares, the U.S. federal income tax consequences to such U.S. Holder of the acquisition, ownership, and disposition of Common Shares will depend on whether and when such U.S. Holder makes an election to treat the Corporation and each Subsidiary PFIC, if any, as a "qualified electing fund" or "QEF" under Section 1295 of the Code (a "</w:t>
      </w:r>
      <w:r>
        <w:rPr>
          <w:rFonts w:ascii="Arial" w:cs="Arial" w:eastAsia="Arial" w:hAnsi="Arial"/>
          <w:sz w:val="21"/>
          <w:szCs w:val="21"/>
          <w:b w:val="1"/>
          <w:bCs w:val="1"/>
          <w:color w:val="auto"/>
        </w:rPr>
        <w:t>QEF Election</w:t>
      </w:r>
      <w:r>
        <w:rPr>
          <w:rFonts w:ascii="Arial" w:cs="Arial" w:eastAsia="Arial" w:hAnsi="Arial"/>
          <w:sz w:val="21"/>
          <w:szCs w:val="21"/>
          <w:color w:val="auto"/>
        </w:rPr>
        <w:t>") or makes a mark-to-market election under Section 1296 of the Code (a "</w:t>
      </w:r>
      <w:r>
        <w:rPr>
          <w:rFonts w:ascii="Arial" w:cs="Arial" w:eastAsia="Arial" w:hAnsi="Arial"/>
          <w:sz w:val="21"/>
          <w:szCs w:val="21"/>
          <w:b w:val="1"/>
          <w:bCs w:val="1"/>
          <w:color w:val="auto"/>
        </w:rPr>
        <w:t>Mark-to-Market Election</w:t>
      </w:r>
      <w:r>
        <w:rPr>
          <w:rFonts w:ascii="Arial" w:cs="Arial" w:eastAsia="Arial" w:hAnsi="Arial"/>
          <w:sz w:val="21"/>
          <w:szCs w:val="21"/>
          <w:color w:val="auto"/>
        </w:rPr>
        <w:t>"). A U.S. Holder that does not make either a QEF Election or a Mark-to-Market Election will be referred to in this summary as a "Non-Electing U.S. Holder".</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Non-Electing U.S. Holder will be subject to the rules of Section 1291 of the Code (described below) with respect to: (a) any gain recognized on the sale or other taxable disposition of Common Shares; and (b) any "excess distribution" received on the Common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Common Shares, if shorter).</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Under Section 1291 of the Code, any gain recognized on the sale or other taxable disposition of Common Shares (including an indirect disposition of the stock of any Subsidiary PFIC), and any "excess distribution" received on Common Shares or with respect to the stock of a Subsidiary PFIC, must be ratably allocated to each day in a Non-Electing U.S. Holder's holding period for the respective Common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both"/>
        <w:spacing w:after="0" w:line="282" w:lineRule="auto"/>
        <w:rPr>
          <w:sz w:val="20"/>
          <w:szCs w:val="20"/>
          <w:color w:val="auto"/>
        </w:rPr>
      </w:pPr>
      <w:r>
        <w:rPr>
          <w:rFonts w:ascii="Arial" w:cs="Arial" w:eastAsia="Arial" w:hAnsi="Arial"/>
          <w:sz w:val="19"/>
          <w:szCs w:val="19"/>
          <w:color w:val="auto"/>
        </w:rPr>
        <w:t>If the Corporation is a PFIC for any tax year during which a Non-Electing U.S. Holder holds Common Shares, the Corporation will continue to be treated as a PFIC with respect to such Non-Electing U.S. Holder, regardless of whether the Corporation ceases to be a PFIC in one or more subsequent tax years. A Non-Electing U.S. Holder may terminate this deemed PFIC status by electing to recognize gain (which will be taxed under the rules of Section 1291 of the Code discussed above), but not loss, as if such Common Shares were sold on the last day of the last tax year for which the Corporation was a PFIC.</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QEF Election</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 U.S. Holder that makes a timely and effective QEF Election for the first tax year in which the holding period of its Common Shares begins generally will not be subject to the rules of Section 1291 of the Code discussed above with respect to its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Common Shares to reflect the amount included in income or allowed as a tax-free distribution because of such QEF Election. In addition, a U.S. Holder that makes a QEF Election generally will recognize capital gain or loss on the sale or other taxable disposition of Common Shares.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Common Shares in which the Corporation was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Common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Common Shares. If a U.S. Holder owns PFIC stock indirectly through another PFIC, separate QEF Elections must be made for the PFIC in which the U.S. Holder is a direct shareholder and the Subsidiary PFIC for the QEF rules to apply to both PFICs.</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both"/>
        <w:spacing w:after="0" w:line="244" w:lineRule="auto"/>
        <w:rPr>
          <w:sz w:val="20"/>
          <w:szCs w:val="20"/>
          <w:color w:val="auto"/>
        </w:rPr>
      </w:pPr>
      <w:r>
        <w:rPr>
          <w:rFonts w:ascii="Arial" w:cs="Arial" w:eastAsia="Arial" w:hAnsi="Arial"/>
          <w:sz w:val="21"/>
          <w:szCs w:val="21"/>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U.S. Holder makes a QEF Election by attaching a completed IRS Form 8621, including a PFIC Annual Information Statement, to a timely 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rules of Section 1291 of the Code discussed above that apply to Non-Electing U.S. Holders with respect to the taxation of gains and excess distributions.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Mark-to-Market Election</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 U.S. Holder may make a Mark-to-Market Election only if the Common Shares are marketable stock. The Common Shares generally will be "marketable stock" if the Common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U.S. Holder that makes a Mark-to-Market Election with respect to its Common Shares generally will not be subject to the rules of Section 1291 of the Code discussed above with respect to such Common Shares. However, if a U.S. Holder does not make a Mark-to-Market Election beginning in the first tax year of such U.S. Holder's holding period for the Common Shares for which the Corporation is a PFIC and such U.S. Holder has not made a timely QEF Election, the rules of Section 1291 of the Code discussed above will apply to certain dispositions of, and distributions on, the Common Shares.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 U.S. Holder that makes a Mark-to-Market Election will include in ordinary income, for each tax year in which the Corporation is a PFIC, an amount equal to the excess, if any, of (a) the fair market value of the Common Shares, as of the close of such tax year over (b) such U.S. Holder's adjusted tax basis in such Common Shares. A U.S. Holder that makes a Mark-to-Market Election will be allowed a deduction in an amount equal to the excess, if any, of (a) such U.S. Holder's adjusted tax basis in the Common Shares, over (b) the fair market value of such Common Shares (but only to the extent of the net amount of previously included income as a result of the Mark-to-Market Election for prior tax years).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 U.S. Holder that makes a Mark-to-Market Election generally also will adjust such U.S. Holder's tax basis in the Common Shares to reflect the amount included in gross income or allowed as a deduction because of such Mark-to-Market Election. In addition, upon a sale or other taxable disposition of Common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U.S. Holder makes a Mark-to-Market Election by attaching a completed IRS Form 8621 to a timely filed United States federal income tax return. A Mark-to-Market Election applies to the tax year in which such Mark-to-Market Election is made and to each subsequent tax year, unless the Common Shares cease to be "marketable stock" or the IRS consents to revocation of such election. Each U.S. Holder should consult its own tax advisors regarding the availability of, and procedure for making, a Mark-to-Market Election.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both"/>
        <w:spacing w:after="0" w:line="236" w:lineRule="auto"/>
        <w:rPr>
          <w:sz w:val="20"/>
          <w:szCs w:val="20"/>
          <w:color w:val="auto"/>
        </w:rPr>
      </w:pPr>
      <w:r>
        <w:rPr>
          <w:rFonts w:ascii="Arial" w:cs="Arial" w:eastAsia="Arial" w:hAnsi="Arial"/>
          <w:sz w:val="22"/>
          <w:szCs w:val="22"/>
          <w:color w:val="auto"/>
        </w:rPr>
        <w:t>Although a U.S. Holder may be eligible to make a Mark-to-Market Election with respect to the Common Shares, no such election may be made with respect to the stock of any Subsidiary PFIC that a U.S. Holder is treated as owning, because such stock is not marketable. Hence, the Mark-to-Market Election will not be effective to avoid the interest charge and other income inclusion rules described above with respect to deemed dispositions of Subsidiary PFIC stock or excess distributions from a Subsidiary PFIC to its shareholder.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PFIC Rules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Under the proposed Treasury Regulations, subject to certain exceptions, a U.S. Holder that had not made a timely QEF Election would recognize gain (but not loss) upon certain transfers of Common Shares that would otherwise be tax-deferred (e.g., gifts and exchanges pursuant to corporate reorganizations). However, the specific U.S. federal income tax consequences to a U.S. Holder may vary based on the manner in which Common Shares are transferred.</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Certain additional adverse rules may apply with respect to a U.S. Holder if the Corporation is a PFIC, regardless of whether such U.S. Holder makes a QEF Election. For example, under Section 1298(b)(6) of the Code, a U.S. Holder that uses Common Shares as security for a loan will, except as may be provided in Treasury Regulations, be treated as having made a taxable disposition of such Common Shares.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a U.S. Holder who acquires Common Shares from a decedent will not receive a "step up" in tax basis of such Common Shares to fair market value unless such decedent had a timely and effective QEF Election in place.</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PFIC rules are complex, and each U.S. Holder should consult its own tax advisors regarding the PFIC rules and how the PFIC rules may affect the U.S. federal income tax consequences of the acquisition, ownership, and disposition of Common Shares.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Rules Applicable to the Ownership and Disposition of Common Shares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discussion is subject, in its entirety, to the rules described above under the heading "Passive Foreign Investment Company Rules".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Distributions on Common Shares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 U.S. Holder that receives a distribution, including a constructive distribution, with respect to an Common Share will be required to include the amount of such distribution in gross income as a dividend (without reduction for any Canadian income tax withheld from such distribution) to the extent of the current or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tax basis in the Common Shares and thereafter as gain from the sale or exchange of such Common Shares. (See "Sale or Other Taxable Disposition of Common Shares" below). However, the Corporation does not intend to maintain the calculations of its earnings and profits in accordance with U.S. federal income tax principles, and each U.S. Holder therefore should assume that any distribution by the Corporation with respect to the Common Shares will constitute ordinary dividend income. Dividends received on Common Shares by corporate U.S. Holders generally will not be eligible for the "dividends received deduction". Subject to applicable limitations and provided the Corporation is eligible for the benefits of the Canada-U.S. Tax Convention or the Common Shares are readily tradable on a United States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88" w:gutter="0" w:footer="0" w:header="0"/>
        </w:sectPr>
      </w:pPr>
    </w:p>
    <w:bookmarkStart w:id="32" w:name="page33"/>
    <w:bookmarkEnd w:id="32"/>
    <w:p>
      <w:pPr>
        <w:spacing w:after="0"/>
        <w:rPr>
          <w:sz w:val="20"/>
          <w:szCs w:val="20"/>
          <w:color w:val="auto"/>
        </w:rPr>
      </w:pPr>
      <w:r>
        <w:rPr>
          <w:rFonts w:ascii="Arial" w:cs="Arial" w:eastAsia="Arial" w:hAnsi="Arial"/>
          <w:sz w:val="22"/>
          <w:szCs w:val="22"/>
          <w:i w:val="1"/>
          <w:iCs w:val="1"/>
          <w:color w:val="auto"/>
        </w:rPr>
        <w:t>Sale or Other Taxable Disposition of Common Shares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Upon the sale or other taxable disposition of Common Shares, a U.S. Holder generally will recognize capital gain or loss in an amount equal to the difference between the U.S. dollar value of cash received plus the fair market value of any property received and such U.S. Holder's tax basis in such Common Shares sold or otherwise disposed of. Gain or loss recognized on such sale or other disposition generally will be long-term capital gain or loss if, at the time of the sale or other disposition, the Common Shares have been held for more than one year.</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Tax Considerations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Receipt of Foreign Currency</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amount of any distribution paid to a U.S. Holder in foreign currency, or on the sale, exchange or other taxable disposition of Common Shares, generally will be equal to the U.S. dollar value of such foreign currency based on the exchange rate applicable on the date of receipt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Tax Credit</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Dividends paid on Common Shares will be treated as foreign-source income, and generally will be treated as "passive category income" or "general category income" for U.S. foreign tax credit purposes. Any gain or loss recognized on a sale or other disposition of Common Shares generally will be United States source gain or loss. Certain U.S. Holders that are eligible for the benefits of the Canada-U.S. Tax Convention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w:t>
      </w:r>
      <w:r>
        <w:rPr>
          <w:rFonts w:ascii="Arial" w:cs="Arial" w:eastAsia="Arial" w:hAnsi="Arial"/>
          <w:sz w:val="19"/>
          <w:szCs w:val="19"/>
          <w:b w:val="1"/>
          <w:bCs w:val="1"/>
          <w:color w:val="auto"/>
        </w:rPr>
        <w:t>Foreign Tax Credit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Regulations") </w:t>
      </w:r>
      <w:r>
        <w:rPr>
          <w:rFonts w:ascii="Arial" w:cs="Arial" w:eastAsia="Arial" w:hAnsi="Arial"/>
          <w:sz w:val="19"/>
          <w:szCs w:val="19"/>
          <w:color w:val="auto"/>
        </w:rPr>
        <w:t>impose additional requirements for Canadian withholding taxes to be eligible for a foreign tax credit, and there</w:t>
      </w:r>
      <w:r>
        <w:rPr>
          <w:rFonts w:ascii="Arial" w:cs="Arial" w:eastAsia="Arial" w:hAnsi="Arial"/>
          <w:sz w:val="19"/>
          <w:szCs w:val="19"/>
          <w:b w:val="1"/>
          <w:bCs w:val="1"/>
          <w:color w:val="auto"/>
        </w:rPr>
        <w:t xml:space="preserve"> </w:t>
      </w:r>
      <w:r>
        <w:rPr>
          <w:rFonts w:ascii="Arial" w:cs="Arial" w:eastAsia="Arial" w:hAnsi="Arial"/>
          <w:sz w:val="19"/>
          <w:szCs w:val="19"/>
          <w:color w:val="auto"/>
        </w:rPr>
        <w:t>can be no assurance that those requirements will be satisfied. The Treasury Department has recently released guidance temporarily pausing the application of certain of the Foreign Tax Credit Regulations.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Subject to the PFIC rules and the Foreign Tax Credit Regulations, each as discussed above, a U.S. Holder that pays (whether directly or through withholding) Canadian income tax with respect to dividends paid on Common Shares generally will be entitled, at the election of such U.S. Holder, to receive either a deduction or a credit for such Canadian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i w:val="1"/>
          <w:iCs w:val="1"/>
          <w:color w:val="auto"/>
        </w:rPr>
        <w:t>Backup Withholding and Information Reporting</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Common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Payments made within the U.S. or by a U.S. payor or U.S. middleman, of dividends on, and proceeds arising from the sale or other taxable disposition of, Common Shares will generally be subject to information reporting and backup withholding tax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 ABOVE SUMMARY IS NOT INTENDED TO CONSTITUTE A COMPLETE ANALYSIS OF ALL TAX CONSIDERATIONS APPLICABLE TO U.S. HOLDERS WITH RESPECT TO THE ACQUISITION, OWNERSHIP AND DISPOSITION OF COMMON SHARES. U.S. HOLDERS SHOULD CONSULT THEIR OWN TAX ADVISORS AS TO THE TAX CONSIDERATIONS APPLICABLE TO THEM IN LIGHT OF THEIR OWN PARTICULAR CIRCUMSTANCES.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Certain legal matters relating to the issue and sale of the Common Shares, will be passed upon on behalf of the Corporation by Aird &amp; Berlis LLP.</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As of the date of this Prospectus Supplement, the partners and associates of Aird &amp; Berlis LLP, beneficially owned, directly or indirectly, less than 1% of the outstanding securities of the 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AUDITORS, TRANSFER AGENT AND REGISTRAR</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47" w:lineRule="exact"/>
        <w:rPr>
          <w:sz w:val="20"/>
          <w:szCs w:val="20"/>
          <w:color w:val="auto"/>
        </w:rPr>
      </w:pPr>
    </w:p>
    <w:p>
      <w:pPr>
        <w:jc w:val="center"/>
        <w:ind w:right="500"/>
        <w:spacing w:after="0" w:line="455" w:lineRule="auto"/>
        <w:rPr>
          <w:sz w:val="20"/>
          <w:szCs w:val="20"/>
          <w:color w:val="auto"/>
        </w:rPr>
      </w:pPr>
      <w:r>
        <w:rPr>
          <w:rFonts w:ascii="Arial" w:cs="Arial" w:eastAsia="Arial" w:hAnsi="Arial"/>
          <w:sz w:val="22"/>
          <w:szCs w:val="22"/>
          <w:color w:val="auto"/>
        </w:rPr>
        <w:t>The registrar and transfer agent of the Common Shares is Odyssey Trust Company at its principal office in Calgary, Alberta. 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53275" cy="46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The Corporation has filed with the SEC the Registration Statement on Form F-10 under the Securities Act relating to the offering of the Corporation's securities, including the Common Shares, of which this Prospectus Supplement and accompanying Prospectus form a part. This Prospectus Supplement and the accompanying Prospectus do not contain all of the information set forth in the Registration Statement, certain parts of which are contained in the exhibits to the Registration Statement as permitted by the rules and regulations of the SEC. Reference is made to such Registration Statement and the exhibits thereto for further information with respect to us and the Common Shares. Information omitted from this Prospectus Supplement and the accompanying Prospectus, but contained in the Registration Statement is available on EDGAR under the Corporation's profile at </w:t>
      </w:r>
      <w:r>
        <w:rPr>
          <w:rFonts w:ascii="Arial" w:cs="Arial" w:eastAsia="Arial" w:hAnsi="Arial"/>
          <w:sz w:val="19"/>
          <w:szCs w:val="19"/>
          <w:u w:val="single" w:color="auto"/>
          <w:color w:val="0563C1"/>
        </w:rPr>
        <w:t>www.sec.gov</w:t>
      </w:r>
      <w:r>
        <w:rPr>
          <w:rFonts w:ascii="Arial" w:cs="Arial" w:eastAsia="Arial" w:hAnsi="Arial"/>
          <w:sz w:val="19"/>
          <w:szCs w:val="19"/>
          <w:color w:val="000000"/>
        </w:rPr>
        <w:t>. Investors should review the Registration Statement and the exhibits thereto for further information with respect to</w:t>
      </w:r>
      <w:r>
        <w:rPr>
          <w:rFonts w:ascii="Arial" w:cs="Arial" w:eastAsia="Arial" w:hAnsi="Arial"/>
          <w:sz w:val="19"/>
          <w:szCs w:val="19"/>
          <w:color w:val="0563C1"/>
        </w:rPr>
        <w:t xml:space="preserve"> </w:t>
      </w:r>
      <w:r>
        <w:rPr>
          <w:rFonts w:ascii="Arial" w:cs="Arial" w:eastAsia="Arial" w:hAnsi="Arial"/>
          <w:sz w:val="19"/>
          <w:szCs w:val="19"/>
          <w:color w:val="000000"/>
        </w:rPr>
        <w:t>us and the Common Shares. Statements contained in this Prospectus Supplement and the accompanying Prospectus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is required to file with the various securities commissions or similar authorities in each of the applicable provinces and territories of Canada, annual and quarterly reports, material change reports and other information. The Corporation is also an SEC registrant subject to the informational requirements of the Exchange Act, and, accordingly, file with, or furnish to, the SEC certain reports and other information. Under the MJDS adopted by the United States and Canada, these reports and other information (including financial information) may be prepared in accordance with the disclosure requirements of Canada, which differ from those of the United States. The Corporation is exempt from the rules under the Exchange Act prescribing the furnishing and content of proxy statements, and the officers, directors and principal shareholders are exempt from the reporting and short swing profit recovery provisions contained in Section 16 of the Exchange Act.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ENFORCEABILITY OF CIVIL LIABILITIES BY U.S. INVESTORS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The Corporation is a corporation existing under the </w:t>
      </w:r>
      <w:r>
        <w:rPr>
          <w:rFonts w:ascii="Arial" w:cs="Arial" w:eastAsia="Arial" w:hAnsi="Arial"/>
          <w:sz w:val="21"/>
          <w:szCs w:val="21"/>
          <w:i w:val="1"/>
          <w:iCs w:val="1"/>
          <w:color w:val="auto"/>
        </w:rPr>
        <w:t>Business Corporations Act</w:t>
      </w:r>
      <w:r>
        <w:rPr>
          <w:rFonts w:ascii="Arial" w:cs="Arial" w:eastAsia="Arial" w:hAnsi="Arial"/>
          <w:sz w:val="21"/>
          <w:szCs w:val="21"/>
          <w:color w:val="auto"/>
        </w:rPr>
        <w:t xml:space="preserve"> (Ontario). Other than Douglas Drysdale,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Securities who reside in the United States to effect service within the United States upon those directors, officers and experts who are not residents of the United States. It may also be difficult for holders of the Securities who reside in the United States to realize upon judgments of courts of the United States predicated upon the Corporation's civil liability and the civil liability of its directors, officers and experts under the United States federal securities laws.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 filed with the SEC, concurrently with the Registration Statement, an appointment of agent for service of process on Form F-X. Under the Form F-X, the Corporation appointed CT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Common Shares under this Prospectus Supplement and the accompanying Base Shelf Prospectus.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tabs>
          <w:tab w:leader="none" w:pos="10020" w:val="left"/>
        </w:tabs>
        <w:rPr>
          <w:sz w:val="20"/>
          <w:szCs w:val="20"/>
          <w:color w:val="auto"/>
        </w:rPr>
      </w:pPr>
      <w:r>
        <w:rPr>
          <w:rFonts w:ascii="Arial" w:cs="Arial" w:eastAsia="Arial" w:hAnsi="Arial"/>
          <w:sz w:val="18"/>
          <w:szCs w:val="18"/>
          <w:u w:val="single" w:color="auto"/>
          <w:color w:val="auto"/>
        </w:rPr>
        <w:t>New Issue</w:t>
      </w:r>
      <w:r>
        <w:rPr>
          <w:sz w:val="20"/>
          <w:szCs w:val="20"/>
          <w:color w:val="auto"/>
        </w:rPr>
        <w:tab/>
      </w:r>
      <w:r>
        <w:rPr>
          <w:rFonts w:ascii="Arial" w:cs="Arial" w:eastAsia="Arial" w:hAnsi="Arial"/>
          <w:sz w:val="16"/>
          <w:szCs w:val="16"/>
          <w:color w:val="auto"/>
        </w:rPr>
        <w:t>August 17, 2023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147955</wp:posOffset>
            </wp:positionV>
            <wp:extent cx="1405890" cy="8401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058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CYBIN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$160,000,000</w:t>
      </w:r>
    </w:p>
    <w:p>
      <w:pPr>
        <w:jc w:val="center"/>
        <w:spacing w:after="0" w:line="230" w:lineRule="auto"/>
        <w:rPr>
          <w:sz w:val="20"/>
          <w:szCs w:val="20"/>
          <w:color w:val="auto"/>
        </w:rPr>
      </w:pPr>
      <w:r>
        <w:rPr>
          <w:rFonts w:ascii="Arial" w:cs="Arial" w:eastAsia="Arial" w:hAnsi="Arial"/>
          <w:sz w:val="22"/>
          <w:szCs w:val="22"/>
          <w:b w:val="1"/>
          <w:bCs w:val="1"/>
          <w:color w:val="auto"/>
        </w:rPr>
        <w:t>Common Shares</w:t>
      </w:r>
    </w:p>
    <w:p>
      <w:pPr>
        <w:jc w:val="center"/>
        <w:spacing w:after="0" w:line="231" w:lineRule="auto"/>
        <w:rPr>
          <w:sz w:val="20"/>
          <w:szCs w:val="20"/>
          <w:color w:val="auto"/>
        </w:rPr>
      </w:pPr>
      <w:r>
        <w:rPr>
          <w:rFonts w:ascii="Arial" w:cs="Arial" w:eastAsia="Arial" w:hAnsi="Arial"/>
          <w:sz w:val="22"/>
          <w:szCs w:val="22"/>
          <w:b w:val="1"/>
          <w:bCs w:val="1"/>
          <w:color w:val="auto"/>
        </w:rPr>
        <w:t>Warrants</w:t>
      </w:r>
    </w:p>
    <w:p>
      <w:pPr>
        <w:jc w:val="center"/>
        <w:spacing w:after="0" w:line="230" w:lineRule="auto"/>
        <w:rPr>
          <w:sz w:val="20"/>
          <w:szCs w:val="20"/>
          <w:color w:val="auto"/>
        </w:rPr>
      </w:pPr>
      <w:r>
        <w:rPr>
          <w:rFonts w:ascii="Arial" w:cs="Arial" w:eastAsia="Arial" w:hAnsi="Arial"/>
          <w:sz w:val="22"/>
          <w:szCs w:val="22"/>
          <w:b w:val="1"/>
          <w:bCs w:val="1"/>
          <w:color w:val="auto"/>
        </w:rPr>
        <w:t>Units</w:t>
      </w:r>
    </w:p>
    <w:p>
      <w:pPr>
        <w:jc w:val="center"/>
        <w:spacing w:after="0" w:line="231" w:lineRule="auto"/>
        <w:rPr>
          <w:sz w:val="20"/>
          <w:szCs w:val="20"/>
          <w:color w:val="auto"/>
        </w:rPr>
      </w:pPr>
      <w:r>
        <w:rPr>
          <w:rFonts w:ascii="Arial" w:cs="Arial" w:eastAsia="Arial" w:hAnsi="Arial"/>
          <w:sz w:val="22"/>
          <w:szCs w:val="22"/>
          <w:b w:val="1"/>
          <w:bCs w:val="1"/>
          <w:color w:val="auto"/>
        </w:rPr>
        <w:t>Debt Securities</w:t>
      </w:r>
    </w:p>
    <w:p>
      <w:pPr>
        <w:jc w:val="center"/>
        <w:spacing w:after="0"/>
        <w:rPr>
          <w:sz w:val="20"/>
          <w:szCs w:val="20"/>
          <w:color w:val="auto"/>
        </w:rPr>
      </w:pPr>
      <w:r>
        <w:rPr>
          <w:rFonts w:ascii="Arial" w:cs="Arial" w:eastAsia="Arial" w:hAnsi="Arial"/>
          <w:sz w:val="22"/>
          <w:szCs w:val="22"/>
          <w:b w:val="1"/>
          <w:bCs w:val="1"/>
          <w:color w:val="auto"/>
        </w:rPr>
        <w:t>Subscription Receipts</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short form base shelf prospectus ("</w:t>
      </w:r>
      <w:r>
        <w:rPr>
          <w:rFonts w:ascii="Arial" w:cs="Arial" w:eastAsia="Arial" w:hAnsi="Arial"/>
          <w:sz w:val="21"/>
          <w:szCs w:val="21"/>
          <w:b w:val="1"/>
          <w:bCs w:val="1"/>
          <w:color w:val="auto"/>
        </w:rPr>
        <w:t>Prospectus</w:t>
      </w:r>
      <w:r>
        <w:rPr>
          <w:rFonts w:ascii="Arial" w:cs="Arial" w:eastAsia="Arial" w:hAnsi="Arial"/>
          <w:sz w:val="21"/>
          <w:szCs w:val="21"/>
          <w:color w:val="auto"/>
        </w:rPr>
        <w:t>") relates to the offering for sale from time to time (each, an "</w:t>
      </w:r>
      <w:r>
        <w:rPr>
          <w:rFonts w:ascii="Arial" w:cs="Arial" w:eastAsia="Arial" w:hAnsi="Arial"/>
          <w:sz w:val="21"/>
          <w:szCs w:val="21"/>
          <w:b w:val="1"/>
          <w:bCs w:val="1"/>
          <w:color w:val="auto"/>
        </w:rPr>
        <w:t>Offering</w:t>
      </w:r>
      <w:r>
        <w:rPr>
          <w:rFonts w:ascii="Arial" w:cs="Arial" w:eastAsia="Arial" w:hAnsi="Arial"/>
          <w:sz w:val="21"/>
          <w:szCs w:val="21"/>
          <w:color w:val="auto"/>
        </w:rPr>
        <w:t>") by Cybin Inc. (the "</w:t>
      </w:r>
      <w:r>
        <w:rPr>
          <w:rFonts w:ascii="Arial" w:cs="Arial" w:eastAsia="Arial" w:hAnsi="Arial"/>
          <w:sz w:val="21"/>
          <w:szCs w:val="21"/>
          <w:b w:val="1"/>
          <w:bCs w:val="1"/>
          <w:color w:val="auto"/>
        </w:rPr>
        <w:t>Corporation</w:t>
      </w:r>
      <w:r>
        <w:rPr>
          <w:rFonts w:ascii="Arial" w:cs="Arial" w:eastAsia="Arial" w:hAnsi="Arial"/>
          <w:sz w:val="21"/>
          <w:szCs w:val="21"/>
          <w:color w:val="auto"/>
        </w:rPr>
        <w:t>" or "</w:t>
      </w:r>
      <w:r>
        <w:rPr>
          <w:rFonts w:ascii="Arial" w:cs="Arial" w:eastAsia="Arial" w:hAnsi="Arial"/>
          <w:sz w:val="21"/>
          <w:szCs w:val="21"/>
          <w:b w:val="1"/>
          <w:bCs w:val="1"/>
          <w:color w:val="auto"/>
        </w:rPr>
        <w:t>Cybin</w:t>
      </w:r>
      <w:r>
        <w:rPr>
          <w:rFonts w:ascii="Arial" w:cs="Arial" w:eastAsia="Arial" w:hAnsi="Arial"/>
          <w:sz w:val="21"/>
          <w:szCs w:val="21"/>
          <w:color w:val="auto"/>
        </w:rPr>
        <w:t>") during the 25-month period that this Prospectus, including any of amendments thereto, remains valid, of up to $160,000,000 in the aggregate of: (i) common shares ("</w:t>
      </w:r>
      <w:r>
        <w:rPr>
          <w:rFonts w:ascii="Arial" w:cs="Arial" w:eastAsia="Arial" w:hAnsi="Arial"/>
          <w:sz w:val="21"/>
          <w:szCs w:val="21"/>
          <w:b w:val="1"/>
          <w:bCs w:val="1"/>
          <w:color w:val="auto"/>
        </w:rPr>
        <w:t>Common Shares</w:t>
      </w:r>
      <w:r>
        <w:rPr>
          <w:rFonts w:ascii="Arial" w:cs="Arial" w:eastAsia="Arial" w:hAnsi="Arial"/>
          <w:sz w:val="21"/>
          <w:szCs w:val="21"/>
          <w:color w:val="auto"/>
        </w:rPr>
        <w:t>") of the Corporation; (ii) warrants ("</w:t>
      </w:r>
      <w:r>
        <w:rPr>
          <w:rFonts w:ascii="Arial" w:cs="Arial" w:eastAsia="Arial" w:hAnsi="Arial"/>
          <w:sz w:val="21"/>
          <w:szCs w:val="21"/>
          <w:b w:val="1"/>
          <w:bCs w:val="1"/>
          <w:color w:val="auto"/>
        </w:rPr>
        <w:t>Warrants</w:t>
      </w:r>
      <w:r>
        <w:rPr>
          <w:rFonts w:ascii="Arial" w:cs="Arial" w:eastAsia="Arial" w:hAnsi="Arial"/>
          <w:sz w:val="21"/>
          <w:szCs w:val="21"/>
          <w:color w:val="auto"/>
        </w:rPr>
        <w:t>") to purchase other Securities (as defined below) of the Corporation; (iii) units ("</w:t>
      </w:r>
      <w:r>
        <w:rPr>
          <w:rFonts w:ascii="Arial" w:cs="Arial" w:eastAsia="Arial" w:hAnsi="Arial"/>
          <w:sz w:val="21"/>
          <w:szCs w:val="21"/>
          <w:b w:val="1"/>
          <w:bCs w:val="1"/>
          <w:color w:val="auto"/>
        </w:rPr>
        <w:t>Units</w:t>
      </w:r>
      <w:r>
        <w:rPr>
          <w:rFonts w:ascii="Arial" w:cs="Arial" w:eastAsia="Arial" w:hAnsi="Arial"/>
          <w:sz w:val="21"/>
          <w:szCs w:val="21"/>
          <w:color w:val="auto"/>
        </w:rPr>
        <w:t>") comprising of one or more of the other Securities, (iv) senior and subordinated unsecured debt securities (collectively, "</w:t>
      </w:r>
      <w:r>
        <w:rPr>
          <w:rFonts w:ascii="Arial" w:cs="Arial" w:eastAsia="Arial" w:hAnsi="Arial"/>
          <w:sz w:val="21"/>
          <w:szCs w:val="21"/>
          <w:b w:val="1"/>
          <w:bCs w:val="1"/>
          <w:color w:val="auto"/>
        </w:rPr>
        <w:t>Debt Securities</w:t>
      </w:r>
      <w:r>
        <w:rPr>
          <w:rFonts w:ascii="Arial" w:cs="Arial" w:eastAsia="Arial" w:hAnsi="Arial"/>
          <w:sz w:val="21"/>
          <w:szCs w:val="21"/>
          <w:color w:val="auto"/>
        </w:rPr>
        <w:t>"), including debt securities convertible or exchangeable into other securities of the Corporation, and (v) subscription receipts ("</w:t>
      </w:r>
      <w:r>
        <w:rPr>
          <w:rFonts w:ascii="Arial" w:cs="Arial" w:eastAsia="Arial" w:hAnsi="Arial"/>
          <w:sz w:val="21"/>
          <w:szCs w:val="21"/>
          <w:b w:val="1"/>
          <w:bCs w:val="1"/>
          <w:color w:val="auto"/>
        </w:rPr>
        <w:t>Subscription</w:t>
      </w:r>
      <w:r>
        <w:rPr>
          <w:rFonts w:ascii="Arial" w:cs="Arial" w:eastAsia="Arial" w:hAnsi="Arial"/>
          <w:sz w:val="21"/>
          <w:szCs w:val="21"/>
          <w:color w:val="auto"/>
        </w:rPr>
        <w:t xml:space="preserve"> </w:t>
      </w:r>
      <w:r>
        <w:rPr>
          <w:rFonts w:ascii="Arial" w:cs="Arial" w:eastAsia="Arial" w:hAnsi="Arial"/>
          <w:sz w:val="21"/>
          <w:szCs w:val="21"/>
          <w:b w:val="1"/>
          <w:bCs w:val="1"/>
          <w:color w:val="auto"/>
        </w:rPr>
        <w:t>Receipts</w:t>
      </w:r>
      <w:r>
        <w:rPr>
          <w:rFonts w:ascii="Arial" w:cs="Arial" w:eastAsia="Arial" w:hAnsi="Arial"/>
          <w:sz w:val="21"/>
          <w:szCs w:val="21"/>
          <w:color w:val="auto"/>
        </w:rPr>
        <w:t>" and together with the Common Shares, Warrants, Units and Debt Securities, collectively referred to herein as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Securities</w:t>
      </w:r>
      <w:r>
        <w:rPr>
          <w:rFonts w:ascii="Arial" w:cs="Arial" w:eastAsia="Arial" w:hAnsi="Arial"/>
          <w:sz w:val="21"/>
          <w:szCs w:val="21"/>
          <w:color w:val="auto"/>
        </w:rPr>
        <w:t>"). The Securities may be offered separately or together, in amounts, at prices and on terms determined based on market conditions at the time of the sale and as set forth in an accompanying prospectus supplement ("</w:t>
      </w:r>
      <w:r>
        <w:rPr>
          <w:rFonts w:ascii="Arial" w:cs="Arial" w:eastAsia="Arial" w:hAnsi="Arial"/>
          <w:sz w:val="21"/>
          <w:szCs w:val="21"/>
          <w:b w:val="1"/>
          <w:bCs w:val="1"/>
          <w:color w:val="auto"/>
        </w:rPr>
        <w:t>Prospectus</w:t>
      </w:r>
      <w:r>
        <w:rPr>
          <w:rFonts w:ascii="Arial" w:cs="Arial" w:eastAsia="Arial" w:hAnsi="Arial"/>
          <w:sz w:val="21"/>
          <w:szCs w:val="21"/>
          <w:color w:val="auto"/>
        </w:rPr>
        <w:t xml:space="preserve"> </w:t>
      </w:r>
      <w:r>
        <w:rPr>
          <w:rFonts w:ascii="Arial" w:cs="Arial" w:eastAsia="Arial" w:hAnsi="Arial"/>
          <w:sz w:val="21"/>
          <w:szCs w:val="21"/>
          <w:b w:val="1"/>
          <w:bCs w:val="1"/>
          <w:color w:val="auto"/>
        </w:rPr>
        <w:t>Supplement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spacing w:after="0" w:line="282" w:lineRule="auto"/>
        <w:rPr>
          <w:sz w:val="20"/>
          <w:szCs w:val="20"/>
          <w:color w:val="auto"/>
        </w:rPr>
      </w:pPr>
      <w:r>
        <w:rPr>
          <w:rFonts w:ascii="Arial" w:cs="Arial" w:eastAsia="Arial" w:hAnsi="Arial"/>
          <w:sz w:val="19"/>
          <w:szCs w:val="19"/>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Securities may be sold through underwriters or dealers, directly by the Corporation pursuant to applicable statutory exemptions, or through designated agents from time to time. See </w:t>
      </w:r>
      <w:r>
        <w:rPr>
          <w:rFonts w:ascii="Arial" w:cs="Arial" w:eastAsia="Arial" w:hAnsi="Arial"/>
          <w:sz w:val="19"/>
          <w:szCs w:val="19"/>
          <w:i w:val="1"/>
          <w:iCs w:val="1"/>
          <w:color w:val="auto"/>
        </w:rPr>
        <w:t>"Plan of Distribution".</w:t>
      </w:r>
      <w:r>
        <w:rPr>
          <w:rFonts w:ascii="Arial" w:cs="Arial" w:eastAsia="Arial" w:hAnsi="Arial"/>
          <w:sz w:val="19"/>
          <w:szCs w:val="19"/>
          <w:color w:val="auto"/>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and any other material terms of the plan of distribution.</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Arial" w:cs="Arial" w:eastAsia="Arial" w:hAnsi="Arial"/>
          <w:sz w:val="21"/>
          <w:szCs w:val="21"/>
          <w:i w:val="1"/>
          <w:iCs w:val="1"/>
          <w:color w:val="auto"/>
        </w:rPr>
        <w:t>Shelf Distributions</w:t>
      </w:r>
      <w:r>
        <w:rPr>
          <w:rFonts w:ascii="Arial" w:cs="Arial" w:eastAsia="Arial" w:hAnsi="Arial"/>
          <w:sz w:val="21"/>
          <w:szCs w:val="21"/>
          <w:color w:val="auto"/>
        </w:rPr>
        <w:t xml:space="preserve"> ("</w:t>
      </w:r>
      <w:r>
        <w:rPr>
          <w:rFonts w:ascii="Arial" w:cs="Arial" w:eastAsia="Arial" w:hAnsi="Arial"/>
          <w:sz w:val="21"/>
          <w:szCs w:val="21"/>
          <w:b w:val="1"/>
          <w:bCs w:val="1"/>
          <w:color w:val="auto"/>
        </w:rPr>
        <w:t>NI 44-102</w:t>
      </w:r>
      <w:r>
        <w:rPr>
          <w:rFonts w:ascii="Arial" w:cs="Arial" w:eastAsia="Arial" w:hAnsi="Arial"/>
          <w:sz w:val="21"/>
          <w:szCs w:val="21"/>
          <w:color w:val="auto"/>
        </w:rPr>
        <w:t>"). If offered on a non-fixed price basis, the Securities may be offered at market prices prevailing at the time of sale, at prices</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rFonts w:ascii="Arial" w:cs="Arial" w:eastAsia="Arial" w:hAnsi="Arial"/>
          <w:sz w:val="21"/>
          <w:szCs w:val="21"/>
          <w:b w:val="1"/>
          <w:bCs w:val="1"/>
          <w:color w:val="auto"/>
        </w:rPr>
        <w:t>NEO</w:t>
      </w:r>
      <w:r>
        <w:rPr>
          <w:rFonts w:ascii="Arial" w:cs="Arial" w:eastAsia="Arial" w:hAnsi="Arial"/>
          <w:sz w:val="21"/>
          <w:szCs w:val="21"/>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Arial" w:cs="Arial" w:eastAsia="Arial" w:hAnsi="Arial"/>
          <w:sz w:val="21"/>
          <w:szCs w:val="21"/>
          <w:i w:val="1"/>
          <w:iCs w:val="1"/>
          <w:color w:val="auto"/>
        </w:rPr>
        <w:t>"Plan of</w:t>
      </w:r>
      <w:r>
        <w:rPr>
          <w:rFonts w:ascii="Arial" w:cs="Arial" w:eastAsia="Arial" w:hAnsi="Arial"/>
          <w:sz w:val="21"/>
          <w:szCs w:val="21"/>
          <w:color w:val="auto"/>
        </w:rPr>
        <w:t xml:space="preserve"> </w:t>
      </w:r>
      <w:r>
        <w:rPr>
          <w:rFonts w:ascii="Arial" w:cs="Arial" w:eastAsia="Arial" w:hAnsi="Arial"/>
          <w:sz w:val="21"/>
          <w:szCs w:val="21"/>
          <w:i w:val="1"/>
          <w:iCs w:val="1"/>
          <w:color w:val="auto"/>
        </w:rPr>
        <w:t>Distribution"</w:t>
      </w:r>
      <w:r>
        <w:rPr>
          <w:rFonts w:ascii="Arial" w:cs="Arial" w:eastAsia="Arial" w:hAnsi="Arial"/>
          <w:sz w:val="21"/>
          <w:szCs w:val="21"/>
          <w:color w:val="auto"/>
        </w:rPr>
        <w:t>.</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jc w:val="both"/>
        <w:spacing w:after="0" w:line="235" w:lineRule="auto"/>
        <w:rPr>
          <w:sz w:val="20"/>
          <w:szCs w:val="20"/>
          <w:color w:val="auto"/>
        </w:rPr>
      </w:pPr>
      <w:r>
        <w:rPr>
          <w:rFonts w:ascii="Arial" w:cs="Arial" w:eastAsia="Arial" w:hAnsi="Arial"/>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Arial" w:cs="Arial" w:eastAsia="Arial" w:hAnsi="Arial"/>
          <w:sz w:val="22"/>
          <w:szCs w:val="22"/>
          <w:i w:val="1"/>
          <w:iCs w:val="1"/>
          <w:color w:val="auto"/>
        </w:rPr>
        <w:t>"Plan of Distribution"</w:t>
      </w:r>
      <w:r>
        <w:rPr>
          <w:rFonts w:ascii="Arial" w:cs="Arial" w:eastAsia="Arial" w:hAnsi="Arial"/>
          <w:sz w:val="22"/>
          <w:szCs w:val="22"/>
          <w:color w:val="auto"/>
        </w:rPr>
        <w:t>.</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Common Shares are listed on the NEO under the trading symbol “CYBN”, and in the United States on the NYSE American LLC stock exchange (the “</w:t>
      </w:r>
      <w:r>
        <w:rPr>
          <w:rFonts w:ascii="Arial" w:cs="Arial" w:eastAsia="Arial" w:hAnsi="Arial"/>
          <w:sz w:val="22"/>
          <w:szCs w:val="22"/>
          <w:b w:val="1"/>
          <w:bCs w:val="1"/>
          <w:color w:val="auto"/>
        </w:rPr>
        <w:t>NYSE American</w:t>
      </w:r>
      <w:r>
        <w:rPr>
          <w:rFonts w:ascii="Arial" w:cs="Arial" w:eastAsia="Arial" w:hAnsi="Arial"/>
          <w:sz w:val="22"/>
          <w:szCs w:val="22"/>
          <w:color w:val="auto"/>
        </w:rPr>
        <w:t>”) under the symbol “CYBN”. On August 16, 2023, the last trading day prior to the filing of this Prospectus, the closing prices of the Common Shares listed on the NEO and the NYSE American were $0.44 and US$0.323, respectively.</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w:t>
      </w:r>
    </w:p>
    <w:p>
      <w:pPr>
        <w:spacing w:after="0" w:line="14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An investors ability to enforce civil liabilities under the United States federal securities laws may be affected adversely because the Corporation is incorporated in Canada, most of the officers and directors named in this Prospectus are not residents of the United States, and some of the Corporation's assets and all or a substantial portion of the assets of such persons are located outside of the United States. See "</w:t>
      </w:r>
      <w:r>
        <w:rPr>
          <w:rFonts w:ascii="Arial" w:cs="Arial" w:eastAsia="Arial" w:hAnsi="Arial"/>
          <w:sz w:val="19"/>
          <w:szCs w:val="19"/>
          <w:b w:val="1"/>
          <w:bCs w:val="1"/>
          <w:i w:val="1"/>
          <w:iCs w:val="1"/>
          <w:color w:val="auto"/>
        </w:rPr>
        <w:t>Risk Factors - Enforcement of Civil Liabilities</w:t>
      </w:r>
      <w:r>
        <w:rPr>
          <w:rFonts w:ascii="Arial" w:cs="Arial" w:eastAsia="Arial" w:hAnsi="Arial"/>
          <w:sz w:val="19"/>
          <w:szCs w:val="19"/>
          <w:b w:val="1"/>
          <w:bCs w:val="1"/>
          <w:color w:val="auto"/>
        </w:rPr>
        <w:t>".</w:t>
      </w:r>
    </w:p>
    <w:p>
      <w:pPr>
        <w:spacing w:after="0" w:line="136"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An investment in the Securities is subject to a number of risks, including those risks described in this Prospectus and documents incorporated by reference into this Prospectus. See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 xml:space="preserve"> in this Prospectus and in the Corporation’s Annual Information Form and Interim MD&amp;A (each as defined herein) incorporated by reference herein.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jc w:val="both"/>
        <w:spacing w:after="0" w:line="280" w:lineRule="auto"/>
        <w:rPr>
          <w:sz w:val="20"/>
          <w:szCs w:val="20"/>
          <w:color w:val="auto"/>
        </w:rPr>
      </w:pPr>
      <w:r>
        <w:rPr>
          <w:rFonts w:ascii="Arial" w:cs="Arial" w:eastAsia="Arial" w:hAnsi="Arial"/>
          <w:sz w:val="21"/>
          <w:szCs w:val="21"/>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underwriter has been involved in the preparation of this Prospectus or performed any review of the contents hereof.</w:t>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NEITHER THE SEC 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Arial" w:cs="Arial" w:eastAsia="Arial" w:hAnsi="Arial"/>
          <w:sz w:val="19"/>
          <w:szCs w:val="19"/>
          <w:i w:val="1"/>
          <w:iCs w:val="1"/>
          <w:color w:val="auto"/>
        </w:rPr>
        <w:t>"Risk Factors - Risks Related to an Offering - Enforcement of Civil Liabilities"</w:t>
      </w:r>
      <w:r>
        <w:rPr>
          <w:rFonts w:ascii="Arial" w:cs="Arial" w:eastAsia="Arial" w:hAnsi="Arial"/>
          <w:sz w:val="19"/>
          <w:szCs w:val="19"/>
          <w:color w:val="auto"/>
        </w:rPr>
        <w:t>.</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In this Prospectus, references to the "</w:t>
      </w:r>
      <w:r>
        <w:rPr>
          <w:rFonts w:ascii="Arial" w:cs="Arial" w:eastAsia="Arial" w:hAnsi="Arial"/>
          <w:sz w:val="22"/>
          <w:szCs w:val="22"/>
          <w:b w:val="1"/>
          <w:bCs w:val="1"/>
          <w:color w:val="auto"/>
        </w:rPr>
        <w:t>Corporation</w:t>
      </w:r>
      <w:r>
        <w:rPr>
          <w:rFonts w:ascii="Arial" w:cs="Arial" w:eastAsia="Arial" w:hAnsi="Arial"/>
          <w:sz w:val="22"/>
          <w:szCs w:val="22"/>
          <w:color w:val="auto"/>
        </w:rPr>
        <w:t>", "</w:t>
      </w:r>
      <w:r>
        <w:rPr>
          <w:rFonts w:ascii="Arial" w:cs="Arial" w:eastAsia="Arial" w:hAnsi="Arial"/>
          <w:sz w:val="22"/>
          <w:szCs w:val="22"/>
          <w:b w:val="1"/>
          <w:bCs w:val="1"/>
          <w:color w:val="auto"/>
        </w:rPr>
        <w:t>Cybin</w:t>
      </w:r>
      <w:r>
        <w:rPr>
          <w:rFonts w:ascii="Arial" w:cs="Arial" w:eastAsia="Arial" w:hAnsi="Arial"/>
          <w:sz w:val="22"/>
          <w:szCs w:val="22"/>
          <w:color w:val="auto"/>
        </w:rPr>
        <w:t>", "</w:t>
      </w:r>
      <w:r>
        <w:rPr>
          <w:rFonts w:ascii="Arial" w:cs="Arial" w:eastAsia="Arial" w:hAnsi="Arial"/>
          <w:sz w:val="22"/>
          <w:szCs w:val="22"/>
          <w:b w:val="1"/>
          <w:bCs w:val="1"/>
          <w:color w:val="auto"/>
        </w:rPr>
        <w:t>we</w:t>
      </w:r>
      <w:r>
        <w:rPr>
          <w:rFonts w:ascii="Arial" w:cs="Arial" w:eastAsia="Arial" w:hAnsi="Arial"/>
          <w:sz w:val="22"/>
          <w:szCs w:val="22"/>
          <w:color w:val="auto"/>
        </w:rPr>
        <w:t>", "</w:t>
      </w:r>
      <w:r>
        <w:rPr>
          <w:rFonts w:ascii="Arial" w:cs="Arial" w:eastAsia="Arial" w:hAnsi="Arial"/>
          <w:sz w:val="22"/>
          <w:szCs w:val="22"/>
          <w:b w:val="1"/>
          <w:bCs w:val="1"/>
          <w:color w:val="auto"/>
        </w:rPr>
        <w:t>us</w:t>
      </w:r>
      <w:r>
        <w:rPr>
          <w:rFonts w:ascii="Arial" w:cs="Arial" w:eastAsia="Arial" w:hAnsi="Arial"/>
          <w:sz w:val="22"/>
          <w:szCs w:val="22"/>
          <w:color w:val="auto"/>
        </w:rPr>
        <w:t>" and "</w:t>
      </w:r>
      <w:r>
        <w:rPr>
          <w:rFonts w:ascii="Arial" w:cs="Arial" w:eastAsia="Arial" w:hAnsi="Arial"/>
          <w:sz w:val="22"/>
          <w:szCs w:val="22"/>
          <w:b w:val="1"/>
          <w:bCs w:val="1"/>
          <w:color w:val="auto"/>
        </w:rPr>
        <w:t>our</w:t>
      </w:r>
      <w:r>
        <w:rPr>
          <w:rFonts w:ascii="Arial" w:cs="Arial" w:eastAsia="Arial" w:hAnsi="Arial"/>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9317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pacing w:after="0" w:line="260" w:lineRule="exact"/>
        <w:rPr>
          <w:sz w:val="20"/>
          <w:szCs w:val="20"/>
          <w:color w:val="auto"/>
        </w:rPr>
      </w:pPr>
    </w:p>
    <w:p>
      <w:pPr>
        <w:jc w:val="both"/>
        <w:ind w:left="120" w:right="100"/>
        <w:spacing w:after="0" w:line="303" w:lineRule="auto"/>
        <w:rPr>
          <w:sz w:val="20"/>
          <w:szCs w:val="20"/>
          <w:color w:val="auto"/>
        </w:rPr>
      </w:pPr>
      <w:r>
        <w:rPr>
          <w:rFonts w:ascii="Arial" w:cs="Arial" w:eastAsia="Arial" w:hAnsi="Arial"/>
          <w:sz w:val="16"/>
          <w:szCs w:val="16"/>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Arial" w:cs="Arial" w:eastAsia="Arial" w:hAnsi="Arial"/>
          <w:sz w:val="16"/>
          <w:szCs w:val="16"/>
          <w:b w:val="1"/>
          <w:bCs w:val="1"/>
          <w:i w:val="1"/>
          <w:iCs w:val="1"/>
          <w:color w:val="auto"/>
        </w:rPr>
        <w:t>"Use of Proceeds"</w:t>
      </w:r>
      <w:r>
        <w:rPr>
          <w:rFonts w:ascii="Arial" w:cs="Arial" w:eastAsia="Arial" w:hAnsi="Arial"/>
          <w:sz w:val="16"/>
          <w:szCs w:val="16"/>
          <w:b w:val="1"/>
          <w:bCs w:val="1"/>
          <w:color w:val="auto"/>
        </w:rPr>
        <w:t>.</w:t>
      </w:r>
    </w:p>
    <w:p>
      <w:pPr>
        <w:spacing w:after="0" w:line="110" w:lineRule="exact"/>
        <w:rPr>
          <w:sz w:val="20"/>
          <w:szCs w:val="20"/>
          <w:color w:val="auto"/>
        </w:rPr>
      </w:pPr>
    </w:p>
    <w:p>
      <w:pPr>
        <w:jc w:val="both"/>
        <w:ind w:left="120" w:right="100"/>
        <w:spacing w:after="0" w:line="289" w:lineRule="auto"/>
        <w:rPr>
          <w:sz w:val="20"/>
          <w:szCs w:val="20"/>
          <w:color w:val="auto"/>
        </w:rPr>
      </w:pPr>
      <w:r>
        <w:rPr>
          <w:rFonts w:ascii="Arial" w:cs="Arial" w:eastAsia="Arial" w:hAnsi="Arial"/>
          <w:sz w:val="17"/>
          <w:szCs w:val="17"/>
          <w:b w:val="1"/>
          <w:bCs w:val="1"/>
          <w:color w:val="auto"/>
        </w:rPr>
        <w:t xml:space="preserve">The Canadian and United States federal governments regulate drugs through the </w:t>
      </w:r>
      <w:r>
        <w:rPr>
          <w:rFonts w:ascii="Arial" w:cs="Arial" w:eastAsia="Arial" w:hAnsi="Arial"/>
          <w:sz w:val="17"/>
          <w:szCs w:val="17"/>
          <w:b w:val="1"/>
          <w:bCs w:val="1"/>
          <w:i w:val="1"/>
          <w:iCs w:val="1"/>
          <w:color w:val="auto"/>
        </w:rPr>
        <w:t>Controlled Drugs and Substances Act</w:t>
      </w:r>
      <w:r>
        <w:rPr>
          <w:rFonts w:ascii="Arial" w:cs="Arial" w:eastAsia="Arial" w:hAnsi="Arial"/>
          <w:sz w:val="17"/>
          <w:szCs w:val="17"/>
          <w:b w:val="1"/>
          <w:bCs w:val="1"/>
          <w:color w:val="auto"/>
        </w:rPr>
        <w:t xml:space="preserve"> (Canada) (the "CDSA") and the </w:t>
      </w:r>
      <w:r>
        <w:rPr>
          <w:rFonts w:ascii="Arial" w:cs="Arial" w:eastAsia="Arial" w:hAnsi="Arial"/>
          <w:sz w:val="17"/>
          <w:szCs w:val="17"/>
          <w:b w:val="1"/>
          <w:bCs w:val="1"/>
          <w:i w:val="1"/>
          <w:iCs w:val="1"/>
          <w:color w:val="auto"/>
        </w:rPr>
        <w:t>Controlled Substances Act</w:t>
      </w:r>
      <w:r>
        <w:rPr>
          <w:rFonts w:ascii="Arial" w:cs="Arial" w:eastAsia="Arial" w:hAnsi="Arial"/>
          <w:sz w:val="17"/>
          <w:szCs w:val="17"/>
          <w:b w:val="1"/>
          <w:bCs w:val="1"/>
          <w:color w:val="auto"/>
        </w:rPr>
        <w:t xml:space="preserve"> (21 U.S.C. § 811) (the "CSA"), respectively, which place controlled substances in a schedule. Under the CDSA, psilocybin is currently a Schedule III drug. Under the CSA, psilocybin is currently a Schedule I drug.</w:t>
      </w:r>
    </w:p>
    <w:p>
      <w:pPr>
        <w:spacing w:after="0" w:line="131" w:lineRule="exact"/>
        <w:rPr>
          <w:sz w:val="20"/>
          <w:szCs w:val="20"/>
          <w:color w:val="auto"/>
        </w:rPr>
      </w:pPr>
    </w:p>
    <w:p>
      <w:pPr>
        <w:jc w:val="both"/>
        <w:ind w:left="120" w:right="100"/>
        <w:spacing w:after="0" w:line="277" w:lineRule="auto"/>
        <w:rPr>
          <w:sz w:val="20"/>
          <w:szCs w:val="20"/>
          <w:color w:val="auto"/>
        </w:rPr>
      </w:pPr>
      <w:r>
        <w:rPr>
          <w:rFonts w:ascii="Arial" w:cs="Arial" w:eastAsia="Arial" w:hAnsi="Arial"/>
          <w:sz w:val="17"/>
          <w:szCs w:val="17"/>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7"/>
          <w:szCs w:val="17"/>
          <w:b w:val="1"/>
          <w:bCs w:val="1"/>
          <w:i w:val="1"/>
          <w:iCs w:val="1"/>
          <w:color w:val="auto"/>
        </w:rPr>
        <w:t>"Regulatory Overview - Research and Development"</w:t>
      </w:r>
      <w:r>
        <w:rPr>
          <w:rFonts w:ascii="Arial" w:cs="Arial" w:eastAsia="Arial" w:hAnsi="Arial"/>
          <w:sz w:val="17"/>
          <w:szCs w:val="17"/>
          <w:b w:val="1"/>
          <w:bCs w:val="1"/>
          <w:color w:val="auto"/>
        </w:rPr>
        <w:t>.</w:t>
      </w:r>
    </w:p>
    <w:p>
      <w:pPr>
        <w:spacing w:after="0" w:line="127" w:lineRule="exact"/>
        <w:rPr>
          <w:sz w:val="20"/>
          <w:szCs w:val="20"/>
          <w:color w:val="auto"/>
        </w:rPr>
      </w:pPr>
    </w:p>
    <w:p>
      <w:pPr>
        <w:jc w:val="both"/>
        <w:ind w:left="120" w:right="100"/>
        <w:spacing w:after="0" w:line="256" w:lineRule="auto"/>
        <w:rPr>
          <w:sz w:val="20"/>
          <w:szCs w:val="20"/>
          <w:color w:val="auto"/>
        </w:rPr>
      </w:pPr>
      <w:r>
        <w:rPr>
          <w:rFonts w:ascii="Arial" w:cs="Arial" w:eastAsia="Arial" w:hAnsi="Arial"/>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jc w:val="both"/>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83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t>The Corporation's operations are conducted in strict compliance with local laws where such activities are permissible and do not require any specific legal or regulatory approvals.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herein and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the Annual Information Form.</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Certain statements throughout this Prospectus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xml:space="preserve"> herein and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xml:space="preserve"> in the Annual Information Form.</w:t>
      </w:r>
    </w:p>
    <w:p>
      <w:pPr>
        <w:spacing w:after="0" w:line="1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Arial" w:cs="Arial" w:eastAsia="Arial" w:hAnsi="Arial"/>
          <w:sz w:val="16"/>
          <w:szCs w:val="16"/>
          <w:b w:val="1"/>
          <w:bCs w:val="1"/>
          <w:i w:val="1"/>
          <w:iCs w:val="1"/>
          <w:color w:val="auto"/>
        </w:rPr>
        <w:t>"Compliance Program"</w:t>
      </w:r>
      <w:r>
        <w:rPr>
          <w:rFonts w:ascii="Arial" w:cs="Arial" w:eastAsia="Arial" w:hAnsi="Arial"/>
          <w:sz w:val="16"/>
          <w:szCs w:val="16"/>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herein and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the Annual Information Form.</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this Prospectus, prior to investing in the Securities. See </w:t>
      </w:r>
      <w:r>
        <w:rPr>
          <w:rFonts w:ascii="Arial" w:cs="Arial" w:eastAsia="Arial" w:hAnsi="Arial"/>
          <w:sz w:val="18"/>
          <w:szCs w:val="18"/>
          <w:b w:val="1"/>
          <w:bCs w:val="1"/>
          <w:i w:val="1"/>
          <w:iCs w:val="1"/>
          <w:color w:val="auto"/>
        </w:rPr>
        <w:t>"Cautionary Note Regarding Forward-Looking Information"</w:t>
      </w:r>
      <w:r>
        <w:rPr>
          <w:rFonts w:ascii="Arial" w:cs="Arial" w:eastAsia="Arial" w:hAnsi="Arial"/>
          <w:sz w:val="18"/>
          <w:szCs w:val="18"/>
          <w:b w:val="1"/>
          <w:bCs w:val="1"/>
          <w:color w:val="auto"/>
        </w:rPr>
        <w:t xml:space="preserve"> and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142240</wp:posOffset>
            </wp:positionV>
            <wp:extent cx="7153275" cy="469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6" w:right="43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40" w:type="dxa"/>
            <w:vAlign w:val="bottom"/>
            <w:gridSpan w:val="4"/>
          </w:tcPr>
          <w:p>
            <w:pPr>
              <w:ind w:left="2460"/>
              <w:spacing w:after="0"/>
              <w:rPr>
                <w:sz w:val="20"/>
                <w:szCs w:val="20"/>
                <w:color w:val="auto"/>
              </w:rPr>
            </w:pPr>
            <w:r>
              <w:rPr>
                <w:rFonts w:ascii="Arial" w:cs="Arial" w:eastAsia="Arial" w:hAnsi="Arial"/>
                <w:sz w:val="22"/>
                <w:szCs w:val="22"/>
                <w:b w:val="1"/>
                <w:bCs w:val="1"/>
                <w:color w:val="auto"/>
                <w:w w:val="87"/>
              </w:rPr>
              <w:t>Page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GENERAL MATTERS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CAUTIONARY NOTE REGARDING FORWARD-LOOKING INFORMATION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TRADEMARKS AND SERVICE MARKS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MARKETING MATERIALS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MARKET AND INDUSTRY DATA</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DOCUMENTS INCORPORATED BY REFERENCE</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DOCUMENTS FILED AS PART OF THE REGISTRATION STATEMENT</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THE CORPORATION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REGULATORY OVERVIEW</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COMPLIANCE PROGRAM</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CONSOLIDATED CAPITALIZATION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USE OF PROCEEDS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DIVIDEND POLICY</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DESCRIPTION OF SECURITIES BEING DISTRIBUTED</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PLAN OF DISTRIBUTION</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RISK FACTORS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29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CERTAIN FEDERAL INCOME TAX CONSIDERATIONS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LEGAL MATTERS</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116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440" w:type="dxa"/>
            <w:vAlign w:val="bottom"/>
            <w:tcBorders>
              <w:top w:val="single" w:sz="8" w:color="EEEEEE"/>
            </w:tcBorders>
          </w:tcPr>
          <w:p>
            <w:pPr>
              <w:spacing w:after="0"/>
              <w:rPr>
                <w:sz w:val="18"/>
                <w:szCs w:val="18"/>
                <w:color w:val="auto"/>
              </w:rPr>
            </w:pPr>
          </w:p>
        </w:tc>
        <w:tc>
          <w:tcPr>
            <w:tcW w:w="272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40" w:type="dxa"/>
            <w:vAlign w:val="bottom"/>
            <w:gridSpan w:val="19"/>
            <w:shd w:val="clear" w:color="auto" w:fill="EEEEEE"/>
          </w:tcPr>
          <w:p>
            <w:pPr>
              <w:spacing w:after="0" w:line="176" w:lineRule="exact"/>
              <w:rPr>
                <w:sz w:val="20"/>
                <w:szCs w:val="20"/>
                <w:color w:val="auto"/>
              </w:rPr>
            </w:pPr>
            <w:r>
              <w:rPr>
                <w:rFonts w:ascii="Arial" w:cs="Arial" w:eastAsia="Arial" w:hAnsi="Arial"/>
                <w:sz w:val="18"/>
                <w:szCs w:val="18"/>
                <w:color w:val="0000EE"/>
              </w:rPr>
              <w:t>AUDITORS, TRANSFER AGENT AND REGISTRAR</w:t>
            </w:r>
          </w:p>
        </w:tc>
        <w:tc>
          <w:tcPr>
            <w:tcW w:w="2900" w:type="dxa"/>
            <w:vAlign w:val="bottom"/>
            <w:gridSpan w:val="3"/>
            <w:shd w:val="clear" w:color="auto" w:fill="EEEEEE"/>
          </w:tcPr>
          <w:p>
            <w:pPr>
              <w:jc w:val="right"/>
              <w:spacing w:after="0" w:line="176" w:lineRule="exact"/>
              <w:rPr>
                <w:sz w:val="20"/>
                <w:szCs w:val="20"/>
                <w:color w:val="auto"/>
              </w:rPr>
            </w:pPr>
            <w:r>
              <w:rPr>
                <w:rFonts w:ascii="Arial" w:cs="Arial" w:eastAsia="Arial" w:hAnsi="Arial"/>
                <w:sz w:val="18"/>
                <w:szCs w:val="18"/>
                <w:color w:val="0000EE"/>
              </w:rPr>
              <w:t>34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20" w:type="dxa"/>
            <w:vAlign w:val="bottom"/>
            <w:tcBorders>
              <w:top w:val="single" w:sz="8" w:color="EEEEEE"/>
            </w:tcBorders>
          </w:tcPr>
          <w:p>
            <w:pPr>
              <w:spacing w:after="0"/>
              <w:rPr>
                <w:sz w:val="24"/>
                <w:szCs w:val="24"/>
                <w:color w:val="auto"/>
              </w:rPr>
            </w:pPr>
          </w:p>
        </w:tc>
        <w:tc>
          <w:tcPr>
            <w:tcW w:w="1160" w:type="dxa"/>
            <w:vAlign w:val="bottom"/>
            <w:tcBorders>
              <w:top w:val="single" w:sz="8" w:color="EEEEEE"/>
            </w:tcBorders>
          </w:tcPr>
          <w:p>
            <w:pPr>
              <w:spacing w:after="0"/>
              <w:rPr>
                <w:sz w:val="24"/>
                <w:szCs w:val="24"/>
                <w:color w:val="auto"/>
              </w:rPr>
            </w:pPr>
          </w:p>
        </w:tc>
        <w:tc>
          <w:tcPr>
            <w:tcW w:w="380" w:type="dxa"/>
            <w:vAlign w:val="bottom"/>
            <w:tcBorders>
              <w:top w:val="single" w:sz="8" w:color="EEEEEE"/>
            </w:tcBorders>
          </w:tcPr>
          <w:p>
            <w:pPr>
              <w:spacing w:after="0"/>
              <w:rPr>
                <w:sz w:val="24"/>
                <w:szCs w:val="24"/>
                <w:color w:val="auto"/>
              </w:rPr>
            </w:pPr>
          </w:p>
        </w:tc>
        <w:tc>
          <w:tcPr>
            <w:tcW w:w="2440" w:type="dxa"/>
            <w:vAlign w:val="bottom"/>
            <w:tcBorders>
              <w:top w:val="single" w:sz="8" w:color="EEEEEE"/>
            </w:tcBorders>
          </w:tcPr>
          <w:p>
            <w:pPr>
              <w:spacing w:after="0"/>
              <w:rPr>
                <w:sz w:val="24"/>
                <w:szCs w:val="24"/>
                <w:color w:val="auto"/>
              </w:rPr>
            </w:pPr>
          </w:p>
        </w:tc>
        <w:tc>
          <w:tcPr>
            <w:tcW w:w="2720" w:type="dxa"/>
            <w:vAlign w:val="bottom"/>
            <w:tcBorders>
              <w:top w:val="single" w:sz="8" w:color="EEEE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40" w:type="dxa"/>
            <w:vAlign w:val="bottom"/>
            <w:shd w:val="clear" w:color="auto" w:fill="000000"/>
          </w:tcPr>
          <w:p>
            <w:pPr>
              <w:spacing w:after="0"/>
              <w:rPr>
                <w:sz w:val="6"/>
                <w:szCs w:val="6"/>
                <w:color w:val="auto"/>
              </w:rPr>
            </w:pPr>
          </w:p>
        </w:tc>
        <w:tc>
          <w:tcPr>
            <w:tcW w:w="27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2" w:right="29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GENERAL MATTERS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Arial" w:cs="Arial" w:eastAsia="Arial" w:hAnsi="Arial"/>
          <w:sz w:val="19"/>
          <w:szCs w:val="19"/>
          <w:b w:val="1"/>
          <w:bCs w:val="1"/>
          <w:color w:val="auto"/>
        </w:rPr>
        <w:t>Information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Arial" w:cs="Arial" w:eastAsia="Arial" w:hAnsi="Arial"/>
          <w:sz w:val="19"/>
          <w:szCs w:val="19"/>
          <w:color w:val="auto"/>
        </w:rPr>
        <w:t>The Corporation is not</w:t>
      </w:r>
      <w:r>
        <w:rPr>
          <w:rFonts w:ascii="Arial" w:cs="Arial" w:eastAsia="Arial" w:hAnsi="Arial"/>
          <w:sz w:val="19"/>
          <w:szCs w:val="19"/>
          <w:b w:val="1"/>
          <w:bCs w:val="1"/>
          <w:color w:val="auto"/>
        </w:rPr>
        <w:t xml:space="preserve"> </w:t>
      </w:r>
      <w:r>
        <w:rPr>
          <w:rFonts w:ascii="Arial" w:cs="Arial" w:eastAsia="Arial" w:hAnsi="Arial"/>
          <w:sz w:val="19"/>
          <w:szCs w:val="19"/>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The information contained on </w:t>
      </w:r>
      <w:r>
        <w:rPr>
          <w:rFonts w:ascii="Arial" w:cs="Arial" w:eastAsia="Arial" w:hAnsi="Arial"/>
          <w:sz w:val="21"/>
          <w:szCs w:val="21"/>
          <w:u w:val="single" w:color="auto"/>
          <w:color w:val="0000FF"/>
        </w:rPr>
        <w:t>www.cybin.com</w:t>
      </w:r>
      <w:r>
        <w:rPr>
          <w:rFonts w:ascii="Arial" w:cs="Arial" w:eastAsia="Arial" w:hAnsi="Arial"/>
          <w:sz w:val="21"/>
          <w:szCs w:val="21"/>
          <w:color w:val="auto"/>
        </w:rPr>
        <w:t xml:space="preserve"> is not intended to be included in or incorporated by reference herein, and prospective purchasers should not rely on such information when deciding whether or not to invest in any Securities.</w:t>
      </w:r>
    </w:p>
    <w:p>
      <w:pPr>
        <w:spacing w:after="0" w:line="151" w:lineRule="exact"/>
        <w:rPr>
          <w:sz w:val="20"/>
          <w:szCs w:val="20"/>
          <w:color w:val="auto"/>
        </w:rPr>
      </w:pPr>
    </w:p>
    <w:p>
      <w:pPr>
        <w:jc w:val="center"/>
        <w:ind w:right="40"/>
        <w:spacing w:after="0" w:line="435" w:lineRule="auto"/>
        <w:rPr>
          <w:sz w:val="20"/>
          <w:szCs w:val="20"/>
          <w:color w:val="auto"/>
        </w:rPr>
      </w:pPr>
      <w:r>
        <w:rPr>
          <w:rFonts w:ascii="Arial" w:cs="Arial" w:eastAsia="Arial" w:hAnsi="Arial"/>
          <w:sz w:val="22"/>
          <w:szCs w:val="22"/>
          <w:color w:val="auto"/>
        </w:rPr>
        <w:t xml:space="preserve">In this Prospectus, unless stated otherwise or the context requires otherwise, all dollar amounts are expressed in Canadian dollars. </w:t>
      </w:r>
      <w:r>
        <w:rPr>
          <w:rFonts w:ascii="Arial" w:cs="Arial" w:eastAsia="Arial" w:hAnsi="Arial"/>
          <w:sz w:val="22"/>
          <w:szCs w:val="22"/>
          <w:b w:val="1"/>
          <w:bCs w:val="1"/>
          <w:color w:val="auto"/>
        </w:rPr>
        <w:t>CAUTIONARY NOTE REGARDING FORWARD-LOOKING INFORMATION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9"/>
          <w:szCs w:val="19"/>
          <w:i w:val="1"/>
          <w:iCs w:val="1"/>
          <w:color w:val="auto"/>
        </w:rPr>
        <w:t>"Risk Factors"</w:t>
      </w:r>
      <w:r>
        <w:rPr>
          <w:rFonts w:ascii="Arial" w:cs="Arial" w:eastAsia="Arial" w:hAnsi="Arial"/>
          <w:sz w:val="19"/>
          <w:szCs w:val="19"/>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200" w:lineRule="exact"/>
        <w:rPr>
          <w:sz w:val="20"/>
          <w:szCs w:val="20"/>
          <w:color w:val="auto"/>
        </w:rPr>
      </w:pP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jc w:val="both"/>
        <w:spacing w:after="0" w:line="269" w:lineRule="auto"/>
        <w:rPr>
          <w:sz w:val="20"/>
          <w:szCs w:val="20"/>
          <w:color w:val="auto"/>
        </w:rPr>
      </w:pPr>
      <w:r>
        <w:rPr>
          <w:rFonts w:ascii="Arial" w:cs="Arial" w:eastAsia="Arial" w:hAnsi="Arial"/>
          <w:sz w:val="19"/>
          <w:szCs w:val="19"/>
          <w:color w:val="auto"/>
        </w:rPr>
        <w:t>Some of the risks which could affect future results and could cause results to differ materially from those expressed in the forward-looking statements contained herein include: the ongoing impact of the novel coronavirus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and the Corporation: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and risks relating to research and development objectives and milestones.</w:t>
      </w:r>
    </w:p>
    <w:p>
      <w:pPr>
        <w:spacing w:after="0" w:line="200" w:lineRule="exact"/>
        <w:rPr>
          <w:sz w:val="20"/>
          <w:szCs w:val="20"/>
          <w:color w:val="auto"/>
        </w:rPr>
      </w:pP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85" w:lineRule="exact"/>
        <w:rPr>
          <w:sz w:val="20"/>
          <w:szCs w:val="20"/>
          <w:color w:val="auto"/>
        </w:rPr>
      </w:pPr>
    </w:p>
    <w:p>
      <w:pPr>
        <w:ind w:left="660" w:hanging="328"/>
        <w:spacing w:after="0" w:line="239" w:lineRule="auto"/>
        <w:tabs>
          <w:tab w:leader="none" w:pos="672" w:val="left"/>
        </w:tabs>
        <w:numPr>
          <w:ilvl w:val="0"/>
          <w:numId w:val="10"/>
        </w:numPr>
        <w:rPr>
          <w:rFonts w:ascii="Arial" w:cs="Arial" w:eastAsia="Arial" w:hAnsi="Arial"/>
          <w:sz w:val="22"/>
          <w:szCs w:val="22"/>
          <w:color w:val="auto"/>
        </w:rPr>
      </w:pPr>
      <w:r>
        <w:rPr>
          <w:rFonts w:ascii="Arial" w:cs="Arial" w:eastAsia="Arial" w:hAnsi="Arial"/>
          <w:sz w:val="22"/>
          <w:szCs w:val="22"/>
          <w:color w:val="auto"/>
        </w:rPr>
        <w:t>substantial fluctuation of losses from quarter to quarter and year to year due to numerous external risk factors, and anticipation that the Corporation will continue to incur significant losses in the future;</w:t>
      </w: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uncertainty as to the Corporation's ability to raise additional funding to support operations;</w:t>
      </w: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Corporation's ability to access additional funding;</w:t>
      </w: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fluctuation of foreign exchange rates;</w:t>
      </w:r>
    </w:p>
    <w:p>
      <w:pPr>
        <w:ind w:left="660" w:hanging="328"/>
        <w:spacing w:after="0" w:line="230" w:lineRule="auto"/>
        <w:tabs>
          <w:tab w:leader="none" w:pos="672"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risks associated with the development of the Corporation's product candidates which are at early stages of development;</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reliance upon industry publications as the Corporation's primary sources for third-party industry data and forecasts;</w:t>
      </w:r>
    </w:p>
    <w:p>
      <w:pPr>
        <w:spacing w:after="0" w:line="24" w:lineRule="exact"/>
        <w:rPr>
          <w:rFonts w:ascii="Arial" w:cs="Arial" w:eastAsia="Arial" w:hAnsi="Arial"/>
          <w:sz w:val="19"/>
          <w:szCs w:val="19"/>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reliance on third parties to plan, conduct and monitor the Corporation's preclinical studies and clinical trials;</w:t>
      </w: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reliance on third party contract manufacturers to deliver quality clinical and preclinical materials;</w:t>
      </w:r>
    </w:p>
    <w:p>
      <w:pPr>
        <w:ind w:left="660" w:hanging="328"/>
        <w:spacing w:after="0" w:line="230" w:lineRule="auto"/>
        <w:tabs>
          <w:tab w:leader="none" w:pos="672"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Arial" w:cs="Arial" w:eastAsia="Arial" w:hAnsi="Arial"/>
          <w:sz w:val="22"/>
          <w:szCs w:val="22"/>
          <w:color w:val="auto"/>
        </w:rPr>
      </w:pPr>
    </w:p>
    <w:p>
      <w:pPr>
        <w:ind w:left="660" w:hanging="328"/>
        <w:spacing w:after="0" w:line="230" w:lineRule="auto"/>
        <w:tabs>
          <w:tab w:leader="none" w:pos="672" w:val="left"/>
        </w:tabs>
        <w:numPr>
          <w:ilvl w:val="0"/>
          <w:numId w:val="10"/>
        </w:numPr>
        <w:rPr>
          <w:rFonts w:ascii="Arial" w:cs="Arial" w:eastAsia="Arial" w:hAnsi="Arial"/>
          <w:sz w:val="22"/>
          <w:szCs w:val="22"/>
          <w:color w:val="auto"/>
        </w:rPr>
      </w:pPr>
      <w:r>
        <w:rPr>
          <w:rFonts w:ascii="Arial" w:cs="Arial" w:eastAsia="Arial" w:hAnsi="Arial"/>
          <w:sz w:val="22"/>
          <w:szCs w:val="22"/>
          <w:color w:val="auto"/>
        </w:rPr>
        <w:t>risks related to filing investigational new drug applications to commence clinical trials and to continue clinical trials if approved;</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risks of delays and inability to complete clinical trials due to difficulties enrolling patients;</w:t>
      </w: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competition from other biotechnology and pharmaceutical companies;</w:t>
      </w:r>
    </w:p>
    <w:p>
      <w:pPr>
        <w:ind w:left="660" w:hanging="328"/>
        <w:spacing w:after="0" w:line="230" w:lineRule="auto"/>
        <w:tabs>
          <w:tab w:leader="none" w:pos="672"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Corporation's ability to fully realize the benefits of acquisitions;</w:t>
      </w: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Corporation's ability to adequately protect the Corporation's intellectual property and trade secrets;</w:t>
      </w: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risk of patent-related or other litigation; and</w:t>
      </w:r>
    </w:p>
    <w:p>
      <w:pPr>
        <w:sectPr>
          <w:pgSz w:w="11900" w:h="16838" w:orient="portrait"/>
          <w:cols w:equalWidth="0" w:num="1">
            <w:col w:w="11240"/>
          </w:cols>
          <w:pgMar w:left="320" w:top="118"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469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ind w:left="660" w:right="20" w:hanging="328"/>
        <w:spacing w:after="0" w:line="251" w:lineRule="auto"/>
        <w:tabs>
          <w:tab w:leader="none" w:pos="672"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risk of unforeseen changes to the laws or regulations in the United States, Canada, the United Kingdom, the Netherlands, Ireland and other jurisdictions in which the Corporation operates.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In addition to the factors set out above and those identified under the heading </w:t>
      </w:r>
      <w:r>
        <w:rPr>
          <w:rFonts w:ascii="Arial" w:cs="Arial" w:eastAsia="Arial" w:hAnsi="Arial"/>
          <w:sz w:val="21"/>
          <w:szCs w:val="21"/>
          <w:i w:val="1"/>
          <w:iCs w:val="1"/>
          <w:color w:val="auto"/>
        </w:rPr>
        <w:t>"Risk Factors"</w:t>
      </w:r>
      <w:r>
        <w:rPr>
          <w:rFonts w:ascii="Arial" w:cs="Arial" w:eastAsia="Arial" w:hAnsi="Arial"/>
          <w:sz w:val="21"/>
          <w:szCs w:val="21"/>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Many of these factors are beyond the Corporation</w:t>
      </w:r>
      <w:r>
        <w:rPr>
          <w:rFonts w:ascii="Arial" w:cs="Arial" w:eastAsia="Arial" w:hAnsi="Arial"/>
          <w:sz w:val="22"/>
          <w:szCs w:val="22"/>
          <w:color w:val="auto"/>
        </w:rPr>
        <w:t>'</w:t>
      </w:r>
      <w:r>
        <w:rPr>
          <w:rFonts w:ascii="Arial" w:cs="Arial" w:eastAsia="Arial" w:hAnsi="Arial"/>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Arial" w:cs="Arial" w:eastAsia="Arial" w:hAnsi="Arial"/>
          <w:sz w:val="22"/>
          <w:szCs w:val="22"/>
          <w:color w:val="auto"/>
        </w:rPr>
        <w:t>'</w:t>
      </w:r>
      <w:r>
        <w:rPr>
          <w:rFonts w:ascii="Arial" w:cs="Arial" w:eastAsia="Arial" w:hAnsi="Arial"/>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22"/>
          <w:szCs w:val="22"/>
          <w:color w:val="auto"/>
        </w:rPr>
        <w:t>.</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Arial" w:cs="Arial" w:eastAsia="Arial" w:hAnsi="Arial"/>
          <w:sz w:val="22"/>
          <w:szCs w:val="22"/>
          <w:color w:val="auto"/>
        </w:rPr>
        <w:t>Investors should read this entire Prospectus,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TRADEMARKS AND SERVICE MARKS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MARKETING MATERIALS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Any template version of marketing materials (as such terms are defined in National Instrument 41-101 - </w:t>
      </w:r>
      <w:r>
        <w:rPr>
          <w:rFonts w:ascii="Arial" w:cs="Arial" w:eastAsia="Arial" w:hAnsi="Arial"/>
          <w:sz w:val="19"/>
          <w:szCs w:val="19"/>
          <w:i w:val="1"/>
          <w:iCs w:val="1"/>
          <w:color w:val="auto"/>
        </w:rPr>
        <w:t>General Prospectus</w:t>
      </w:r>
      <w:r>
        <w:rPr>
          <w:rFonts w:ascii="Arial" w:cs="Arial" w:eastAsia="Arial" w:hAnsi="Arial"/>
          <w:sz w:val="19"/>
          <w:szCs w:val="19"/>
          <w:color w:val="auto"/>
        </w:rPr>
        <w:t xml:space="preserve"> </w:t>
      </w:r>
      <w:r>
        <w:rPr>
          <w:rFonts w:ascii="Arial" w:cs="Arial" w:eastAsia="Arial" w:hAnsi="Arial"/>
          <w:sz w:val="19"/>
          <w:szCs w:val="19"/>
          <w:i w:val="1"/>
          <w:iCs w:val="1"/>
          <w:color w:val="auto"/>
        </w:rPr>
        <w:t>Requirements</w:t>
      </w:r>
      <w:r>
        <w:rPr>
          <w:rFonts w:ascii="Arial" w:cs="Arial" w:eastAsia="Arial" w:hAnsi="Arial"/>
          <w:sz w:val="19"/>
          <w:szCs w:val="19"/>
          <w:color w:val="auto"/>
        </w:rPr>
        <w:t>) that are utilized in connection with the distribution of Securities will be filed under the Corporation's profile on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www.sedarplus.ca</w:t>
      </w:r>
      <w:r>
        <w:rPr>
          <w:rFonts w:ascii="Arial" w:cs="Arial" w:eastAsia="Arial" w:hAnsi="Arial"/>
          <w:sz w:val="19"/>
          <w:szCs w:val="19"/>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MARKET AND INDUSTRY DATA</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Arial" w:cs="Arial" w:eastAsia="Arial" w:hAnsi="Arial"/>
          <w:sz w:val="19"/>
          <w:szCs w:val="19"/>
          <w:i w:val="1"/>
          <w:iCs w:val="1"/>
          <w:color w:val="auto"/>
        </w:rPr>
        <w:t>Cautionary Note Regarding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Forward-Looking Information" </w:t>
      </w:r>
      <w:r>
        <w:rPr>
          <w:rFonts w:ascii="Arial" w:cs="Arial" w:eastAsia="Arial" w:hAnsi="Arial"/>
          <w:sz w:val="19"/>
          <w:szCs w:val="19"/>
          <w:color w:val="auto"/>
        </w:rPr>
        <w:t>and</w:t>
      </w:r>
      <w:r>
        <w:rPr>
          <w:rFonts w:ascii="Arial" w:cs="Arial" w:eastAsia="Arial" w:hAnsi="Arial"/>
          <w:sz w:val="19"/>
          <w:szCs w:val="19"/>
          <w:i w:val="1"/>
          <w:iCs w:val="1"/>
          <w:color w:val="auto"/>
        </w:rPr>
        <w:t xml:space="preserve"> "Risk Factors" </w:t>
      </w:r>
      <w:r>
        <w:rPr>
          <w:rFonts w:ascii="Arial" w:cs="Arial" w:eastAsia="Arial" w:hAnsi="Arial"/>
          <w:sz w:val="19"/>
          <w:szCs w:val="19"/>
          <w:color w:val="auto"/>
        </w:rPr>
        <w:t>in this Prospectus.</w:t>
      </w:r>
    </w:p>
    <w:p>
      <w:pPr>
        <w:spacing w:after="0" w:line="15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INCORPORATED BY REFERENCE</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Information has been incorporated by reference in this Prospectus from documents filed with securities commissions or similar authorities in Canada. </w:t>
      </w:r>
      <w:r>
        <w:rPr>
          <w:rFonts w:ascii="Arial" w:cs="Arial" w:eastAsia="Arial" w:hAnsi="Arial"/>
          <w:sz w:val="22"/>
          <w:szCs w:val="22"/>
          <w:color w:val="auto"/>
        </w:rPr>
        <w:t>Copies of the documents incorporated herein by reference may be obtained on request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charge from the Secretary of the Corporation at 100 King Street West, Suite 5600, Toronto, Ontario M5X 1C9, telephone (908) 764-8385, and are also available electronically on SEDAR+.</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documents of the Corporation filed with the securities commissions or similar authorities in Canada are incorporated by reference in this Prospectus:</w:t>
      </w:r>
    </w:p>
    <w:p>
      <w:pPr>
        <w:spacing w:after="0" w:line="169" w:lineRule="exact"/>
        <w:rPr>
          <w:sz w:val="20"/>
          <w:szCs w:val="20"/>
          <w:color w:val="auto"/>
        </w:rPr>
      </w:pPr>
    </w:p>
    <w:p>
      <w:pPr>
        <w:ind w:left="660" w:hanging="396"/>
        <w:spacing w:after="0" w:line="256" w:lineRule="auto"/>
        <w:tabs>
          <w:tab w:leader="none" w:pos="687"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annual information form of the Corporation dated June 27, 2023 for the year ended March 31, 2023 (the “</w:t>
      </w:r>
      <w:r>
        <w:rPr>
          <w:rFonts w:ascii="Arial" w:cs="Arial" w:eastAsia="Arial" w:hAnsi="Arial"/>
          <w:sz w:val="22"/>
          <w:szCs w:val="22"/>
          <w:b w:val="1"/>
          <w:bCs w:val="1"/>
          <w:color w:val="auto"/>
        </w:rPr>
        <w:t>Annual</w:t>
      </w:r>
      <w:r>
        <w:rPr>
          <w:rFonts w:ascii="Arial" w:cs="Arial" w:eastAsia="Arial" w:hAnsi="Arial"/>
          <w:sz w:val="22"/>
          <w:szCs w:val="22"/>
          <w:color w:val="auto"/>
        </w:rPr>
        <w:t xml:space="preserve"> </w:t>
      </w:r>
      <w:r>
        <w:rPr>
          <w:rFonts w:ascii="Arial" w:cs="Arial" w:eastAsia="Arial" w:hAnsi="Arial"/>
          <w:sz w:val="22"/>
          <w:szCs w:val="22"/>
          <w:b w:val="1"/>
          <w:bCs w:val="1"/>
          <w:color w:val="auto"/>
        </w:rPr>
        <w:t>Information Form</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hanging="396"/>
        <w:spacing w:after="0" w:line="250" w:lineRule="auto"/>
        <w:tabs>
          <w:tab w:leader="none" w:pos="687"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audited consolidated financial statements of the Corporation and the notes thereto as at and for the fiscal year ended March 31, 2023, together with the auditor’s report thereon;</w:t>
      </w:r>
    </w:p>
    <w:p>
      <w:pPr>
        <w:spacing w:after="0" w:line="174" w:lineRule="exact"/>
        <w:rPr>
          <w:rFonts w:ascii="Arial" w:cs="Arial" w:eastAsia="Arial" w:hAnsi="Arial"/>
          <w:sz w:val="22"/>
          <w:szCs w:val="22"/>
          <w:color w:val="auto"/>
        </w:rPr>
      </w:pPr>
    </w:p>
    <w:p>
      <w:pPr>
        <w:ind w:left="680" w:hanging="416"/>
        <w:spacing w:after="0"/>
        <w:tabs>
          <w:tab w:leader="none" w:pos="6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year ended March 31, 2023;</w:t>
      </w:r>
    </w:p>
    <w:p>
      <w:pPr>
        <w:spacing w:after="0" w:line="206" w:lineRule="exact"/>
        <w:rPr>
          <w:rFonts w:ascii="Arial" w:cs="Arial" w:eastAsia="Arial" w:hAnsi="Arial"/>
          <w:sz w:val="22"/>
          <w:szCs w:val="22"/>
          <w:color w:val="auto"/>
        </w:rPr>
      </w:pPr>
    </w:p>
    <w:p>
      <w:pPr>
        <w:ind w:left="660" w:hanging="396"/>
        <w:spacing w:after="0" w:line="250" w:lineRule="auto"/>
        <w:tabs>
          <w:tab w:leader="none" w:pos="687"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unaudited interim condensed consolidated financial statements of the Corporation and the notes thereto for the three months ended June 30, 2023 (the “</w:t>
      </w:r>
      <w:r>
        <w:rPr>
          <w:rFonts w:ascii="Arial" w:cs="Arial" w:eastAsia="Arial" w:hAnsi="Arial"/>
          <w:sz w:val="22"/>
          <w:szCs w:val="22"/>
          <w:b w:val="1"/>
          <w:bCs w:val="1"/>
          <w:color w:val="auto"/>
        </w:rPr>
        <w:t>Interim Financial Statements</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right="20" w:hanging="396"/>
        <w:spacing w:after="0" w:line="256" w:lineRule="auto"/>
        <w:tabs>
          <w:tab w:leader="none" w:pos="687" w:val="left"/>
        </w:tabs>
        <w:numPr>
          <w:ilvl w:val="0"/>
          <w:numId w:val="12"/>
        </w:numPr>
        <w:rPr>
          <w:rFonts w:ascii="Arial" w:cs="Arial" w:eastAsia="Arial" w:hAnsi="Arial"/>
          <w:sz w:val="22"/>
          <w:szCs w:val="22"/>
          <w:color w:val="auto"/>
        </w:rPr>
      </w:pPr>
      <w:r>
        <w:rPr>
          <w:rFonts w:ascii="Arial" w:cs="Arial" w:eastAsia="Arial" w:hAnsi="Arial"/>
          <w:sz w:val="22"/>
          <w:szCs w:val="22"/>
          <w:color w:val="auto"/>
        </w:rPr>
        <w:t>management’s discussion and analysis of the Corporation for the three months ended June 30, 2023 (the “</w:t>
      </w:r>
      <w:r>
        <w:rPr>
          <w:rFonts w:ascii="Arial" w:cs="Arial" w:eastAsia="Arial" w:hAnsi="Arial"/>
          <w:sz w:val="22"/>
          <w:szCs w:val="22"/>
          <w:b w:val="1"/>
          <w:bCs w:val="1"/>
          <w:color w:val="auto"/>
        </w:rPr>
        <w:t>Interim</w:t>
      </w:r>
      <w:r>
        <w:rPr>
          <w:rFonts w:ascii="Arial" w:cs="Arial" w:eastAsia="Arial" w:hAnsi="Arial"/>
          <w:sz w:val="22"/>
          <w:szCs w:val="22"/>
          <w:color w:val="auto"/>
        </w:rPr>
        <w:t xml:space="preserve"> </w:t>
      </w:r>
      <w:r>
        <w:rPr>
          <w:rFonts w:ascii="Arial" w:cs="Arial" w:eastAsia="Arial" w:hAnsi="Arial"/>
          <w:sz w:val="22"/>
          <w:szCs w:val="22"/>
          <w:b w:val="1"/>
          <w:bCs w:val="1"/>
          <w:color w:val="auto"/>
        </w:rPr>
        <w:t>MD&amp;A</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ind w:left="660" w:hanging="396"/>
        <w:spacing w:after="0" w:line="250" w:lineRule="auto"/>
        <w:tabs>
          <w:tab w:leader="none" w:pos="687" w:val="left"/>
        </w:tabs>
        <w:numPr>
          <w:ilvl w:val="0"/>
          <w:numId w:val="12"/>
        </w:numPr>
        <w:rPr>
          <w:rFonts w:ascii="Arial" w:cs="Arial" w:eastAsia="Arial" w:hAnsi="Arial"/>
          <w:sz w:val="22"/>
          <w:szCs w:val="22"/>
          <w:color w:val="auto"/>
        </w:rPr>
      </w:pPr>
      <w:r>
        <w:rPr>
          <w:rFonts w:ascii="Arial" w:cs="Arial" w:eastAsia="Arial" w:hAnsi="Arial"/>
          <w:sz w:val="22"/>
          <w:szCs w:val="22"/>
          <w:color w:val="auto"/>
        </w:rPr>
        <w:t>management information circular of the Corporation dated July 13, 2022 relating to an annual meeting of shareholders of the Corporation held on August 15, 2022;</w:t>
      </w:r>
    </w:p>
    <w:p>
      <w:pPr>
        <w:spacing w:after="0" w:line="174" w:lineRule="exact"/>
        <w:rPr>
          <w:rFonts w:ascii="Arial" w:cs="Arial" w:eastAsia="Arial" w:hAnsi="Arial"/>
          <w:sz w:val="22"/>
          <w:szCs w:val="22"/>
          <w:color w:val="auto"/>
        </w:rPr>
      </w:pPr>
    </w:p>
    <w:p>
      <w:pPr>
        <w:jc w:val="both"/>
        <w:ind w:left="660" w:hanging="396"/>
        <w:spacing w:after="0" w:line="249" w:lineRule="auto"/>
        <w:tabs>
          <w:tab w:leader="none" w:pos="687" w:val="left"/>
        </w:tabs>
        <w:numPr>
          <w:ilvl w:val="0"/>
          <w:numId w:val="12"/>
        </w:numPr>
        <w:rPr>
          <w:rFonts w:ascii="Arial" w:cs="Arial" w:eastAsia="Arial" w:hAnsi="Arial"/>
          <w:sz w:val="21"/>
          <w:szCs w:val="21"/>
          <w:color w:val="auto"/>
        </w:rPr>
      </w:pPr>
      <w:r>
        <w:rPr>
          <w:rFonts w:ascii="Arial" w:cs="Arial" w:eastAsia="Arial" w:hAnsi="Arial"/>
          <w:sz w:val="21"/>
          <w:szCs w:val="21"/>
          <w:color w:val="auto"/>
        </w:rPr>
        <w:t>material change report dated May 31, 2023 relating to the sale of up to US$30,000,000 of Common Shares to Lincoln Park Capital Fund, LLC (the “</w:t>
      </w:r>
      <w:r>
        <w:rPr>
          <w:rFonts w:ascii="Arial" w:cs="Arial" w:eastAsia="Arial" w:hAnsi="Arial"/>
          <w:sz w:val="21"/>
          <w:szCs w:val="21"/>
          <w:b w:val="1"/>
          <w:bCs w:val="1"/>
          <w:color w:val="auto"/>
        </w:rPr>
        <w:t>Investor</w:t>
      </w:r>
      <w:r>
        <w:rPr>
          <w:rFonts w:ascii="Arial" w:cs="Arial" w:eastAsia="Arial" w:hAnsi="Arial"/>
          <w:sz w:val="21"/>
          <w:szCs w:val="21"/>
          <w:color w:val="auto"/>
        </w:rPr>
        <w:t>”), upon the terms and subject to the conditions contained in the purchase agreement dated May 30, 2023 (the “</w:t>
      </w:r>
      <w:r>
        <w:rPr>
          <w:rFonts w:ascii="Arial" w:cs="Arial" w:eastAsia="Arial" w:hAnsi="Arial"/>
          <w:sz w:val="21"/>
          <w:szCs w:val="21"/>
          <w:b w:val="1"/>
          <w:bCs w:val="1"/>
          <w:color w:val="auto"/>
        </w:rPr>
        <w:t>Purchase Agreement</w:t>
      </w:r>
      <w:r>
        <w:rPr>
          <w:rFonts w:ascii="Arial" w:cs="Arial" w:eastAsia="Arial" w:hAnsi="Arial"/>
          <w:sz w:val="21"/>
          <w:szCs w:val="21"/>
          <w:color w:val="auto"/>
        </w:rPr>
        <w:t>”), and made pursuant to and qualified by a prospectus supplement dated May 30, 2023 (the “</w:t>
      </w:r>
      <w:r>
        <w:rPr>
          <w:rFonts w:ascii="Arial" w:cs="Arial" w:eastAsia="Arial" w:hAnsi="Arial"/>
          <w:sz w:val="21"/>
          <w:szCs w:val="21"/>
          <w:b w:val="1"/>
          <w:bCs w:val="1"/>
          <w:color w:val="auto"/>
        </w:rPr>
        <w:t>May 2023 Prospectus Supplement</w:t>
      </w:r>
      <w:r>
        <w:rPr>
          <w:rFonts w:ascii="Arial" w:cs="Arial" w:eastAsia="Arial" w:hAnsi="Arial"/>
          <w:sz w:val="21"/>
          <w:szCs w:val="21"/>
          <w:color w:val="auto"/>
        </w:rPr>
        <w:t>”), to the Corporation’s short form base shelf prospectus dated July 5, 2021 (the “</w:t>
      </w:r>
      <w:r>
        <w:rPr>
          <w:rFonts w:ascii="Arial" w:cs="Arial" w:eastAsia="Arial" w:hAnsi="Arial"/>
          <w:sz w:val="21"/>
          <w:szCs w:val="21"/>
          <w:b w:val="1"/>
          <w:bCs w:val="1"/>
          <w:color w:val="auto"/>
        </w:rPr>
        <w:t>2021 Base Shelf Prospectus</w:t>
      </w:r>
      <w:r>
        <w:rPr>
          <w:rFonts w:ascii="Arial" w:cs="Arial" w:eastAsia="Arial" w:hAnsi="Arial"/>
          <w:sz w:val="21"/>
          <w:szCs w:val="21"/>
          <w:color w:val="auto"/>
        </w:rPr>
        <w:t>”); and</w:t>
      </w:r>
    </w:p>
    <w:p>
      <w:pPr>
        <w:spacing w:after="0" w:line="178" w:lineRule="exact"/>
        <w:rPr>
          <w:rFonts w:ascii="Arial" w:cs="Arial" w:eastAsia="Arial" w:hAnsi="Arial"/>
          <w:sz w:val="21"/>
          <w:szCs w:val="21"/>
          <w:color w:val="auto"/>
        </w:rPr>
      </w:pPr>
    </w:p>
    <w:p>
      <w:pPr>
        <w:jc w:val="both"/>
        <w:ind w:left="660" w:hanging="396"/>
        <w:spacing w:after="0"/>
        <w:tabs>
          <w:tab w:leader="none" w:pos="687" w:val="left"/>
        </w:tabs>
        <w:numPr>
          <w:ilvl w:val="0"/>
          <w:numId w:val="12"/>
        </w:numPr>
        <w:rPr>
          <w:rFonts w:ascii="Arial" w:cs="Arial" w:eastAsia="Arial" w:hAnsi="Arial"/>
          <w:sz w:val="22"/>
          <w:szCs w:val="22"/>
          <w:color w:val="auto"/>
        </w:rPr>
      </w:pPr>
      <w:r>
        <w:rPr>
          <w:rFonts w:ascii="Arial" w:cs="Arial" w:eastAsia="Arial" w:hAnsi="Arial"/>
          <w:sz w:val="22"/>
          <w:szCs w:val="22"/>
          <w:color w:val="auto"/>
        </w:rPr>
        <w:t>material change report dated August 8, 2023 relating to the public offering of 24,264,706 units of the Corporation (the “</w:t>
      </w:r>
      <w:r>
        <w:rPr>
          <w:rFonts w:ascii="Arial" w:cs="Arial" w:eastAsia="Arial" w:hAnsi="Arial"/>
          <w:sz w:val="22"/>
          <w:szCs w:val="22"/>
          <w:b w:val="1"/>
          <w:bCs w:val="1"/>
          <w:color w:val="auto"/>
        </w:rPr>
        <w:t>Units</w:t>
      </w:r>
      <w:r>
        <w:rPr>
          <w:rFonts w:ascii="Arial" w:cs="Arial" w:eastAsia="Arial" w:hAnsi="Arial"/>
          <w:sz w:val="22"/>
          <w:szCs w:val="22"/>
          <w:color w:val="auto"/>
        </w:rPr>
        <w:t>”) at a price of US$0.34 per Unit for gross proceeds of US$8,250,000 pursuant to a prospectus supplement dated August 1, 2023 to the 2021 Base Shelf Prospectus (the “</w:t>
      </w:r>
      <w:r>
        <w:rPr>
          <w:rFonts w:ascii="Arial" w:cs="Arial" w:eastAsia="Arial" w:hAnsi="Arial"/>
          <w:sz w:val="22"/>
          <w:szCs w:val="22"/>
          <w:b w:val="1"/>
          <w:bCs w:val="1"/>
          <w:color w:val="auto"/>
        </w:rPr>
        <w:t>Offering</w:t>
      </w:r>
      <w:r>
        <w:rPr>
          <w:rFonts w:ascii="Arial" w:cs="Arial" w:eastAsia="Arial" w:hAnsi="Arial"/>
          <w:sz w:val="22"/>
          <w:szCs w:val="22"/>
          <w:color w:val="auto"/>
        </w:rPr>
        <w:t>”).</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Any document of the type referred to in Item 11.1 of Form 44-101F1 - </w:t>
      </w:r>
      <w:r>
        <w:rPr>
          <w:rFonts w:ascii="Arial" w:cs="Arial" w:eastAsia="Arial" w:hAnsi="Arial"/>
          <w:sz w:val="22"/>
          <w:szCs w:val="22"/>
          <w:i w:val="1"/>
          <w:iCs w:val="1"/>
          <w:color w:val="auto"/>
        </w:rPr>
        <w:t>Short Form Prospectus</w:t>
      </w:r>
      <w:r>
        <w:rPr>
          <w:rFonts w:ascii="Arial" w:cs="Arial" w:eastAsia="Arial" w:hAnsi="Arial"/>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rFonts w:ascii="Arial" w:cs="Arial" w:eastAsia="Arial" w:hAnsi="Arial"/>
          <w:sz w:val="21"/>
          <w:szCs w:val="21"/>
          <w:b w:val="1"/>
          <w:bCs w:val="1"/>
          <w:color w:val="auto"/>
        </w:rPr>
        <w:t>Registration</w:t>
      </w:r>
      <w:r>
        <w:rPr>
          <w:rFonts w:ascii="Arial" w:cs="Arial" w:eastAsia="Arial" w:hAnsi="Arial"/>
          <w:sz w:val="21"/>
          <w:szCs w:val="21"/>
          <w:color w:val="auto"/>
        </w:rPr>
        <w:t xml:space="preserve"> </w:t>
      </w:r>
      <w:r>
        <w:rPr>
          <w:rFonts w:ascii="Arial" w:cs="Arial" w:eastAsia="Arial" w:hAnsi="Arial"/>
          <w:sz w:val="21"/>
          <w:szCs w:val="21"/>
          <w:b w:val="1"/>
          <w:bCs w:val="1"/>
          <w:color w:val="auto"/>
        </w:rPr>
        <w:t>Statement</w:t>
      </w:r>
      <w:r>
        <w:rPr>
          <w:rFonts w:ascii="Arial" w:cs="Arial" w:eastAsia="Arial" w:hAnsi="Arial"/>
          <w:sz w:val="21"/>
          <w:szCs w:val="21"/>
          <w:color w:val="auto"/>
        </w:rPr>
        <w:t>") of which this Prospectus forms a part. In addition, any other report on Form 6-K and the exhibits thereto filed or</w:t>
      </w:r>
      <w:r>
        <w:rPr>
          <w:rFonts w:ascii="Arial" w:cs="Arial" w:eastAsia="Arial" w:hAnsi="Arial"/>
          <w:sz w:val="21"/>
          <w:szCs w:val="21"/>
          <w:b w:val="1"/>
          <w:bCs w:val="1"/>
          <w:color w:val="auto"/>
        </w:rPr>
        <w:t xml:space="preserve"> </w:t>
      </w:r>
      <w:r>
        <w:rPr>
          <w:rFonts w:ascii="Arial" w:cs="Arial" w:eastAsia="Arial" w:hAnsi="Arial"/>
          <w:sz w:val="21"/>
          <w:szCs w:val="21"/>
          <w:color w:val="auto"/>
        </w:rPr>
        <w:t>furnished by the Corporation with the SEC, and any other reports filed, under the United States Securities Exchange Act of 1934, as amended (the "</w:t>
      </w:r>
      <w:r>
        <w:rPr>
          <w:rFonts w:ascii="Arial" w:cs="Arial" w:eastAsia="Arial" w:hAnsi="Arial"/>
          <w:sz w:val="21"/>
          <w:szCs w:val="21"/>
          <w:b w:val="1"/>
          <w:bCs w:val="1"/>
          <w:color w:val="auto"/>
        </w:rPr>
        <w:t>Exchange Act</w:t>
      </w:r>
      <w:r>
        <w:rPr>
          <w:rFonts w:ascii="Arial" w:cs="Arial" w:eastAsia="Arial" w:hAnsi="Arial"/>
          <w:sz w:val="21"/>
          <w:szCs w:val="21"/>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ectPr>
          <w:pgSz w:w="11900" w:h="16838" w:orient="portrait"/>
          <w:cols w:equalWidth="0" w:num="1">
            <w:col w:w="11240"/>
          </w:cols>
          <w:pgMar w:left="320" w:top="112" w:right="339" w:bottom="8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840" w:gutter="0" w:footer="0" w:header="0"/>
          <w:type w:val="continuous"/>
        </w:sectPr>
      </w:pPr>
    </w:p>
    <w:bookmarkStart w:id="45" w:name="page46"/>
    <w:bookmarkEnd w:id="45"/>
    <w:p>
      <w:pPr>
        <w:jc w:val="both"/>
        <w:spacing w:after="0" w:line="297" w:lineRule="auto"/>
        <w:rPr>
          <w:sz w:val="20"/>
          <w:szCs w:val="20"/>
          <w:color w:val="auto"/>
        </w:rPr>
      </w:pPr>
      <w:r>
        <w:rPr>
          <w:rFonts w:ascii="Arial" w:cs="Arial" w:eastAsia="Arial" w:hAnsi="Arial"/>
          <w:sz w:val="19"/>
          <w:szCs w:val="19"/>
          <w:color w:val="auto"/>
        </w:rPr>
        <w:t xml:space="preserve">Copies of the documents incorporated by reference herein will be available electronically on the Corporation's SEDAR+ profile, which can be accessed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from the Corporation's EDGAR profile at </w:t>
      </w:r>
      <w:r>
        <w:rPr>
          <w:rFonts w:ascii="Arial" w:cs="Arial" w:eastAsia="Arial" w:hAnsi="Arial"/>
          <w:sz w:val="19"/>
          <w:szCs w:val="19"/>
          <w:u w:val="single" w:color="auto"/>
          <w:color w:val="0000FF"/>
        </w:rPr>
        <w:t>www.sec.gov</w:t>
      </w:r>
      <w:r>
        <w:rPr>
          <w:rFonts w:ascii="Arial" w:cs="Arial" w:eastAsia="Arial" w:hAnsi="Arial"/>
          <w:sz w:val="19"/>
          <w:szCs w:val="19"/>
          <w:color w:val="auto"/>
        </w:rPr>
        <w:t>. The Corporation's filings through SEDAR+ and EDGAR are not incorporated by reference in the Prospectus except as specifically set out herein.</w:t>
      </w:r>
    </w:p>
    <w:p>
      <w:pPr>
        <w:spacing w:after="0" w:line="12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DOCUMENTS FILED AS PART OF THE REGISTRATION STATEMENT</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CORPORATION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Business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and novel formulation approaches and treatment regimens.</w:t>
      </w:r>
      <w:r>
        <w:rPr>
          <w:rFonts w:ascii="Arial" w:cs="Arial" w:eastAsia="Arial" w:hAnsi="Arial"/>
          <w:sz w:val="35"/>
          <w:szCs w:val="35"/>
          <w:color w:val="auto"/>
          <w:vertAlign w:val="superscript"/>
        </w:rPr>
        <w:t>1</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jc w:val="both"/>
        <w:spacing w:after="0" w:line="282" w:lineRule="auto"/>
        <w:rPr>
          <w:sz w:val="20"/>
          <w:szCs w:val="20"/>
          <w:color w:val="auto"/>
        </w:rPr>
      </w:pPr>
      <w:r>
        <w:rPr>
          <w:rFonts w:ascii="Arial" w:cs="Arial" w:eastAsia="Arial" w:hAnsi="Arial"/>
          <w:sz w:val="19"/>
          <w:szCs w:val="19"/>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Arial" w:cs="Arial" w:eastAsia="Arial" w:hAnsi="Arial"/>
          <w:sz w:val="19"/>
          <w:szCs w:val="19"/>
          <w:b w:val="1"/>
          <w:bCs w:val="1"/>
          <w:color w:val="auto"/>
        </w:rPr>
        <w:t>IP"</w:t>
      </w:r>
      <w:r>
        <w:rPr>
          <w:rFonts w:ascii="Arial" w:cs="Arial" w:eastAsia="Arial" w:hAnsi="Arial"/>
          <w:sz w:val="19"/>
          <w:szCs w:val="19"/>
          <w:color w:val="auto"/>
        </w:rPr>
        <w:t>) focused on developing the Corporation's platform technology, the progression of clinical development programs including CYB003, a deuterated psilocybin analog, CYB004, a deuterated version of N, N-dimethyltryptamine ("</w:t>
      </w:r>
      <w:r>
        <w:rPr>
          <w:rFonts w:ascii="Arial" w:cs="Arial" w:eastAsia="Arial" w:hAnsi="Arial"/>
          <w:sz w:val="19"/>
          <w:szCs w:val="19"/>
          <w:b w:val="1"/>
          <w:bCs w:val="1"/>
          <w:color w:val="auto"/>
        </w:rPr>
        <w:t>DMT</w:t>
      </w:r>
      <w:r>
        <w:rPr>
          <w:rFonts w:ascii="Arial" w:cs="Arial" w:eastAsia="Arial" w:hAnsi="Arial"/>
          <w:sz w:val="19"/>
          <w:szCs w:val="19"/>
          <w:color w:val="auto"/>
        </w:rPr>
        <w:t>"), CYB005, phenethylamine derivatives, and an expansive list of preclinical molecules to facilitate future drug development opportunities.</w:t>
      </w:r>
    </w:p>
    <w:p>
      <w:pPr>
        <w:spacing w:after="0" w:line="148" w:lineRule="exact"/>
        <w:rPr>
          <w:sz w:val="20"/>
          <w:szCs w:val="20"/>
          <w:color w:val="auto"/>
        </w:rPr>
      </w:pPr>
    </w:p>
    <w:p>
      <w:pPr>
        <w:jc w:val="both"/>
        <w:ind w:firstLine="54"/>
        <w:spacing w:after="0" w:line="250" w:lineRule="auto"/>
        <w:rPr>
          <w:sz w:val="20"/>
          <w:szCs w:val="20"/>
          <w:color w:val="auto"/>
        </w:rPr>
      </w:pPr>
      <w:r>
        <w:rPr>
          <w:rFonts w:ascii="Arial" w:cs="Arial" w:eastAsia="Arial" w:hAnsi="Arial"/>
          <w:sz w:val="22"/>
          <w:szCs w:val="22"/>
          <w:color w:val="auto"/>
        </w:rPr>
        <w:t>The Corporation currently has more than 50 pending patent applications across six patent families and spanning seven research programs through a combination of internal filings and external licensing agreements.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Advancement of Mental Healthcare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Across its extensive research and development programs, the Corporation is evaluating a wide array of novel, synthetic psychedelic active pharmaceutical ingredients intended to be delivered through innovative drug delivery systems including via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inhalation, via intravenous ("</w:t>
      </w:r>
      <w:r>
        <w:rPr>
          <w:rFonts w:ascii="Arial" w:cs="Arial" w:eastAsia="Arial" w:hAnsi="Arial"/>
          <w:sz w:val="22"/>
          <w:szCs w:val="22"/>
          <w:b w:val="1"/>
          <w:bCs w:val="1"/>
          <w:color w:val="auto"/>
        </w:rPr>
        <w:t>IV</w:t>
      </w:r>
      <w:r>
        <w:rPr>
          <w:rFonts w:ascii="Arial" w:cs="Arial" w:eastAsia="Arial" w:hAnsi="Arial"/>
          <w:sz w:val="22"/>
          <w:szCs w:val="22"/>
          <w:color w:val="auto"/>
        </w:rPr>
        <w:t>"), and intramuscular, or subcutaneous ("</w:t>
      </w:r>
      <w:r>
        <w:rPr>
          <w:rFonts w:ascii="Arial" w:cs="Arial" w:eastAsia="Arial" w:hAnsi="Arial"/>
          <w:sz w:val="22"/>
          <w:szCs w:val="22"/>
          <w:b w:val="1"/>
          <w:bCs w:val="1"/>
          <w:color w:val="auto"/>
        </w:rPr>
        <w:t>SC</w:t>
      </w:r>
      <w:r>
        <w:rPr>
          <w:rFonts w:ascii="Arial" w:cs="Arial" w:eastAsia="Arial" w:hAnsi="Arial"/>
          <w:sz w:val="22"/>
          <w:szCs w:val="22"/>
          <w:color w:val="auto"/>
        </w:rPr>
        <w:t>") administration.</w:t>
      </w:r>
      <w:r>
        <w:rPr>
          <w:rFonts w:ascii="Arial" w:cs="Arial" w:eastAsia="Arial" w:hAnsi="Arial"/>
          <w:sz w:val="35"/>
          <w:szCs w:val="35"/>
          <w:color w:val="auto"/>
          <w:vertAlign w:val="superscript"/>
        </w:rPr>
        <w:t>2</w:t>
      </w:r>
    </w:p>
    <w:p>
      <w:pPr>
        <w:spacing w:after="0" w:line="87"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Arial" w:cs="Arial" w:eastAsia="Arial" w:hAnsi="Arial"/>
          <w:sz w:val="35"/>
          <w:szCs w:val="35"/>
          <w:color w:val="auto"/>
          <w:vertAlign w:val="superscript"/>
        </w:rPr>
        <w:t>3</w:t>
      </w:r>
      <w:r>
        <w:rPr>
          <w:rFonts w:ascii="Arial" w:cs="Arial" w:eastAsia="Arial" w:hAnsi="Arial"/>
          <w:sz w:val="22"/>
          <w:szCs w:val="22"/>
          <w:color w:val="auto"/>
        </w:rPr>
        <w:t>. The Corporation is also developing compounds that may have the potential to address neuroinflammation</w:t>
      </w:r>
      <w:r>
        <w:rPr>
          <w:rFonts w:ascii="Arial" w:cs="Arial" w:eastAsia="Arial" w:hAnsi="Arial"/>
          <w:sz w:val="35"/>
          <w:szCs w:val="35"/>
          <w:color w:val="auto"/>
          <w:vertAlign w:val="superscript"/>
        </w:rPr>
        <w:t>4</w:t>
      </w:r>
      <w:r>
        <w:rPr>
          <w:rFonts w:ascii="Arial" w:cs="Arial" w:eastAsia="Arial" w:hAnsi="Arial"/>
          <w:sz w:val="22"/>
          <w:szCs w:val="22"/>
          <w:color w:val="auto"/>
        </w:rPr>
        <w:t>, central nervous system disorders, and psychiatric disorders</w:t>
      </w:r>
      <w:r>
        <w:rPr>
          <w:rFonts w:ascii="Arial" w:cs="Arial" w:eastAsia="Arial" w:hAnsi="Arial"/>
          <w:sz w:val="35"/>
          <w:szCs w:val="35"/>
          <w:color w:val="auto"/>
          <w:vertAlign w:val="superscript"/>
        </w:rPr>
        <w:t>5</w:t>
      </w:r>
      <w:r>
        <w:rPr>
          <w:rFonts w:ascii="Arial" w:cs="Arial" w:eastAsia="Arial" w:hAnsi="Arial"/>
          <w:sz w:val="22"/>
          <w:szCs w:val="22"/>
          <w:color w:val="auto"/>
        </w:rPr>
        <w:t>.</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additional information in respect of the Corporation and its operation, please see the Corporation’s Annual Information Form and Interim MD&amp;A incorporated by reference into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117" w:lineRule="exact"/>
        <w:rPr>
          <w:sz w:val="20"/>
          <w:szCs w:val="20"/>
          <w:color w:val="auto"/>
        </w:rPr>
      </w:pPr>
    </w:p>
    <w:p>
      <w:pPr>
        <w:jc w:val="both"/>
        <w:ind w:firstLine="8"/>
        <w:spacing w:after="0" w:line="229" w:lineRule="auto"/>
        <w:tabs>
          <w:tab w:leader="none" w:pos="135" w:val="left"/>
        </w:tabs>
        <w:numPr>
          <w:ilvl w:val="0"/>
          <w:numId w:val="13"/>
        </w:numPr>
        <w:rPr>
          <w:rFonts w:ascii="Arial" w:cs="Arial" w:eastAsia="Arial" w:hAnsi="Arial"/>
          <w:sz w:val="34"/>
          <w:szCs w:val="34"/>
          <w:color w:val="auto"/>
          <w:vertAlign w:val="superscript"/>
        </w:rPr>
      </w:pPr>
      <w:r>
        <w:rPr>
          <w:rFonts w:ascii="Arial" w:cs="Arial" w:eastAsia="Arial" w:hAnsi="Arial"/>
          <w:sz w:val="17"/>
          <w:szCs w:val="17"/>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0" w:lineRule="auto"/>
        <w:rPr>
          <w:sz w:val="20"/>
          <w:szCs w:val="20"/>
          <w:color w:val="auto"/>
        </w:rPr>
      </w:pPr>
      <w:r>
        <w:rPr>
          <w:rFonts w:ascii="Arial" w:cs="Arial" w:eastAsia="Arial" w:hAnsi="Arial"/>
          <w:sz w:val="35"/>
          <w:szCs w:val="35"/>
          <w:color w:val="auto"/>
          <w:vertAlign w:val="superscript"/>
        </w:rPr>
        <w:t>2</w:t>
      </w:r>
      <w:r>
        <w:rPr>
          <w:rFonts w:ascii="Arial" w:cs="Arial" w:eastAsia="Arial" w:hAnsi="Arial"/>
          <w:sz w:val="18"/>
          <w:szCs w:val="18"/>
          <w:color w:val="auto"/>
        </w:rPr>
        <w:t xml:space="preserve"> See footnote 1.</w:t>
      </w:r>
    </w:p>
    <w:p>
      <w:pPr>
        <w:ind w:left="160" w:hanging="152"/>
        <w:spacing w:after="0" w:line="183" w:lineRule="auto"/>
        <w:tabs>
          <w:tab w:leader="none" w:pos="160" w:val="left"/>
        </w:tabs>
        <w:numPr>
          <w:ilvl w:val="0"/>
          <w:numId w:val="14"/>
        </w:numPr>
        <w:rPr>
          <w:rFonts w:ascii="Arial" w:cs="Arial" w:eastAsia="Arial" w:hAnsi="Arial"/>
          <w:sz w:val="35"/>
          <w:szCs w:val="35"/>
          <w:color w:val="auto"/>
          <w:vertAlign w:val="superscript"/>
        </w:rPr>
      </w:pPr>
      <w:r>
        <w:rPr>
          <w:rFonts w:ascii="Arial" w:cs="Arial" w:eastAsia="Arial" w:hAnsi="Arial"/>
          <w:sz w:val="21"/>
          <w:szCs w:val="21"/>
          <w:color w:val="auto"/>
        </w:rPr>
        <w:t>See footnote 1.</w:t>
      </w:r>
    </w:p>
    <w:p>
      <w:pPr>
        <w:spacing w:after="0" w:line="40" w:lineRule="exact"/>
        <w:rPr>
          <w:rFonts w:ascii="Arial" w:cs="Arial" w:eastAsia="Arial" w:hAnsi="Arial"/>
          <w:sz w:val="35"/>
          <w:szCs w:val="35"/>
          <w:color w:val="auto"/>
          <w:vertAlign w:val="superscript"/>
        </w:rPr>
      </w:pPr>
    </w:p>
    <w:p>
      <w:pPr>
        <w:spacing w:after="0" w:line="182" w:lineRule="auto"/>
        <w:rPr>
          <w:rFonts w:ascii="Arial" w:cs="Arial" w:eastAsia="Arial" w:hAnsi="Arial"/>
          <w:sz w:val="35"/>
          <w:szCs w:val="35"/>
          <w:color w:val="auto"/>
          <w:vertAlign w:val="superscript"/>
        </w:rPr>
      </w:pPr>
      <w:r>
        <w:rPr>
          <w:rFonts w:ascii="Arial" w:cs="Arial" w:eastAsia="Arial" w:hAnsi="Arial"/>
          <w:sz w:val="34"/>
          <w:szCs w:val="34"/>
          <w:color w:val="auto"/>
          <w:vertAlign w:val="superscript"/>
        </w:rPr>
        <w:t>4</w:t>
      </w:r>
      <w:r>
        <w:rPr>
          <w:rFonts w:ascii="Arial" w:cs="Arial" w:eastAsia="Arial" w:hAnsi="Arial"/>
          <w:sz w:val="21"/>
          <w:szCs w:val="21"/>
          <w:color w:val="auto"/>
        </w:rPr>
        <w:t xml:space="preserve"> See footnote 1</w:t>
      </w:r>
      <w:r>
        <w:rPr>
          <w:rFonts w:ascii="Arial" w:cs="Arial" w:eastAsia="Arial" w:hAnsi="Arial"/>
          <w:sz w:val="21"/>
          <w:szCs w:val="21"/>
          <w:b w:val="1"/>
          <w:bCs w:val="1"/>
          <w:color w:val="auto"/>
        </w:rPr>
        <w:t>.</w:t>
      </w:r>
    </w:p>
    <w:p>
      <w:pPr>
        <w:spacing w:after="0"/>
        <w:rPr>
          <w:rFonts w:ascii="Arial" w:cs="Arial" w:eastAsia="Arial" w:hAnsi="Arial"/>
          <w:sz w:val="35"/>
          <w:szCs w:val="35"/>
          <w:color w:val="auto"/>
          <w:vertAlign w:val="superscript"/>
        </w:rPr>
      </w:pPr>
      <w:r>
        <w:rPr>
          <w:rFonts w:ascii="Arial" w:cs="Arial" w:eastAsia="Arial" w:hAnsi="Arial"/>
          <w:sz w:val="35"/>
          <w:szCs w:val="35"/>
          <w:color w:val="auto"/>
          <w:vertAlign w:val="superscript"/>
        </w:rPr>
        <w:t>5</w:t>
      </w:r>
      <w:r>
        <w:rPr>
          <w:rFonts w:ascii="Arial" w:cs="Arial" w:eastAsia="Arial" w:hAnsi="Arial"/>
          <w:sz w:val="22"/>
          <w:szCs w:val="22"/>
          <w:color w:val="auto"/>
        </w:rPr>
        <w:t xml:space="preserve"> See footnote 1</w:t>
      </w:r>
      <w:r>
        <w:rPr>
          <w:rFonts w:ascii="Arial" w:cs="Arial" w:eastAsia="Arial" w:hAnsi="Arial"/>
          <w:sz w:val="22"/>
          <w:szCs w:val="22"/>
          <w:b w:val="1"/>
          <w:bCs w:val="1"/>
          <w:color w:val="auto"/>
        </w:rPr>
        <w: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Inter-Corporate Relationships</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124460</wp:posOffset>
            </wp:positionV>
            <wp:extent cx="2991485" cy="31546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9148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Note:</w:t>
      </w:r>
    </w:p>
    <w:p>
      <w:pPr>
        <w:spacing w:after="0" w:line="206" w:lineRule="exact"/>
        <w:rPr>
          <w:sz w:val="20"/>
          <w:szCs w:val="20"/>
          <w:color w:val="auto"/>
        </w:rPr>
      </w:pPr>
    </w:p>
    <w:p>
      <w:pPr>
        <w:jc w:val="both"/>
        <w:ind w:left="1420" w:right="1080" w:hanging="278"/>
        <w:spacing w:after="0" w:line="254" w:lineRule="auto"/>
        <w:tabs>
          <w:tab w:leader="none" w:pos="1456"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shareholders of Adelia Therapeutics Inc. ("</w:t>
      </w:r>
      <w:r>
        <w:rPr>
          <w:rFonts w:ascii="Arial" w:cs="Arial" w:eastAsia="Arial" w:hAnsi="Arial"/>
          <w:sz w:val="21"/>
          <w:szCs w:val="21"/>
          <w:b w:val="1"/>
          <w:bCs w:val="1"/>
          <w:color w:val="auto"/>
        </w:rPr>
        <w:t>Adelia</w:t>
      </w:r>
      <w:r>
        <w:rPr>
          <w:rFonts w:ascii="Arial" w:cs="Arial" w:eastAsia="Arial" w:hAnsi="Arial"/>
          <w:sz w:val="21"/>
          <w:szCs w:val="21"/>
          <w:color w:val="auto"/>
        </w:rPr>
        <w:t>") hold certain non-voting securities of Cybin U.S. issued in connection with the acquisition of Adelia on December 14, 2020 (the "</w:t>
      </w:r>
      <w:r>
        <w:rPr>
          <w:rFonts w:ascii="Arial" w:cs="Arial" w:eastAsia="Arial" w:hAnsi="Arial"/>
          <w:sz w:val="21"/>
          <w:szCs w:val="21"/>
          <w:b w:val="1"/>
          <w:bCs w:val="1"/>
          <w:color w:val="auto"/>
        </w:rPr>
        <w:t>Adelia</w:t>
      </w:r>
      <w:r>
        <w:rPr>
          <w:rFonts w:ascii="Arial" w:cs="Arial" w:eastAsia="Arial" w:hAnsi="Arial"/>
          <w:sz w:val="21"/>
          <w:szCs w:val="21"/>
          <w:color w:val="auto"/>
        </w:rPr>
        <w:t xml:space="preserve"> </w:t>
      </w:r>
      <w:r>
        <w:rPr>
          <w:rFonts w:ascii="Arial" w:cs="Arial" w:eastAsia="Arial" w:hAnsi="Arial"/>
          <w:sz w:val="21"/>
          <w:szCs w:val="21"/>
          <w:b w:val="1"/>
          <w:bCs w:val="1"/>
          <w:color w:val="auto"/>
        </w:rPr>
        <w:t>Transaction</w:t>
      </w:r>
      <w:r>
        <w:rPr>
          <w:rFonts w:ascii="Arial" w:cs="Arial" w:eastAsia="Arial" w:hAnsi="Arial"/>
          <w:sz w:val="21"/>
          <w:szCs w:val="21"/>
          <w:color w:val="auto"/>
        </w:rPr>
        <w:t>"). For additional information in respect of the Adelia Transaction, please see the</w:t>
      </w:r>
      <w:r>
        <w:rPr>
          <w:rFonts w:ascii="Arial" w:cs="Arial" w:eastAsia="Arial" w:hAnsi="Arial"/>
          <w:sz w:val="21"/>
          <w:szCs w:val="21"/>
          <w:b w:val="1"/>
          <w:bCs w:val="1"/>
          <w:color w:val="auto"/>
        </w:rPr>
        <w:t xml:space="preserve"> </w:t>
      </w:r>
      <w:r>
        <w:rPr>
          <w:rFonts w:ascii="Arial" w:cs="Arial" w:eastAsia="Arial" w:hAnsi="Arial"/>
          <w:sz w:val="21"/>
          <w:szCs w:val="21"/>
          <w:color w:val="auto"/>
        </w:rPr>
        <w:t>Annual Information Form incorporated by reference in this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 Recent Developments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Other than as set forth below and generally in this Prospectus or the documents incorporated by reference herein, there have been no material developments in the business of the Corporation since August 14, 2023, the date of the Interim Financial Statements and Interim MD&amp;A.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both"/>
        <w:spacing w:after="0" w:line="272" w:lineRule="auto"/>
        <w:rPr>
          <w:sz w:val="20"/>
          <w:szCs w:val="20"/>
          <w:color w:val="auto"/>
        </w:rPr>
      </w:pPr>
      <w:r>
        <w:rPr>
          <w:rFonts w:ascii="Arial" w:cs="Arial" w:eastAsia="Arial" w:hAnsi="Arial"/>
          <w:sz w:val="19"/>
          <w:szCs w:val="19"/>
          <w:color w:val="auto"/>
        </w:rPr>
        <w:t>On May 30, 2023, the Corporation announced it had entered into the Purchase Agreement with the Investor, pursuant to which the Investor agreed to purchase from the Corporation, at the Corporation’s direction from time to time, in the Corporation’s sole discretion, from and after the date that the conditions to the Investor’s purchase obligations set forth in the Purchase Agreement are satisfied, including the filing of the May 2023 Prospectus Supplement,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On July 31, 2023, the Corporation issued a notice of suspension of the Purchase Agreement to the Investor in the context of announcing the Offering. The Corporation sold a total of US$465,273 under the Purchase Agreement out of the total US$30,000,000 qualified under the May 2023 Prospectus Supplement, using the proceeds for the advancement of its research and development programs and for general corporate purposes. The Corporation has suspended all sales under the Purchase Agreement allowing it to use the balance of US$29,534,727 available under the 2021 Base Shelf Prospectus for the Offering. Subject to receipt of all necessary regulatory approvals, the Corporation intends to file a prospectus supplement under this Prospectus with respect to the Purchase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On June 29, 2023, the Corporation announced the appointment of Aaron Bartlone as Chief Operating Officer, effective July 1,</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2023. Mr. Bartlone has served as Chief Operating Officer of Cybin’s U.S. subsidiary, Cybin US Holdings, Inc., since March</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2021. Mr. Bartlone is a United States resident and currently holds 701,070 Common Shares and options exercisable into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1,315,000 Common Shares.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August 5, 2023, the Corporation’s at-the-market equity program to issue and sell up to US$35,000,000 of Common Shares (the “</w:t>
      </w:r>
      <w:r>
        <w:rPr>
          <w:rFonts w:ascii="Arial" w:cs="Arial" w:eastAsia="Arial" w:hAnsi="Arial"/>
          <w:sz w:val="21"/>
          <w:szCs w:val="21"/>
          <w:b w:val="1"/>
          <w:bCs w:val="1"/>
          <w:color w:val="auto"/>
        </w:rPr>
        <w:t>ATM Program</w:t>
      </w:r>
      <w:r>
        <w:rPr>
          <w:rFonts w:ascii="Arial" w:cs="Arial" w:eastAsia="Arial" w:hAnsi="Arial"/>
          <w:sz w:val="21"/>
          <w:szCs w:val="21"/>
          <w:color w:val="auto"/>
        </w:rPr>
        <w:t>”) automatically terminated in accordance with the terms of the equity distribution agreement entered into on August 8, 2022, due to the Corporation’s prior base shelf prospectus, dated July 5, 2021, lapsing on August 5, 2023, being 25 months after the effective date. Subject to receipt of all necessary approvals and the entering into of a new equity distribution agreement, the Corporation intends to file a prospectus supplement under this Prospectus in order to qualify the issuance and sale of Common Shares pursuant to an at-the-market equity program.</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August 15, 2023, the Corporation announced that the U.S. Patent and Trademark Office has granted U.S. patent 11,724,985, to a deuterated psilocybin analog in the Corporation’s CYB003, investigational drug program. The patent, which is expected to provide exclusivity until 2041, includes composition of matter claims to deuterated tryptamines in support of the Corporation’s clinical-stage programs, CYB003, a proprietary deuterated psilocybin analog, and CYB004, a proprietary deuterated dimethyltryptamine, in addition to other of the Corporation’s pre-clinical programs, as well as claims directed towards methods of treating major depressive disorder (“</w:t>
      </w:r>
      <w:r>
        <w:rPr>
          <w:rFonts w:ascii="Arial" w:cs="Arial" w:eastAsia="Arial" w:hAnsi="Arial"/>
          <w:sz w:val="21"/>
          <w:szCs w:val="21"/>
          <w:b w:val="1"/>
          <w:bCs w:val="1"/>
          <w:color w:val="auto"/>
        </w:rPr>
        <w:t>MDD</w:t>
      </w:r>
      <w:r>
        <w:rPr>
          <w:rFonts w:ascii="Arial" w:cs="Arial" w:eastAsia="Arial" w:hAnsi="Arial"/>
          <w:sz w:val="21"/>
          <w:szCs w:val="21"/>
          <w:color w:val="auto"/>
        </w:rPr>
        <w:t>”) and treatment-resistant depression.</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On August 17, 2023, the Corporation announced that it has initiated preparations for good manufacturing practices (“</w:t>
      </w:r>
      <w:r>
        <w:rPr>
          <w:rFonts w:ascii="Arial" w:cs="Arial" w:eastAsia="Arial" w:hAnsi="Arial"/>
          <w:sz w:val="22"/>
          <w:szCs w:val="22"/>
          <w:b w:val="1"/>
          <w:bCs w:val="1"/>
          <w:color w:val="auto"/>
        </w:rPr>
        <w:t>GMP</w:t>
      </w:r>
      <w:r>
        <w:rPr>
          <w:rFonts w:ascii="Arial" w:cs="Arial" w:eastAsia="Arial" w:hAnsi="Arial"/>
          <w:sz w:val="22"/>
          <w:szCs w:val="22"/>
          <w:color w:val="auto"/>
        </w:rPr>
        <w:t>”) production of a capsule formulation of CYB003, its proprietary deuterated psilocybin analog in development for the potential treatment of MDD.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REGULATORY OVERVIEW</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 summary of the applicable regulatory framework for the Corporation's various business segments and proposed business activity are set forth below.</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Arial" w:cs="Arial" w:eastAsia="Arial" w:hAnsi="Arial"/>
          <w:sz w:val="22"/>
          <w:szCs w:val="22"/>
          <w:b w:val="1"/>
          <w:bCs w:val="1"/>
          <w:color w:val="auto"/>
        </w:rPr>
        <w:t>Section 56 Exemption</w:t>
      </w:r>
      <w:r>
        <w:rPr>
          <w:rFonts w:ascii="Arial" w:cs="Arial" w:eastAsia="Arial" w:hAnsi="Arial"/>
          <w:sz w:val="22"/>
          <w:szCs w:val="22"/>
          <w:color w:val="auto"/>
        </w:rPr>
        <w:t>") is required. This exemption allows the holder to possess and use the controlled substance without being subject to the restrictions set out in the CDSA.</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Health Canada's Special Access Program ("</w:t>
      </w:r>
      <w:r>
        <w:rPr>
          <w:rFonts w:ascii="Arial" w:cs="Arial" w:eastAsia="Arial" w:hAnsi="Arial"/>
          <w:sz w:val="22"/>
          <w:szCs w:val="22"/>
          <w:b w:val="1"/>
          <w:bCs w:val="1"/>
          <w:color w:val="auto"/>
        </w:rPr>
        <w:t>SAP</w:t>
      </w:r>
      <w:r>
        <w:rPr>
          <w:rFonts w:ascii="Arial" w:cs="Arial" w:eastAsia="Arial" w:hAnsi="Arial"/>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Corporation has not applied for access under the SAP.</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license by Health Canada, an entity with a Dealer's License may produce, assemble, sell, provide, transport, send, deliver, import or export a restricted drug (as listed in Part J in the Food and Drugs Regulations - which includes psilocybin and psilocin) (see s. J.01.009 (1) of the Food and Drug Regulations).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8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Please see "</w:t>
      </w:r>
      <w:r>
        <w:rPr>
          <w:rFonts w:ascii="Arial" w:cs="Arial" w:eastAsia="Arial" w:hAnsi="Arial"/>
          <w:sz w:val="22"/>
          <w:szCs w:val="22"/>
          <w:i w:val="1"/>
          <w:iCs w:val="1"/>
          <w:color w:val="auto"/>
        </w:rPr>
        <w:t>Description of the Business - Research and Development"</w:t>
      </w:r>
      <w:r>
        <w:rPr>
          <w:rFonts w:ascii="Arial" w:cs="Arial" w:eastAsia="Arial" w:hAnsi="Arial"/>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United States</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rFonts w:ascii="Arial" w:cs="Arial" w:eastAsia="Arial" w:hAnsi="Arial"/>
          <w:sz w:val="19"/>
          <w:szCs w:val="19"/>
          <w:b w:val="1"/>
          <w:bCs w:val="1"/>
          <w:color w:val="auto"/>
        </w:rPr>
        <w:t>IND</w:t>
      </w:r>
      <w:r>
        <w:rPr>
          <w:rFonts w:ascii="Arial" w:cs="Arial" w:eastAsia="Arial" w:hAnsi="Arial"/>
          <w:sz w:val="19"/>
          <w:szCs w:val="19"/>
          <w:color w:val="auto"/>
        </w:rPr>
        <w:t>”) related to its Deuterated Psilocybin Analog Program upon</w:t>
      </w:r>
    </w:p>
    <w:p>
      <w:pPr>
        <w:spacing w:after="0" w:line="1" w:lineRule="exact"/>
        <w:rPr>
          <w:sz w:val="20"/>
          <w:szCs w:val="20"/>
          <w:color w:val="auto"/>
        </w:rPr>
      </w:pPr>
    </w:p>
    <w:p>
      <w:pPr>
        <w:jc w:val="both"/>
        <w:spacing w:after="0" w:line="200" w:lineRule="auto"/>
        <w:rPr>
          <w:sz w:val="20"/>
          <w:szCs w:val="20"/>
          <w:color w:val="auto"/>
        </w:rPr>
      </w:pPr>
      <w:r>
        <w:rPr>
          <w:rFonts w:ascii="Arial" w:cs="Arial" w:eastAsia="Arial" w:hAnsi="Arial"/>
          <w:sz w:val="22"/>
          <w:szCs w:val="22"/>
          <w:color w:val="auto"/>
        </w:rPr>
        <w:t>completion of its pre-clinical studies and CMC development.</w:t>
      </w:r>
      <w:r>
        <w:rPr>
          <w:rFonts w:ascii="Arial" w:cs="Arial" w:eastAsia="Arial" w:hAnsi="Arial"/>
          <w:sz w:val="35"/>
          <w:szCs w:val="35"/>
          <w:color w:val="auto"/>
          <w:vertAlign w:val="superscript"/>
        </w:rPr>
        <w:t>6</w:t>
      </w:r>
      <w:r>
        <w:rPr>
          <w:rFonts w:ascii="Arial" w:cs="Arial" w:eastAsia="Arial" w:hAnsi="Arial"/>
          <w:sz w:val="22"/>
          <w:szCs w:val="22"/>
          <w:color w:val="auto"/>
        </w:rPr>
        <w:t xml:space="preserve"> Anticipated timelines related to regulatory filings are based on reasonable assumptions informed by current knowledge and information available to the Corporation.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Arial" w:cs="Arial" w:eastAsia="Arial" w:hAnsi="Arial"/>
          <w:sz w:val="19"/>
          <w:szCs w:val="19"/>
          <w:b w:val="1"/>
          <w:bCs w:val="1"/>
          <w:color w:val="auto"/>
        </w:rPr>
        <w:t>DEA</w:t>
      </w:r>
      <w:r>
        <w:rPr>
          <w:rFonts w:ascii="Arial" w:cs="Arial" w:eastAsia="Arial" w:hAnsi="Arial"/>
          <w:sz w:val="19"/>
          <w:szCs w:val="19"/>
          <w:color w:val="auto"/>
        </w:rPr>
        <w:t>")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See </w:t>
      </w:r>
      <w:r>
        <w:rPr>
          <w:rFonts w:ascii="Arial" w:cs="Arial" w:eastAsia="Arial" w:hAnsi="Arial"/>
          <w:sz w:val="22"/>
          <w:szCs w:val="22"/>
          <w:i w:val="1"/>
          <w:iCs w:val="1"/>
          <w:color w:val="auto"/>
        </w:rPr>
        <w:t>"Description of the Business - Research and Development"</w:t>
      </w:r>
      <w:r>
        <w:rPr>
          <w:rFonts w:ascii="Arial" w:cs="Arial" w:eastAsia="Arial" w:hAnsi="Arial"/>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Europe (Netherlands)</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The International Narcotics Control Board ("</w:t>
      </w:r>
      <w:r>
        <w:rPr>
          <w:rFonts w:ascii="Arial" w:cs="Arial" w:eastAsia="Arial" w:hAnsi="Arial"/>
          <w:sz w:val="19"/>
          <w:szCs w:val="19"/>
          <w:b w:val="1"/>
          <w:bCs w:val="1"/>
          <w:color w:val="auto"/>
        </w:rPr>
        <w:t>INCB</w:t>
      </w:r>
      <w:r>
        <w:rPr>
          <w:rFonts w:ascii="Arial" w:cs="Arial" w:eastAsia="Arial" w:hAnsi="Arial"/>
          <w:sz w:val="19"/>
          <w:szCs w:val="19"/>
          <w:color w:val="auto"/>
        </w:rPr>
        <w:t>"), a United Nations ("</w:t>
      </w:r>
      <w:r>
        <w:rPr>
          <w:rFonts w:ascii="Arial" w:cs="Arial" w:eastAsia="Arial" w:hAnsi="Arial"/>
          <w:sz w:val="19"/>
          <w:szCs w:val="19"/>
          <w:b w:val="1"/>
          <w:bCs w:val="1"/>
          <w:color w:val="auto"/>
        </w:rPr>
        <w:t>UN</w:t>
      </w:r>
      <w:r>
        <w:rPr>
          <w:rFonts w:ascii="Arial" w:cs="Arial" w:eastAsia="Arial" w:hAnsi="Arial"/>
          <w:sz w:val="19"/>
          <w:szCs w:val="19"/>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83" w:lineRule="exact"/>
        <w:rPr>
          <w:sz w:val="20"/>
          <w:szCs w:val="20"/>
          <w:color w:val="auto"/>
        </w:rPr>
      </w:pPr>
    </w:p>
    <w:p>
      <w:pPr>
        <w:jc w:val="both"/>
        <w:ind w:firstLine="8"/>
        <w:spacing w:after="0" w:line="236" w:lineRule="auto"/>
        <w:tabs>
          <w:tab w:leader="none" w:pos="148" w:val="left"/>
        </w:tabs>
        <w:numPr>
          <w:ilvl w:val="0"/>
          <w:numId w:val="16"/>
        </w:numPr>
        <w:rPr>
          <w:rFonts w:ascii="Arial" w:cs="Arial" w:eastAsia="Arial" w:hAnsi="Arial"/>
          <w:sz w:val="33"/>
          <w:szCs w:val="33"/>
          <w:color w:val="auto"/>
          <w:vertAlign w:val="superscript"/>
        </w:rPr>
      </w:pPr>
      <w:r>
        <w:rPr>
          <w:rFonts w:ascii="Arial" w:cs="Arial" w:eastAsia="Arial" w:hAnsi="Arial"/>
          <w:sz w:val="20"/>
          <w:szCs w:val="20"/>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Corporation.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See “</w:t>
      </w:r>
      <w:r>
        <w:rPr>
          <w:rFonts w:ascii="Arial" w:cs="Arial" w:eastAsia="Arial" w:hAnsi="Arial"/>
          <w:sz w:val="20"/>
          <w:szCs w:val="20"/>
          <w:i w:val="1"/>
          <w:iCs w:val="1"/>
          <w:color w:val="auto"/>
        </w:rPr>
        <w:t>Risk Factors</w:t>
      </w:r>
      <w:r>
        <w:rPr>
          <w:rFonts w:ascii="Arial" w:cs="Arial" w:eastAsia="Arial" w:hAnsi="Arial"/>
          <w:sz w:val="20"/>
          <w:szCs w:val="20"/>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ind w:left="660"/>
        <w:spacing w:after="0" w:line="277" w:lineRule="auto"/>
        <w:rPr>
          <w:sz w:val="20"/>
          <w:szCs w:val="20"/>
          <w:color w:val="auto"/>
        </w:rPr>
      </w:pPr>
      <w:r>
        <w:rPr>
          <w:rFonts w:ascii="Arial" w:cs="Arial" w:eastAsia="Arial" w:hAnsi="Arial"/>
          <w:sz w:val="19"/>
          <w:szCs w:val="19"/>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66" w:lineRule="auto"/>
        <w:rPr>
          <w:sz w:val="20"/>
          <w:szCs w:val="20"/>
          <w:color w:val="auto"/>
        </w:rPr>
      </w:pPr>
      <w:r>
        <w:rPr>
          <w:rFonts w:ascii="Arial" w:cs="Arial" w:eastAsia="Arial" w:hAnsi="Arial"/>
          <w:sz w:val="19"/>
          <w:szCs w:val="19"/>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2" w:lineRule="auto"/>
        <w:rPr>
          <w:sz w:val="20"/>
          <w:szCs w:val="20"/>
          <w:color w:val="auto"/>
        </w:rPr>
      </w:pPr>
      <w:r>
        <w:rPr>
          <w:rFonts w:ascii="Arial" w:cs="Arial" w:eastAsia="Arial" w:hAnsi="Arial"/>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-104140</wp:posOffset>
            </wp:positionV>
            <wp:extent cx="68580" cy="68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77" w:lineRule="auto"/>
        <w:rPr>
          <w:sz w:val="20"/>
          <w:szCs w:val="20"/>
          <w:color w:val="auto"/>
        </w:rPr>
      </w:pPr>
      <w:r>
        <w:rPr>
          <w:rFonts w:ascii="Arial" w:cs="Arial" w:eastAsia="Arial" w:hAnsi="Arial"/>
          <w:sz w:val="19"/>
          <w:szCs w:val="19"/>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-750570</wp:posOffset>
            </wp:positionV>
            <wp:extent cx="68580"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-441960</wp:posOffset>
            </wp:positionV>
            <wp:extent cx="68580"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Arial" w:cs="Arial" w:eastAsia="Arial" w:hAnsi="Arial"/>
          <w:sz w:val="19"/>
          <w:szCs w:val="19"/>
          <w:b w:val="1"/>
          <w:bCs w:val="1"/>
          <w:color w:val="auto"/>
        </w:rPr>
        <w:t>Dutch Opium Act</w:t>
      </w:r>
      <w:r>
        <w:rPr>
          <w:rFonts w:ascii="Arial" w:cs="Arial" w:eastAsia="Arial" w:hAnsi="Arial"/>
          <w:sz w:val="19"/>
          <w:szCs w:val="19"/>
          <w:color w:val="auto"/>
        </w:rPr>
        <w:t>") and as such, subject to express authorization being obtained, the production, trade and possession of DMT are prohibited.</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to the Dutch Opium Act, two other Dutch Acts may be relevant when it comes to drugs: the Medicines Act and the Commodities Act.</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Arial" w:cs="Arial" w:eastAsia="Arial" w:hAnsi="Arial"/>
          <w:sz w:val="22"/>
          <w:szCs w:val="22"/>
          <w:b w:val="1"/>
          <w:bCs w:val="1"/>
          <w:color w:val="auto"/>
        </w:rPr>
        <w:t>CCMO</w:t>
      </w:r>
      <w:r>
        <w:rPr>
          <w:rFonts w:ascii="Arial" w:cs="Arial" w:eastAsia="Arial" w:hAnsi="Arial"/>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Ireland</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Ireland, psilocin is a controlled substance under the Misuse of Drugs Act, 1977, 1984 and 2015 (the "</w:t>
      </w:r>
      <w:r>
        <w:rPr>
          <w:rFonts w:ascii="Arial" w:cs="Arial" w:eastAsia="Arial" w:hAnsi="Arial"/>
          <w:sz w:val="19"/>
          <w:szCs w:val="19"/>
          <w:b w:val="1"/>
          <w:bCs w:val="1"/>
          <w:color w:val="auto"/>
        </w:rPr>
        <w:t>Ireland MDA</w:t>
      </w:r>
      <w:r>
        <w:rPr>
          <w:rFonts w:ascii="Arial" w:cs="Arial" w:eastAsia="Arial" w:hAnsi="Arial"/>
          <w:sz w:val="19"/>
          <w:szCs w:val="19"/>
          <w:color w:val="auto"/>
        </w:rPr>
        <w:t>"), the Misuse of Drugs Regulations 2017 (the "</w:t>
      </w:r>
      <w:r>
        <w:rPr>
          <w:rFonts w:ascii="Arial" w:cs="Arial" w:eastAsia="Arial" w:hAnsi="Arial"/>
          <w:sz w:val="19"/>
          <w:szCs w:val="19"/>
          <w:b w:val="1"/>
          <w:bCs w:val="1"/>
          <w:color w:val="auto"/>
        </w:rPr>
        <w:t>Ireland MDR</w:t>
      </w:r>
      <w:r>
        <w:rPr>
          <w:rFonts w:ascii="Arial" w:cs="Arial" w:eastAsia="Arial" w:hAnsi="Arial"/>
          <w:sz w:val="19"/>
          <w:szCs w:val="19"/>
          <w:color w:val="auto"/>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469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2" w:name="page53"/>
    <w:bookmarkEnd w:id="52"/>
    <w:p>
      <w:pPr>
        <w:jc w:val="both"/>
        <w:spacing w:after="0" w:line="297" w:lineRule="auto"/>
        <w:rPr>
          <w:sz w:val="20"/>
          <w:szCs w:val="20"/>
          <w:color w:val="auto"/>
        </w:rPr>
      </w:pPr>
      <w:r>
        <w:rPr>
          <w:rFonts w:ascii="Arial" w:cs="Arial" w:eastAsia="Arial" w:hAnsi="Arial"/>
          <w:sz w:val="19"/>
          <w:szCs w:val="19"/>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the United Kingdom,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main controlled drugs legislation in the United Kingdom is the Misuse of Drugs Act 1971 ("</w:t>
      </w:r>
      <w:r>
        <w:rPr>
          <w:rFonts w:ascii="Arial" w:cs="Arial" w:eastAsia="Arial" w:hAnsi="Arial"/>
          <w:sz w:val="22"/>
          <w:szCs w:val="22"/>
          <w:b w:val="1"/>
          <w:bCs w:val="1"/>
          <w:color w:val="auto"/>
        </w:rPr>
        <w:t>MDA</w:t>
      </w:r>
      <w:r>
        <w:rPr>
          <w:rFonts w:ascii="Arial" w:cs="Arial" w:eastAsia="Arial" w:hAnsi="Arial"/>
          <w:sz w:val="22"/>
          <w:szCs w:val="22"/>
          <w:color w:val="auto"/>
        </w:rPr>
        <w:t>") and the Misuse of Drugs Regulations 2001 ("</w:t>
      </w:r>
      <w:r>
        <w:rPr>
          <w:rFonts w:ascii="Arial" w:cs="Arial" w:eastAsia="Arial" w:hAnsi="Arial"/>
          <w:sz w:val="22"/>
          <w:szCs w:val="22"/>
          <w:b w:val="1"/>
          <w:bCs w:val="1"/>
          <w:color w:val="auto"/>
        </w:rPr>
        <w:t>MDR</w:t>
      </w:r>
      <w:r>
        <w:rPr>
          <w:rFonts w:ascii="Arial" w:cs="Arial" w:eastAsia="Arial" w:hAnsi="Arial"/>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Corporation previously disclosed that it intended to file a clinical trial application with the United Kingdom Medicines and Healthcare products Regulatory Agency (the "</w:t>
      </w:r>
      <w:r>
        <w:rPr>
          <w:rFonts w:ascii="Arial" w:cs="Arial" w:eastAsia="Arial" w:hAnsi="Arial"/>
          <w:sz w:val="21"/>
          <w:szCs w:val="21"/>
          <w:b w:val="1"/>
          <w:bCs w:val="1"/>
          <w:color w:val="auto"/>
        </w:rPr>
        <w:t>MHRA</w:t>
      </w:r>
      <w:r>
        <w:rPr>
          <w:rFonts w:ascii="Arial" w:cs="Arial" w:eastAsia="Arial" w:hAnsi="Arial"/>
          <w:sz w:val="21"/>
          <w:szCs w:val="21"/>
          <w:color w:val="auto"/>
        </w:rPr>
        <w:t>") related to the Deuterated Psilocybin Analog Program upon completion of its pre-clinical studies and CMC development. The Corporation has since decided that it will first proceed in the United States and will re-evaluate other applications at a later date. Anticipated timelines related to regulatory filings are based on reasonable assumptions informed by current knowledge and information available to the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Licensing Requirements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Arial" w:cs="Arial" w:eastAsia="Arial" w:hAnsi="Arial"/>
          <w:sz w:val="19"/>
          <w:szCs w:val="19"/>
          <w:b w:val="1"/>
          <w:bCs w:val="1"/>
          <w:color w:val="auto"/>
        </w:rPr>
        <w:t>Asset Acquisition</w:t>
      </w:r>
      <w:r>
        <w:rPr>
          <w:rFonts w:ascii="Arial" w:cs="Arial" w:eastAsia="Arial" w:hAnsi="Arial"/>
          <w:sz w:val="19"/>
          <w:szCs w:val="19"/>
          <w:color w:val="auto"/>
        </w:rPr>
        <w:t>"), the Corporation also acquired API. The CYB004-E API was</w:t>
      </w:r>
    </w:p>
    <w:p>
      <w:pPr>
        <w:spacing w:after="0"/>
        <w:rPr>
          <w:sz w:val="20"/>
          <w:szCs w:val="20"/>
          <w:color w:val="auto"/>
        </w:rPr>
      </w:pPr>
      <w:r>
        <w:rPr>
          <w:rFonts w:ascii="Arial" w:cs="Arial" w:eastAsia="Arial" w:hAnsi="Arial"/>
          <w:sz w:val="22"/>
          <w:szCs w:val="22"/>
          <w:color w:val="auto"/>
        </w:rPr>
        <w:t>manufactured in the Netherlands by a pharmaceutical ingredient provider that is United States FDA-inspected.</w:t>
      </w:r>
      <w:r>
        <w:rPr>
          <w:rFonts w:ascii="Arial" w:cs="Arial" w:eastAsia="Arial" w:hAnsi="Arial"/>
          <w:sz w:val="35"/>
          <w:szCs w:val="35"/>
          <w:color w:val="auto"/>
          <w:vertAlign w:val="superscript"/>
        </w:rPr>
        <w:t>7</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117" w:lineRule="exact"/>
        <w:rPr>
          <w:sz w:val="20"/>
          <w:szCs w:val="20"/>
          <w:color w:val="auto"/>
        </w:rPr>
      </w:pPr>
    </w:p>
    <w:p>
      <w:pPr>
        <w:jc w:val="both"/>
        <w:ind w:firstLine="8"/>
        <w:spacing w:after="0" w:line="215" w:lineRule="auto"/>
        <w:tabs>
          <w:tab w:leader="none" w:pos="166" w:val="left"/>
        </w:tabs>
        <w:numPr>
          <w:ilvl w:val="0"/>
          <w:numId w:val="17"/>
        </w:numPr>
        <w:rPr>
          <w:rFonts w:ascii="Arial" w:cs="Arial" w:eastAsia="Arial" w:hAnsi="Arial"/>
          <w:sz w:val="32"/>
          <w:szCs w:val="32"/>
          <w:color w:val="auto"/>
          <w:vertAlign w:val="superscript"/>
        </w:rPr>
      </w:pPr>
      <w:r>
        <w:rPr>
          <w:rFonts w:ascii="Arial" w:cs="Arial" w:eastAsia="Arial" w:hAnsi="Arial"/>
          <w:sz w:val="16"/>
          <w:szCs w:val="16"/>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9"/>
          <w:szCs w:val="19"/>
          <w:color w:val="auto"/>
        </w:rPr>
        <w:t xml:space="preserve">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 </w:t>
      </w:r>
      <w:r>
        <w:rPr>
          <w:rFonts w:ascii="Arial" w:cs="Arial" w:eastAsia="Arial" w:hAnsi="Arial"/>
          <w:sz w:val="19"/>
          <w:szCs w:val="19"/>
          <w:i w:val="1"/>
          <w:iCs w:val="1"/>
          <w:color w:val="auto"/>
        </w:rPr>
        <w:t>Pharmaceutical Products</w:t>
      </w:r>
      <w:r>
        <w:rPr>
          <w:rFonts w:ascii="Arial" w:cs="Arial" w:eastAsia="Arial" w:hAnsi="Arial"/>
          <w:sz w:val="19"/>
          <w:szCs w:val="19"/>
          <w:color w:val="auto"/>
        </w:rPr>
        <w:t>", depending on how the API is developed, certain authorizations and licences from the MHRA may be required to authorize some of the activities carried on at the UK-based facilities in relation to the API.</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All premises that are licensed in connection with the possession, supply, manufacture and/or production of controlled drugs are required to adhere to detailed security standards.</w:t>
      </w:r>
      <w:r>
        <w:rPr>
          <w:rFonts w:ascii="Arial" w:cs="Arial" w:eastAsia="Arial" w:hAnsi="Arial"/>
          <w:sz w:val="35"/>
          <w:szCs w:val="35"/>
          <w:color w:val="auto"/>
          <w:vertAlign w:val="superscript"/>
        </w:rPr>
        <w:t>8</w:t>
      </w:r>
    </w:p>
    <w:p>
      <w:pPr>
        <w:spacing w:after="0" w:line="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w:t>
      </w:r>
    </w:p>
    <w:p>
      <w:pPr>
        <w:ind w:right="4540"/>
        <w:spacing w:after="0" w:line="304" w:lineRule="auto"/>
        <w:rPr>
          <w:sz w:val="20"/>
          <w:szCs w:val="20"/>
          <w:color w:val="auto"/>
        </w:rPr>
      </w:pPr>
      <w:r>
        <w:rPr>
          <w:rFonts w:ascii="Arial" w:cs="Arial" w:eastAsia="Arial" w:hAnsi="Arial"/>
          <w:sz w:val="22"/>
          <w:szCs w:val="22"/>
          <w:color w:val="auto"/>
        </w:rPr>
        <w:t>responsibilities, record keeping, reconciliation and reporting of thefts/losses.</w:t>
      </w:r>
      <w:r>
        <w:rPr>
          <w:rFonts w:ascii="Arial" w:cs="Arial" w:eastAsia="Arial" w:hAnsi="Arial"/>
          <w:sz w:val="35"/>
          <w:szCs w:val="35"/>
          <w:color w:val="auto"/>
          <w:vertAlign w:val="superscript"/>
        </w:rPr>
        <w:t>9</w:t>
      </w:r>
      <w:r>
        <w:rPr>
          <w:rFonts w:ascii="Arial" w:cs="Arial" w:eastAsia="Arial" w:hAnsi="Arial"/>
          <w:sz w:val="22"/>
          <w:szCs w:val="22"/>
          <w:color w:val="auto"/>
        </w:rPr>
        <w:t xml:space="preserve"> </w:t>
      </w:r>
      <w:r>
        <w:rPr>
          <w:rFonts w:ascii="Arial" w:cs="Arial" w:eastAsia="Arial" w:hAnsi="Arial"/>
          <w:sz w:val="22"/>
          <w:szCs w:val="22"/>
          <w:u w:val="single" w:color="auto"/>
          <w:color w:val="auto"/>
        </w:rPr>
        <w:t>Pharmaceutical Products</w:t>
      </w:r>
    </w:p>
    <w:p>
      <w:pPr>
        <w:spacing w:after="0" w:line="11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87"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GMP and/or Good Distribution Practice ("</w:t>
      </w:r>
      <w:r>
        <w:rPr>
          <w:rFonts w:ascii="Arial" w:cs="Arial" w:eastAsia="Arial" w:hAnsi="Arial"/>
          <w:sz w:val="22"/>
          <w:szCs w:val="22"/>
          <w:b w:val="1"/>
          <w:bCs w:val="1"/>
          <w:color w:val="auto"/>
        </w:rPr>
        <w:t>GDP</w:t>
      </w:r>
      <w:r>
        <w:rPr>
          <w:rFonts w:ascii="Arial" w:cs="Arial" w:eastAsia="Arial" w:hAnsi="Arial"/>
          <w:sz w:val="22"/>
          <w:szCs w:val="22"/>
          <w:color w:val="auto"/>
        </w:rPr>
        <w:t>")) and to hold a related licence from the MHRA</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How the API is subsequently processed will determine the licences that the UK-based facility must hold. In particular:</w:t>
      </w:r>
    </w:p>
    <w:p>
      <w:pPr>
        <w:spacing w:after="0" w:line="212" w:lineRule="exact"/>
        <w:rPr>
          <w:sz w:val="20"/>
          <w:szCs w:val="20"/>
          <w:color w:val="auto"/>
        </w:rPr>
      </w:pPr>
    </w:p>
    <w:p>
      <w:pPr>
        <w:jc w:val="both"/>
        <w:ind w:left="660"/>
        <w:spacing w:after="0" w:line="243" w:lineRule="auto"/>
        <w:rPr>
          <w:sz w:val="20"/>
          <w:szCs w:val="20"/>
          <w:color w:val="auto"/>
        </w:rPr>
      </w:pPr>
      <w:r>
        <w:rPr>
          <w:rFonts w:ascii="Arial" w:cs="Arial" w:eastAsia="Arial" w:hAnsi="Arial"/>
          <w:sz w:val="22"/>
          <w:szCs w:val="22"/>
          <w:color w:val="auto"/>
        </w:rPr>
        <w:t>if the API is just one 'ingredient' of the investigational medicinal product ("</w:t>
      </w:r>
      <w:r>
        <w:rPr>
          <w:rFonts w:ascii="Arial" w:cs="Arial" w:eastAsia="Arial" w:hAnsi="Arial"/>
          <w:sz w:val="22"/>
          <w:szCs w:val="22"/>
          <w:b w:val="1"/>
          <w:bCs w:val="1"/>
          <w:color w:val="auto"/>
        </w:rPr>
        <w:t>IMP</w:t>
      </w:r>
      <w:r>
        <w:rPr>
          <w:rFonts w:ascii="Arial" w:cs="Arial" w:eastAsia="Arial" w:hAnsi="Arial"/>
          <w:sz w:val="22"/>
          <w:szCs w:val="22"/>
          <w:color w:val="auto"/>
        </w:rPr>
        <w:t>") which is used in the clinical trial then the UK-based facility must register with the MHRA and provide the MHRA with 60 days' notice of the intended start of manufacture/distribution, and comply with GMP and GDP for active substances;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-422275</wp:posOffset>
            </wp:positionV>
            <wp:extent cx="6858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3"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conversely, if the API will itself constitute the IMP, the manufacturer must, except in certain limited circumstances, hold a Manufacturer's Authorisations for IMPs licence ("</w:t>
      </w:r>
      <w:r>
        <w:rPr>
          <w:rFonts w:ascii="Arial" w:cs="Arial" w:eastAsia="Arial" w:hAnsi="Arial"/>
          <w:sz w:val="22"/>
          <w:szCs w:val="22"/>
          <w:b w:val="1"/>
          <w:bCs w:val="1"/>
          <w:color w:val="auto"/>
        </w:rPr>
        <w:t>MIA(IMP</w:t>
      </w:r>
      <w:r>
        <w:rPr>
          <w:rFonts w:ascii="Arial" w:cs="Arial" w:eastAsia="Arial" w:hAnsi="Arial"/>
          <w:sz w:val="22"/>
          <w:szCs w:val="22"/>
          <w:color w:val="auto"/>
        </w:rPr>
        <w:t>)"). In this scenario, an MIA(IMP) would be required regardless of whether the IMP is for use in the UK, another EEA Member State or a third country (such as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-575310</wp:posOffset>
            </wp:positionV>
            <wp:extent cx="68580"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ind w:left="200" w:hanging="192"/>
        <w:spacing w:after="0" w:line="205" w:lineRule="auto"/>
        <w:tabs>
          <w:tab w:leader="none" w:pos="200" w:val="left"/>
        </w:tabs>
        <w:numPr>
          <w:ilvl w:val="0"/>
          <w:numId w:val="18"/>
        </w:numPr>
        <w:rPr>
          <w:rFonts w:ascii="Arial" w:cs="Arial" w:eastAsia="Arial" w:hAnsi="Arial"/>
          <w:sz w:val="35"/>
          <w:szCs w:val="35"/>
          <w:color w:val="auto"/>
          <w:vertAlign w:val="superscript"/>
        </w:rPr>
      </w:pPr>
      <w:r>
        <w:rPr>
          <w:rFonts w:ascii="Arial" w:cs="Arial" w:eastAsia="Arial" w:hAnsi="Arial"/>
          <w:sz w:val="21"/>
          <w:szCs w:val="21"/>
          <w:color w:val="auto"/>
        </w:rPr>
        <w:t>Home Office guidance; Security guidance for all existing or prospective Home Office Controlled Drug Licensees and/or</w:t>
      </w:r>
    </w:p>
    <w:p>
      <w:pPr>
        <w:spacing w:after="0" w:line="232" w:lineRule="auto"/>
        <w:rPr>
          <w:rFonts w:ascii="Arial" w:cs="Arial" w:eastAsia="Arial" w:hAnsi="Arial"/>
          <w:sz w:val="35"/>
          <w:szCs w:val="35"/>
          <w:color w:val="auto"/>
          <w:vertAlign w:val="superscript"/>
        </w:rPr>
      </w:pPr>
      <w:r>
        <w:rPr>
          <w:rFonts w:ascii="Arial" w:cs="Arial" w:eastAsia="Arial" w:hAnsi="Arial"/>
          <w:sz w:val="22"/>
          <w:szCs w:val="22"/>
          <w:color w:val="auto"/>
        </w:rPr>
        <w:t>Precursor Chemical Licensees or Registrants; 2022; https://assets.publishing.service.gov.uk/government/uploads/system/uploads/attachment_data/file/1125889/ Security_Guidance_for_all_Businesses_and_Other_Organisations_v1.5_Nov_2022.pdf.</w:t>
      </w:r>
    </w:p>
    <w:p>
      <w:pPr>
        <w:spacing w:after="0"/>
        <w:tabs>
          <w:tab w:leader="none" w:pos="600" w:val="left"/>
          <w:tab w:leader="none" w:pos="1660" w:val="left"/>
          <w:tab w:leader="none" w:pos="2740" w:val="left"/>
          <w:tab w:leader="none" w:pos="4100" w:val="left"/>
          <w:tab w:leader="none" w:pos="5560" w:val="left"/>
          <w:tab w:leader="none" w:pos="6340" w:val="left"/>
          <w:tab w:leader="none" w:pos="7640" w:val="left"/>
          <w:tab w:leader="none" w:pos="9040" w:val="left"/>
          <w:tab w:leader="none" w:pos="10520" w:val="left"/>
        </w:tabs>
        <w:rPr>
          <w:sz w:val="20"/>
          <w:szCs w:val="20"/>
          <w:color w:val="auto"/>
        </w:rPr>
      </w:pPr>
      <w:r>
        <w:rPr>
          <w:rFonts w:ascii="Arial" w:cs="Arial" w:eastAsia="Arial" w:hAnsi="Arial"/>
          <w:sz w:val="30"/>
          <w:szCs w:val="30"/>
          <w:color w:val="auto"/>
          <w:vertAlign w:val="superscript"/>
        </w:rPr>
        <w:t>9</w:t>
      </w:r>
      <w:r>
        <w:rPr>
          <w:sz w:val="20"/>
          <w:szCs w:val="20"/>
          <w:color w:val="auto"/>
        </w:rPr>
        <w:tab/>
      </w:r>
      <w:r>
        <w:rPr>
          <w:rFonts w:ascii="Arial" w:cs="Arial" w:eastAsia="Arial" w:hAnsi="Arial"/>
          <w:sz w:val="18"/>
          <w:szCs w:val="18"/>
          <w:color w:val="auto"/>
        </w:rPr>
        <w:t>Home</w:t>
      </w:r>
      <w:r>
        <w:rPr>
          <w:sz w:val="20"/>
          <w:szCs w:val="20"/>
          <w:color w:val="auto"/>
        </w:rPr>
        <w:tab/>
      </w:r>
      <w:r>
        <w:rPr>
          <w:rFonts w:ascii="Arial" w:cs="Arial" w:eastAsia="Arial" w:hAnsi="Arial"/>
          <w:sz w:val="22"/>
          <w:szCs w:val="22"/>
          <w:color w:val="auto"/>
        </w:rPr>
        <w:t>Office</w:t>
      </w:r>
      <w:r>
        <w:rPr>
          <w:sz w:val="20"/>
          <w:szCs w:val="20"/>
          <w:color w:val="auto"/>
        </w:rPr>
        <w:tab/>
      </w:r>
      <w:r>
        <w:rPr>
          <w:rFonts w:ascii="Arial" w:cs="Arial" w:eastAsia="Arial" w:hAnsi="Arial"/>
          <w:sz w:val="22"/>
          <w:szCs w:val="22"/>
          <w:color w:val="auto"/>
        </w:rPr>
        <w:t>guidance;</w:t>
      </w:r>
      <w:r>
        <w:rPr>
          <w:sz w:val="20"/>
          <w:szCs w:val="20"/>
          <w:color w:val="auto"/>
        </w:rPr>
        <w:tab/>
      </w:r>
      <w:r>
        <w:rPr>
          <w:rFonts w:ascii="Arial" w:cs="Arial" w:eastAsia="Arial" w:hAnsi="Arial"/>
          <w:sz w:val="22"/>
          <w:szCs w:val="22"/>
          <w:color w:val="auto"/>
        </w:rPr>
        <w:t>Guidelines</w:t>
      </w:r>
      <w:r>
        <w:rPr>
          <w:sz w:val="20"/>
          <w:szCs w:val="20"/>
          <w:color w:val="auto"/>
        </w:rPr>
        <w:tab/>
      </w:r>
      <w:r>
        <w:rPr>
          <w:rFonts w:ascii="Arial" w:cs="Arial" w:eastAsia="Arial" w:hAnsi="Arial"/>
          <w:sz w:val="22"/>
          <w:szCs w:val="22"/>
          <w:color w:val="auto"/>
        </w:rPr>
        <w:t>for</w:t>
      </w:r>
      <w:r>
        <w:rPr>
          <w:sz w:val="20"/>
          <w:szCs w:val="20"/>
          <w:color w:val="auto"/>
        </w:rPr>
        <w:tab/>
      </w:r>
      <w:r>
        <w:rPr>
          <w:rFonts w:ascii="Arial" w:cs="Arial" w:eastAsia="Arial" w:hAnsi="Arial"/>
          <w:sz w:val="22"/>
          <w:szCs w:val="22"/>
          <w:color w:val="auto"/>
        </w:rPr>
        <w:t>Standard</w:t>
      </w:r>
      <w:r>
        <w:rPr>
          <w:sz w:val="20"/>
          <w:szCs w:val="20"/>
          <w:color w:val="auto"/>
        </w:rPr>
        <w:tab/>
      </w:r>
      <w:r>
        <w:rPr>
          <w:rFonts w:ascii="Arial" w:cs="Arial" w:eastAsia="Arial" w:hAnsi="Arial"/>
          <w:sz w:val="22"/>
          <w:szCs w:val="22"/>
          <w:color w:val="auto"/>
        </w:rPr>
        <w:t>Operating</w:t>
      </w:r>
      <w:r>
        <w:rPr>
          <w:sz w:val="20"/>
          <w:szCs w:val="20"/>
          <w:color w:val="auto"/>
        </w:rPr>
        <w:tab/>
      </w:r>
      <w:r>
        <w:rPr>
          <w:rFonts w:ascii="Arial" w:cs="Arial" w:eastAsia="Arial" w:hAnsi="Arial"/>
          <w:sz w:val="22"/>
          <w:szCs w:val="22"/>
          <w:color w:val="auto"/>
        </w:rPr>
        <w:t>Procedures</w:t>
      </w:r>
      <w:r>
        <w:rPr>
          <w:sz w:val="20"/>
          <w:szCs w:val="20"/>
          <w:color w:val="auto"/>
        </w:rPr>
        <w:tab/>
      </w:r>
      <w:r>
        <w:rPr>
          <w:rFonts w:ascii="Arial" w:cs="Arial" w:eastAsia="Arial" w:hAnsi="Arial"/>
          <w:sz w:val="19"/>
          <w:szCs w:val="19"/>
          <w:color w:val="auto"/>
        </w:rPr>
        <w:t>(SOPs);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https://assets.publishing.service.gov.uk/government/uploads/</w:t>
      </w:r>
    </w:p>
    <w:p>
      <w:pPr>
        <w:spacing w:after="0"/>
        <w:rPr>
          <w:sz w:val="20"/>
          <w:szCs w:val="20"/>
          <w:color w:val="auto"/>
        </w:rPr>
      </w:pPr>
      <w:r>
        <w:rPr>
          <w:rFonts w:ascii="Arial" w:cs="Arial" w:eastAsia="Arial" w:hAnsi="Arial"/>
          <w:sz w:val="22"/>
          <w:szCs w:val="22"/>
          <w:color w:val="auto"/>
        </w:rPr>
        <w:t>system/uploads/attachment_data/file/480572/StandardOpProcedure.pdf.</w:t>
      </w:r>
    </w:p>
    <w:p>
      <w:pPr>
        <w:sectPr>
          <w:pgSz w:w="11900" w:h="16838" w:orient="portrait"/>
          <w:cols w:equalWidth="0" w:num="1">
            <w:col w:w="11240"/>
          </w:cols>
          <w:pgMar w:left="320" w:top="118"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jc w:val="both"/>
        <w:spacing w:after="0" w:line="252" w:lineRule="auto"/>
        <w:rPr>
          <w:sz w:val="20"/>
          <w:szCs w:val="20"/>
          <w:color w:val="auto"/>
        </w:rPr>
      </w:pPr>
      <w:r>
        <w:rPr>
          <w:rFonts w:ascii="Arial" w:cs="Arial" w:eastAsia="Arial" w:hAnsi="Arial"/>
          <w:sz w:val="21"/>
          <w:szCs w:val="21"/>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institutions involved in pharmaceutical product development.</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Arial" w:cs="Arial" w:eastAsia="Arial" w:hAnsi="Arial"/>
          <w:sz w:val="19"/>
          <w:szCs w:val="19"/>
          <w:i w:val="1"/>
          <w:iCs w:val="1"/>
          <w:color w:val="auto"/>
        </w:rPr>
        <w:t>Psilocybe</w:t>
      </w:r>
      <w:r>
        <w:rPr>
          <w:rFonts w:ascii="Arial" w:cs="Arial" w:eastAsia="Arial" w:hAnsi="Arial"/>
          <w:sz w:val="19"/>
          <w:szCs w:val="19"/>
          <w:color w:val="auto"/>
        </w:rPr>
        <w:t xml:space="preserve">, such as </w:t>
      </w:r>
      <w:r>
        <w:rPr>
          <w:rFonts w:ascii="Arial" w:cs="Arial" w:eastAsia="Arial" w:hAnsi="Arial"/>
          <w:sz w:val="19"/>
          <w:szCs w:val="19"/>
          <w:i w:val="1"/>
          <w:iCs w:val="1"/>
          <w:color w:val="auto"/>
        </w:rPr>
        <w:t>P. azurescens, P. semilanceata</w:t>
      </w:r>
      <w:r>
        <w:rPr>
          <w:rFonts w:ascii="Arial" w:cs="Arial" w:eastAsia="Arial" w:hAnsi="Arial"/>
          <w:sz w:val="19"/>
          <w:szCs w:val="19"/>
          <w:color w:val="auto"/>
        </w:rPr>
        <w:t xml:space="preserve">, and </w:t>
      </w:r>
      <w:r>
        <w:rPr>
          <w:rFonts w:ascii="Arial" w:cs="Arial" w:eastAsia="Arial" w:hAnsi="Arial"/>
          <w:sz w:val="19"/>
          <w:szCs w:val="19"/>
          <w:i w:val="1"/>
          <w:iCs w:val="1"/>
          <w:color w:val="auto"/>
        </w:rPr>
        <w:t>P. cyanescens</w:t>
      </w:r>
      <w:r>
        <w:rPr>
          <w:rFonts w:ascii="Arial" w:cs="Arial" w:eastAsia="Arial" w:hAnsi="Arial"/>
          <w:sz w:val="19"/>
          <w:szCs w:val="19"/>
          <w:color w:val="auto"/>
        </w:rPr>
        <w:t>, but psilocybin has also been isolated from about a dozen other genera. As a prodrug, psilocybin is quickly converted by the body to psilocin, which has mind-altering effects.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pharmacokinetics, pharmacology and human metabolism of psilocybin are well known and well characterized. In conjunction with psychotherapy, psilocybin has been utilized broadly in phase II clinical trials.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Cybin has commenced research and development on the delivery of synthetic psilocybin and other psychedelics through mechanisms such as sublingual film delivery, IV, and by way of inhalation.</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Corporation's research and development must be conducted in strict compliance with the regulations of federal, state, local and regulatory agencies in Canada, the United States, and the United Kingdom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process required before a prescription drug product candidate may be marketed in Canada generally involves:</w:t>
      </w:r>
    </w:p>
    <w:p>
      <w:pPr>
        <w:spacing w:after="0" w:line="206" w:lineRule="exact"/>
        <w:rPr>
          <w:sz w:val="20"/>
          <w:szCs w:val="20"/>
          <w:color w:val="auto"/>
        </w:rPr>
      </w:pPr>
    </w:p>
    <w:p>
      <w:pPr>
        <w:jc w:val="both"/>
        <w:ind w:left="660"/>
        <w:spacing w:after="0"/>
        <w:rPr>
          <w:sz w:val="20"/>
          <w:szCs w:val="20"/>
          <w:color w:val="auto"/>
        </w:rPr>
      </w:pPr>
      <w:r>
        <w:rPr>
          <w:rFonts w:ascii="Arial" w:cs="Arial" w:eastAsia="Arial" w:hAnsi="Arial"/>
          <w:sz w:val="22"/>
          <w:szCs w:val="22"/>
          <w:i w:val="1"/>
          <w:iCs w:val="1"/>
          <w:color w:val="auto"/>
        </w:rPr>
        <w:t xml:space="preserve">Chemical and Biological Research - </w:t>
      </w:r>
      <w:r>
        <w:rPr>
          <w:rFonts w:ascii="Arial" w:cs="Arial" w:eastAsia="Arial" w:hAnsi="Arial"/>
          <w:sz w:val="22"/>
          <w:szCs w:val="22"/>
          <w:color w:val="auto"/>
        </w:rPr>
        <w:t>Laboratory tests are carried out on tissue cultures and with a variety of small animals</w:t>
      </w:r>
      <w:r>
        <w:rPr>
          <w:rFonts w:ascii="Arial" w:cs="Arial" w:eastAsia="Arial" w:hAnsi="Arial"/>
          <w:sz w:val="22"/>
          <w:szCs w:val="22"/>
          <w:i w:val="1"/>
          <w:iCs w:val="1"/>
          <w:color w:val="auto"/>
        </w:rPr>
        <w:t xml:space="preserve"> </w:t>
      </w:r>
      <w:r>
        <w:rPr>
          <w:rFonts w:ascii="Arial" w:cs="Arial" w:eastAsia="Arial" w:hAnsi="Arial"/>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jc w:val="both"/>
        <w:ind w:left="660"/>
        <w:spacing w:after="0" w:line="241" w:lineRule="auto"/>
        <w:rPr>
          <w:sz w:val="20"/>
          <w:szCs w:val="20"/>
          <w:color w:val="auto"/>
        </w:rPr>
      </w:pPr>
      <w:r>
        <w:rPr>
          <w:rFonts w:ascii="Arial" w:cs="Arial" w:eastAsia="Arial" w:hAnsi="Arial"/>
          <w:sz w:val="22"/>
          <w:szCs w:val="22"/>
          <w:i w:val="1"/>
          <w:iCs w:val="1"/>
          <w:color w:val="auto"/>
        </w:rPr>
        <w:t xml:space="preserve">Pre-Clinical Development - </w:t>
      </w:r>
      <w:r>
        <w:rPr>
          <w:rFonts w:ascii="Arial" w:cs="Arial" w:eastAsia="Arial" w:hAnsi="Arial"/>
          <w:sz w:val="22"/>
          <w:szCs w:val="22"/>
          <w:color w:val="auto"/>
        </w:rPr>
        <w:t>Animals are given the drug in varying amounts over differing periods of time. If it can be</w:t>
      </w:r>
      <w:r>
        <w:rPr>
          <w:rFonts w:ascii="Arial" w:cs="Arial" w:eastAsia="Arial" w:hAnsi="Arial"/>
          <w:sz w:val="22"/>
          <w:szCs w:val="22"/>
          <w:i w:val="1"/>
          <w:iCs w:val="1"/>
          <w:color w:val="auto"/>
        </w:rPr>
        <w:t xml:space="preserve"> </w:t>
      </w:r>
      <w:r>
        <w:rPr>
          <w:rFonts w:ascii="Arial" w:cs="Arial" w:eastAsia="Arial" w:hAnsi="Arial"/>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-422275</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4" w:lineRule="exact"/>
        <w:rPr>
          <w:sz w:val="20"/>
          <w:szCs w:val="20"/>
          <w:color w:val="auto"/>
        </w:rPr>
      </w:pPr>
    </w:p>
    <w:p>
      <w:pPr>
        <w:jc w:val="both"/>
        <w:ind w:left="660"/>
        <w:spacing w:after="0" w:line="249" w:lineRule="auto"/>
        <w:rPr>
          <w:sz w:val="20"/>
          <w:szCs w:val="20"/>
          <w:color w:val="auto"/>
        </w:rPr>
      </w:pPr>
      <w:r>
        <w:rPr>
          <w:rFonts w:ascii="Arial" w:cs="Arial" w:eastAsia="Arial" w:hAnsi="Arial"/>
          <w:sz w:val="21"/>
          <w:szCs w:val="21"/>
          <w:i w:val="1"/>
          <w:iCs w:val="1"/>
          <w:color w:val="auto"/>
        </w:rPr>
        <w:t xml:space="preserve">Clinical Trials - Phase I - </w:t>
      </w:r>
      <w:r>
        <w:rPr>
          <w:rFonts w:ascii="Arial" w:cs="Arial" w:eastAsia="Arial" w:hAnsi="Arial"/>
          <w:sz w:val="21"/>
          <w:szCs w:val="21"/>
          <w:color w:val="auto"/>
        </w:rPr>
        <w:t>The first administration in humans is to test if people can tolerate the drug. If this testing is to</w:t>
      </w:r>
      <w:r>
        <w:rPr>
          <w:rFonts w:ascii="Arial" w:cs="Arial" w:eastAsia="Arial" w:hAnsi="Arial"/>
          <w:sz w:val="21"/>
          <w:szCs w:val="21"/>
          <w:i w:val="1"/>
          <w:iCs w:val="1"/>
          <w:color w:val="auto"/>
        </w:rPr>
        <w:t xml:space="preserve"> </w:t>
      </w:r>
      <w:r>
        <w:rPr>
          <w:rFonts w:ascii="Arial" w:cs="Arial" w:eastAsia="Arial" w:hAnsi="Arial"/>
          <w:sz w:val="21"/>
          <w:szCs w:val="21"/>
          <w:color w:val="auto"/>
        </w:rPr>
        <w:t>take place in Canada, the manufacturer must prepare a clinical trial application for the Therapeutic Products Directorate of Health Canada (the "</w:t>
      </w:r>
      <w:r>
        <w:rPr>
          <w:rFonts w:ascii="Arial" w:cs="Arial" w:eastAsia="Arial" w:hAnsi="Arial"/>
          <w:sz w:val="21"/>
          <w:szCs w:val="21"/>
          <w:b w:val="1"/>
          <w:bCs w:val="1"/>
          <w:color w:val="auto"/>
        </w:rPr>
        <w:t>TPD</w:t>
      </w:r>
      <w:r>
        <w:rPr>
          <w:rFonts w:ascii="Arial" w:cs="Arial" w:eastAsia="Arial" w:hAnsi="Arial"/>
          <w:sz w:val="21"/>
          <w:szCs w:val="21"/>
          <w:color w:val="auto"/>
        </w:rPr>
        <w:t>"). This includes the results of the first two steps and a proposal for testing in humans. If the information is sufficient, the Health Products and Food Branch of Health Canada (the "</w:t>
      </w:r>
      <w:r>
        <w:rPr>
          <w:rFonts w:ascii="Arial" w:cs="Arial" w:eastAsia="Arial" w:hAnsi="Arial"/>
          <w:sz w:val="21"/>
          <w:szCs w:val="21"/>
          <w:b w:val="1"/>
          <w:bCs w:val="1"/>
          <w:color w:val="auto"/>
        </w:rPr>
        <w:t>HPFB</w:t>
      </w:r>
      <w:r>
        <w:rPr>
          <w:rFonts w:ascii="Arial" w:cs="Arial" w:eastAsia="Arial" w:hAnsi="Arial"/>
          <w:sz w:val="21"/>
          <w:szCs w:val="21"/>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-734060</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i w:val="1"/>
          <w:iCs w:val="1"/>
          <w:color w:val="auto"/>
        </w:rPr>
        <w:t xml:space="preserve">Clinical Trials - Phase II - </w:t>
      </w:r>
      <w:r>
        <w:rPr>
          <w:rFonts w:ascii="Arial" w:cs="Arial" w:eastAsia="Arial" w:hAnsi="Arial"/>
          <w:sz w:val="22"/>
          <w:szCs w:val="22"/>
          <w:color w:val="auto"/>
        </w:rPr>
        <w:t>Phase II trials are carried out on people with the target condition, who are usually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-575310</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i w:val="1"/>
          <w:iCs w:val="1"/>
          <w:color w:val="auto"/>
        </w:rPr>
        <w:t xml:space="preserve">Clinical Trials - Phase III - </w:t>
      </w:r>
      <w:r>
        <w:rPr>
          <w:rFonts w:ascii="Arial" w:cs="Arial" w:eastAsia="Arial" w:hAnsi="Arial"/>
          <w:sz w:val="22"/>
          <w:szCs w:val="22"/>
          <w:color w:val="auto"/>
        </w:rPr>
        <w:t>If the results from phase II show promise, the manufacturer provides an updated clinical trial</w:t>
      </w:r>
      <w:r>
        <w:rPr>
          <w:rFonts w:ascii="Arial" w:cs="Arial" w:eastAsia="Arial" w:hAnsi="Arial"/>
          <w:sz w:val="22"/>
          <w:szCs w:val="22"/>
          <w:i w:val="1"/>
          <w:iCs w:val="1"/>
          <w:color w:val="auto"/>
        </w:rPr>
        <w:t xml:space="preserve"> </w:t>
      </w:r>
      <w:r>
        <w:rPr>
          <w:rFonts w:ascii="Arial" w:cs="Arial" w:eastAsia="Arial" w:hAnsi="Arial"/>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jc w:val="both"/>
        <w:ind w:left="660"/>
        <w:spacing w:after="0" w:line="282" w:lineRule="auto"/>
        <w:rPr>
          <w:sz w:val="20"/>
          <w:szCs w:val="20"/>
          <w:color w:val="auto"/>
        </w:rPr>
      </w:pPr>
      <w:r>
        <w:rPr>
          <w:rFonts w:ascii="Arial" w:cs="Arial" w:eastAsia="Arial" w:hAnsi="Arial"/>
          <w:sz w:val="19"/>
          <w:szCs w:val="19"/>
          <w:i w:val="1"/>
          <w:iCs w:val="1"/>
          <w:color w:val="auto"/>
        </w:rPr>
        <w:t xml:space="preserve">New Drug Submission - </w:t>
      </w:r>
      <w:r>
        <w:rPr>
          <w:rFonts w:ascii="Arial" w:cs="Arial" w:eastAsia="Arial" w:hAnsi="Arial"/>
          <w:sz w:val="19"/>
          <w:szCs w:val="19"/>
          <w:color w:val="auto"/>
        </w:rPr>
        <w:t>If the results from phase III continue to be favourable, the drug manufacturer can submit a new</w:t>
      </w:r>
      <w:r>
        <w:rPr>
          <w:rFonts w:ascii="Arial" w:cs="Arial" w:eastAsia="Arial" w:hAnsi="Arial"/>
          <w:sz w:val="19"/>
          <w:szCs w:val="19"/>
          <w:i w:val="1"/>
          <w:iCs w:val="1"/>
          <w:color w:val="auto"/>
        </w:rPr>
        <w:t xml:space="preserve"> </w:t>
      </w:r>
      <w:r>
        <w:rPr>
          <w:rFonts w:ascii="Arial" w:cs="Arial" w:eastAsia="Arial" w:hAnsi="Arial"/>
          <w:sz w:val="19"/>
          <w:szCs w:val="19"/>
          <w:color w:val="auto"/>
        </w:rPr>
        <w:t>drug submission ("</w:t>
      </w:r>
      <w:r>
        <w:rPr>
          <w:rFonts w:ascii="Arial" w:cs="Arial" w:eastAsia="Arial" w:hAnsi="Arial"/>
          <w:sz w:val="19"/>
          <w:szCs w:val="19"/>
          <w:b w:val="1"/>
          <w:bCs w:val="1"/>
          <w:color w:val="auto"/>
        </w:rPr>
        <w:t>NDS</w:t>
      </w:r>
      <w:r>
        <w:rPr>
          <w:rFonts w:ascii="Arial" w:cs="Arial" w:eastAsia="Arial" w:hAnsi="Arial"/>
          <w:sz w:val="19"/>
          <w:szCs w:val="19"/>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-753745</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United States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The process required before a prescription drug product candidate may be marketed in the United States generally involves:</w:t>
      </w:r>
    </w:p>
    <w:p>
      <w:pPr>
        <w:spacing w:after="0" w:line="241"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completion of extensive non-clinical laboratory tests, animal studies and formulation studies, all performed in accordance with the FDA's Good Laboratory, Good Clinical and/or Manufacturing Practice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submission to the FDA of an IND, which must become effective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approval by an institutional review board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submission to the FDA of a New Drug Application ("</w:t>
      </w:r>
      <w:r>
        <w:rPr>
          <w:rFonts w:ascii="Arial" w:cs="Arial" w:eastAsia="Arial" w:hAnsi="Arial"/>
          <w:sz w:val="22"/>
          <w:szCs w:val="22"/>
          <w:b w:val="1"/>
          <w:bCs w:val="1"/>
          <w:color w:val="auto"/>
        </w:rPr>
        <w:t>NDA</w:t>
      </w:r>
      <w:r>
        <w:rPr>
          <w:rFonts w:ascii="Arial" w:cs="Arial" w:eastAsia="Arial" w:hAnsi="Arial"/>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both"/>
        <w:spacing w:after="0" w:line="258" w:lineRule="auto"/>
        <w:rPr>
          <w:sz w:val="20"/>
          <w:szCs w:val="20"/>
          <w:color w:val="auto"/>
        </w:rPr>
      </w:pPr>
      <w:r>
        <w:rPr>
          <w:rFonts w:ascii="Arial" w:cs="Arial" w:eastAsia="Arial" w:hAnsi="Arial"/>
          <w:sz w:val="21"/>
          <w:szCs w:val="21"/>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67"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An independent institutional review board ("</w:t>
      </w:r>
      <w:r>
        <w:rPr>
          <w:rFonts w:ascii="Arial" w:cs="Arial" w:eastAsia="Arial" w:hAnsi="Arial"/>
          <w:sz w:val="21"/>
          <w:szCs w:val="21"/>
          <w:b w:val="1"/>
          <w:bCs w:val="1"/>
          <w:color w:val="auto"/>
        </w:rPr>
        <w:t>IRB</w:t>
      </w:r>
      <w:r>
        <w:rPr>
          <w:rFonts w:ascii="Arial" w:cs="Arial" w:eastAsia="Arial" w:hAnsi="Arial"/>
          <w:sz w:val="21"/>
          <w:szCs w:val="21"/>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Corporation may plan to seek orphan drug designation for certain indications qualified for such designation. The United States, European Union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United States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jc w:val="both"/>
        <w:spacing w:after="0" w:line="235" w:lineRule="auto"/>
        <w:rPr>
          <w:sz w:val="20"/>
          <w:szCs w:val="20"/>
          <w:color w:val="auto"/>
        </w:rPr>
      </w:pPr>
      <w:r>
        <w:rPr>
          <w:rFonts w:ascii="Arial" w:cs="Arial" w:eastAsia="Arial" w:hAnsi="Arial"/>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the United States, pharmaceutical manufacturers are subject to complex laws and regulations pertaining to healthcare "fraud and abuse," including, but not limited to, the Anti-Kickback Statute, the federal False Claims Act (the "</w:t>
      </w:r>
      <w:r>
        <w:rPr>
          <w:rFonts w:ascii="Arial" w:cs="Arial" w:eastAsia="Arial" w:hAnsi="Arial"/>
          <w:sz w:val="21"/>
          <w:szCs w:val="21"/>
          <w:b w:val="1"/>
          <w:bCs w:val="1"/>
          <w:color w:val="auto"/>
        </w:rPr>
        <w:t>FCA</w:t>
      </w:r>
      <w:r>
        <w:rPr>
          <w:rFonts w:ascii="Arial" w:cs="Arial" w:eastAsia="Arial" w:hAnsi="Arial"/>
          <w:sz w:val="21"/>
          <w:szCs w:val="21"/>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Controlled Substances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both"/>
        <w:spacing w:after="0" w:line="238" w:lineRule="auto"/>
        <w:rPr>
          <w:sz w:val="20"/>
          <w:szCs w:val="20"/>
          <w:color w:val="auto"/>
        </w:rPr>
      </w:pPr>
      <w:r>
        <w:rPr>
          <w:rFonts w:ascii="Arial" w:cs="Arial" w:eastAsia="Arial" w:hAnsi="Arial"/>
          <w:sz w:val="22"/>
          <w:szCs w:val="22"/>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200" w:lineRule="exact"/>
        <w:rPr>
          <w:sz w:val="20"/>
          <w:szCs w:val="20"/>
          <w:color w:val="auto"/>
        </w:rPr>
      </w:pP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5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Netherlands</w:t>
      </w:r>
    </w:p>
    <w:p>
      <w:pPr>
        <w:spacing w:after="0" w:line="20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Regulation (EU) No 536/2014 on Clinical Trials on Medicinal Products for Human Use ( the "</w:t>
      </w:r>
      <w:r>
        <w:rPr>
          <w:rFonts w:ascii="Arial" w:cs="Arial" w:eastAsia="Arial" w:hAnsi="Arial"/>
          <w:sz w:val="21"/>
          <w:szCs w:val="21"/>
          <w:b w:val="1"/>
          <w:bCs w:val="1"/>
          <w:color w:val="auto"/>
        </w:rPr>
        <w:t>CTR</w:t>
      </w:r>
      <w:r>
        <w:rPr>
          <w:rFonts w:ascii="Arial" w:cs="Arial" w:eastAsia="Arial" w:hAnsi="Arial"/>
          <w:sz w:val="21"/>
          <w:szCs w:val="21"/>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both"/>
        <w:spacing w:after="0" w:line="279" w:lineRule="auto"/>
        <w:rPr>
          <w:sz w:val="20"/>
          <w:szCs w:val="20"/>
          <w:color w:val="auto"/>
        </w:rPr>
      </w:pPr>
      <w:r>
        <w:rPr>
          <w:rFonts w:ascii="Arial" w:cs="Arial" w:eastAsia="Arial" w:hAnsi="Arial"/>
          <w:sz w:val="19"/>
          <w:szCs w:val="19"/>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Arial" w:cs="Arial" w:eastAsia="Arial" w:hAnsi="Arial"/>
          <w:sz w:val="19"/>
          <w:szCs w:val="19"/>
          <w:b w:val="1"/>
          <w:bCs w:val="1"/>
          <w:color w:val="auto"/>
        </w:rPr>
        <w:t>IMP</w:t>
      </w:r>
      <w:r>
        <w:rPr>
          <w:rFonts w:ascii="Arial" w:cs="Arial" w:eastAsia="Arial" w:hAnsi="Arial"/>
          <w:sz w:val="19"/>
          <w:szCs w:val="19"/>
          <w:color w:val="auto"/>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Pharmaceutical Products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ectPr>
          <w:pgSz w:w="11900" w:h="16838" w:orient="portrait"/>
          <w:cols w:equalWidth="0" w:num="1">
            <w:col w:w="11240"/>
          </w:cols>
          <w:pgMar w:left="320" w:top="118" w:right="339" w:bottom="358"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358" w:gutter="0" w:footer="0" w:header="0"/>
          <w:type w:val="continuous"/>
        </w:sectPr>
      </w:pPr>
    </w:p>
    <w:bookmarkStart w:id="60" w:name="page61"/>
    <w:bookmarkEnd w:id="60"/>
    <w:p>
      <w:pPr>
        <w:jc w:val="both"/>
        <w:spacing w:after="0" w:line="245" w:lineRule="auto"/>
        <w:rPr>
          <w:sz w:val="20"/>
          <w:szCs w:val="20"/>
          <w:color w:val="auto"/>
        </w:rPr>
      </w:pPr>
      <w:r>
        <w:rPr>
          <w:rFonts w:ascii="Arial" w:cs="Arial" w:eastAsia="Arial" w:hAnsi="Arial"/>
          <w:sz w:val="21"/>
          <w:szCs w:val="21"/>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Market Authorization Regulatory Process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 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both"/>
        <w:spacing w:after="0" w:line="272" w:lineRule="auto"/>
        <w:rPr>
          <w:sz w:val="20"/>
          <w:szCs w:val="20"/>
          <w:color w:val="auto"/>
        </w:rPr>
      </w:pPr>
      <w:r>
        <w:rPr>
          <w:rFonts w:ascii="Arial" w:cs="Arial" w:eastAsia="Arial" w:hAnsi="Arial"/>
          <w:sz w:val="19"/>
          <w:szCs w:val="19"/>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 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Arial" w:cs="Arial" w:eastAsia="Arial" w:hAnsi="Arial"/>
          <w:sz w:val="19"/>
          <w:szCs w:val="19"/>
          <w:b w:val="1"/>
          <w:bCs w:val="1"/>
          <w:color w:val="auto"/>
        </w:rPr>
        <w:t>CMDh</w:t>
      </w:r>
      <w:r>
        <w:rPr>
          <w:rFonts w:ascii="Arial" w:cs="Arial" w:eastAsia="Arial" w:hAnsi="Arial"/>
          <w:sz w:val="19"/>
          <w:szCs w:val="19"/>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 Cooperation Treaty</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The Patent Cooperation Treaty (the "</w:t>
      </w:r>
      <w:r>
        <w:rPr>
          <w:rFonts w:ascii="Arial" w:cs="Arial" w:eastAsia="Arial" w:hAnsi="Arial"/>
          <w:sz w:val="21"/>
          <w:szCs w:val="21"/>
          <w:b w:val="1"/>
          <w:bCs w:val="1"/>
          <w:color w:val="auto"/>
        </w:rPr>
        <w:t>PCT</w:t>
      </w:r>
      <w:r>
        <w:rPr>
          <w:rFonts w:ascii="Arial" w:cs="Arial" w:eastAsia="Arial" w:hAnsi="Arial"/>
          <w:sz w:val="21"/>
          <w:szCs w:val="21"/>
          <w:color w:val="auto"/>
        </w:rPr>
        <w:t>") facilitates filing for patent recognition in multiple jurisdictions simultaneously using a single uniform patent application. 157 countries, including Canada and the United States have ratified the PCT.</w:t>
      </w:r>
    </w:p>
    <w:p>
      <w:pPr>
        <w:spacing w:after="0" w:line="14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COMPLIANCE PROGRAM</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jc w:val="both"/>
        <w:spacing w:after="0" w:line="238" w:lineRule="auto"/>
        <w:rPr>
          <w:sz w:val="20"/>
          <w:szCs w:val="20"/>
          <w:color w:val="auto"/>
        </w:rPr>
      </w:pPr>
      <w:r>
        <w:rPr>
          <w:rFonts w:ascii="Arial" w:cs="Arial" w:eastAsia="Arial" w:hAnsi="Arial"/>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CAPITALIZATION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There have been no material changes to the share and loan capitalization of the Corporation since the date of the Interim Financial Statements.</w:t>
      </w:r>
    </w:p>
    <w:p>
      <w:pPr>
        <w:spacing w:after="0" w:line="17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Arial" w:cs="Arial" w:eastAsia="Arial" w:hAnsi="Arial"/>
          <w:sz w:val="19"/>
          <w:szCs w:val="19"/>
          <w:i w:val="1"/>
          <w:iCs w:val="1"/>
          <w:color w:val="auto"/>
        </w:rPr>
        <w:t>"Risk Factors - Risks</w:t>
      </w:r>
      <w:r>
        <w:rPr>
          <w:rFonts w:ascii="Arial" w:cs="Arial" w:eastAsia="Arial" w:hAnsi="Arial"/>
          <w:sz w:val="19"/>
          <w:szCs w:val="19"/>
          <w:color w:val="auto"/>
        </w:rPr>
        <w:t xml:space="preserve"> </w:t>
      </w:r>
      <w:r>
        <w:rPr>
          <w:rFonts w:ascii="Arial" w:cs="Arial" w:eastAsia="Arial" w:hAnsi="Arial"/>
          <w:sz w:val="19"/>
          <w:szCs w:val="19"/>
          <w:i w:val="1"/>
          <w:iCs w:val="1"/>
          <w:color w:val="auto"/>
        </w:rPr>
        <w:t>Related to an Offering - Discretion over the Use of Proceeds"</w:t>
      </w:r>
      <w:r>
        <w:rPr>
          <w:rFonts w:ascii="Arial" w:cs="Arial" w:eastAsia="Arial" w:hAnsi="Arial"/>
          <w:sz w:val="19"/>
          <w:szCs w:val="19"/>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Capital</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at August 8, 2023, the Corporation had cash resources, being cash and an HST receivable, of approximately $21,082,000. As at August 8, 2023, the Corporation anticipates that it will require approximately $21,082,000 to continue operations over the next 12 months, including funding for the achievement of the next significant milestone under the Corporation’s Deuterated Psilocybin Analog Program (CYB003) and the Deuterated Dimethyltryptamine Program (CYB004).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both"/>
        <w:spacing w:after="0" w:line="247" w:lineRule="auto"/>
        <w:rPr>
          <w:sz w:val="20"/>
          <w:szCs w:val="20"/>
          <w:color w:val="auto"/>
        </w:rPr>
      </w:pPr>
      <w:r>
        <w:rPr>
          <w:rFonts w:ascii="Arial" w:cs="Arial" w:eastAsia="Arial" w:hAnsi="Arial"/>
          <w:sz w:val="21"/>
          <w:szCs w:val="21"/>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Anticipated</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12 Month Use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Anticipated</w:t>
            </w:r>
          </w:p>
        </w:tc>
        <w:tc>
          <w:tcPr>
            <w:tcW w:w="0" w:type="dxa"/>
            <w:vAlign w:val="bottom"/>
          </w:tcPr>
          <w:p>
            <w:pPr>
              <w:spacing w:after="0"/>
              <w:rPr>
                <w:sz w:val="1"/>
                <w:szCs w:val="1"/>
                <w:color w:val="auto"/>
              </w:rPr>
            </w:pPr>
          </w:p>
        </w:tc>
      </w:tr>
      <w:tr>
        <w:trPr>
          <w:trHeight w:val="221"/>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240" w:type="dxa"/>
            <w:vAlign w:val="bottom"/>
            <w:gridSpan w:val="2"/>
          </w:tcPr>
          <w:p>
            <w:pPr>
              <w:jc w:val="center"/>
              <w:ind w:right="240"/>
              <w:spacing w:after="0" w:line="221" w:lineRule="exact"/>
              <w:rPr>
                <w:sz w:val="20"/>
                <w:szCs w:val="20"/>
                <w:color w:val="auto"/>
              </w:rPr>
            </w:pPr>
            <w:r>
              <w:rPr>
                <w:rFonts w:ascii="Arial" w:cs="Arial" w:eastAsia="Arial" w:hAnsi="Arial"/>
                <w:sz w:val="16"/>
                <w:szCs w:val="16"/>
                <w:b w:val="1"/>
                <w:bCs w:val="1"/>
                <w:color w:val="auto"/>
                <w:w w:val="95"/>
              </w:rPr>
              <w:t>of Funds</w:t>
            </w:r>
            <w:r>
              <w:rPr>
                <w:rFonts w:ascii="Arial" w:cs="Arial" w:eastAsia="Arial" w:hAnsi="Arial"/>
                <w:sz w:val="25"/>
                <w:szCs w:val="25"/>
                <w:b w:val="1"/>
                <w:bCs w:val="1"/>
                <w:color w:val="auto"/>
                <w:w w:val="95"/>
                <w:vertAlign w:val="superscript"/>
              </w:rPr>
              <w:t>(2)(3)</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Timeline for</w:t>
            </w:r>
          </w:p>
        </w:tc>
        <w:tc>
          <w:tcPr>
            <w:tcW w:w="0" w:type="dxa"/>
            <w:vAlign w:val="bottom"/>
          </w:tcPr>
          <w:p>
            <w:pPr>
              <w:spacing w:after="0"/>
              <w:rPr>
                <w:sz w:val="1"/>
                <w:szCs w:val="1"/>
                <w:color w:val="auto"/>
              </w:rPr>
            </w:pPr>
          </w:p>
        </w:tc>
      </w:tr>
      <w:tr>
        <w:trPr>
          <w:trHeight w:val="162"/>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w w:val="89"/>
              </w:rPr>
              <w:t>Program</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b w:val="1"/>
                <w:bCs w:val="1"/>
                <w:color w:val="auto"/>
                <w:w w:val="87"/>
              </w:rPr>
              <w:t>(1)</w:t>
            </w:r>
          </w:p>
        </w:tc>
        <w:tc>
          <w:tcPr>
            <w:tcW w:w="5460" w:type="dxa"/>
            <w:vAlign w:val="bottom"/>
            <w:vMerge w:val="restart"/>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14"/>
                <w:szCs w:val="14"/>
                <w:color w:val="auto"/>
              </w:rPr>
            </w:pPr>
          </w:p>
        </w:tc>
        <w:tc>
          <w:tcPr>
            <w:tcW w:w="1540" w:type="dxa"/>
            <w:vAlign w:val="bottom"/>
            <w:vMerge w:val="restart"/>
          </w:tcPr>
          <w:p>
            <w:pPr>
              <w:jc w:val="center"/>
              <w:spacing w:after="0" w:line="230" w:lineRule="exact"/>
              <w:rPr>
                <w:sz w:val="20"/>
                <w:szCs w:val="20"/>
                <w:color w:val="auto"/>
              </w:rPr>
            </w:pPr>
            <w:r>
              <w:rPr>
                <w:rFonts w:ascii="Arial" w:cs="Arial" w:eastAsia="Arial" w:hAnsi="Arial"/>
                <w:sz w:val="16"/>
                <w:szCs w:val="16"/>
                <w:b w:val="1"/>
                <w:bCs w:val="1"/>
                <w:color w:val="auto"/>
                <w:w w:val="98"/>
              </w:rPr>
              <w:t>Completio</w:t>
            </w:r>
            <w:r>
              <w:rPr>
                <w:rFonts w:ascii="Arial" w:cs="Arial" w:eastAsia="Arial" w:hAnsi="Arial"/>
                <w:sz w:val="26"/>
                <w:szCs w:val="26"/>
                <w:b w:val="1"/>
                <w:bCs w:val="1"/>
                <w:color w:val="auto"/>
                <w:w w:val="98"/>
                <w:vertAlign w:val="superscript"/>
              </w:rPr>
              <w:t>(4)</w:t>
            </w:r>
          </w:p>
        </w:tc>
        <w:tc>
          <w:tcPr>
            <w:tcW w:w="0" w:type="dxa"/>
            <w:vAlign w:val="bottom"/>
          </w:tcPr>
          <w:p>
            <w:pPr>
              <w:spacing w:after="0"/>
              <w:rPr>
                <w:sz w:val="1"/>
                <w:szCs w:val="1"/>
                <w:color w:val="auto"/>
              </w:rPr>
            </w:pPr>
          </w:p>
        </w:tc>
      </w:tr>
      <w:tr>
        <w:trPr>
          <w:trHeight w:val="53"/>
        </w:trPr>
        <w:tc>
          <w:tcPr>
            <w:tcW w:w="6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546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E6EFFF"/>
            </w:tcBorders>
          </w:tcPr>
          <w:p>
            <w:pPr>
              <w:spacing w:after="0" w:line="20" w:lineRule="exact"/>
              <w:rPr>
                <w:sz w:val="1"/>
                <w:szCs w:val="1"/>
                <w:color w:val="auto"/>
              </w:rPr>
            </w:pPr>
          </w:p>
        </w:tc>
        <w:tc>
          <w:tcPr>
            <w:tcW w:w="180" w:type="dxa"/>
            <w:vAlign w:val="bottom"/>
            <w:tcBorders>
              <w:bottom w:val="single" w:sz="8" w:color="E6EFFF"/>
            </w:tcBorders>
          </w:tcPr>
          <w:p>
            <w:pPr>
              <w:spacing w:after="0" w:line="20" w:lineRule="exact"/>
              <w:rPr>
                <w:sz w:val="1"/>
                <w:szCs w:val="1"/>
                <w:color w:val="auto"/>
              </w:rPr>
            </w:pPr>
          </w:p>
        </w:tc>
        <w:tc>
          <w:tcPr>
            <w:tcW w:w="5460" w:type="dxa"/>
            <w:vAlign w:val="bottom"/>
            <w:tcBorders>
              <w:bottom w:val="single" w:sz="8" w:color="E6EF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6EF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Deuterated Psilocybin Analog Program</w:t>
            </w:r>
          </w:p>
        </w:tc>
        <w:tc>
          <w:tcPr>
            <w:tcW w:w="2000" w:type="dxa"/>
            <w:vAlign w:val="bottom"/>
            <w:shd w:val="clear" w:color="auto" w:fill="E6EFFF"/>
          </w:tcPr>
          <w:p>
            <w:pPr>
              <w:spacing w:after="0"/>
              <w:rPr>
                <w:sz w:val="18"/>
                <w:szCs w:val="18"/>
                <w:color w:val="auto"/>
              </w:rPr>
            </w:pP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Provide topline data readout from the Phase 1/2a study</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3,880,627</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Q3/Q4 2023</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Complete FDA submission of Phase 1/2a data</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2,500,200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Deuterated Dimethyltryptamine Program</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Provide topline data from Phase 1 CYB004-E trial</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9"/>
              </w:rPr>
              <w:t>1,269,000</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1"/>
              </w:rPr>
              <w:t>Q3/Q4 2023</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Complete FDA IND submission</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1,372,950</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Q1 2024</w:t>
            </w:r>
          </w:p>
        </w:tc>
        <w:tc>
          <w:tcPr>
            <w:tcW w:w="0" w:type="dxa"/>
            <w:vAlign w:val="bottom"/>
          </w:tcPr>
          <w:p>
            <w:pPr>
              <w:spacing w:after="0"/>
              <w:rPr>
                <w:sz w:val="1"/>
                <w:szCs w:val="1"/>
                <w:color w:val="auto"/>
              </w:rPr>
            </w:pPr>
          </w:p>
        </w:tc>
      </w:tr>
      <w:tr>
        <w:trPr>
          <w:trHeight w:val="216"/>
        </w:trPr>
        <w:tc>
          <w:tcPr>
            <w:tcW w:w="6320" w:type="dxa"/>
            <w:vAlign w:val="bottom"/>
            <w:gridSpan w:val="3"/>
            <w:shd w:val="clear" w:color="auto" w:fill="E6EFFF"/>
          </w:tcPr>
          <w:p>
            <w:pPr>
              <w:spacing w:after="0"/>
              <w:rPr>
                <w:sz w:val="20"/>
                <w:szCs w:val="20"/>
                <w:color w:val="auto"/>
              </w:rPr>
            </w:pPr>
            <w:r>
              <w:rPr>
                <w:rFonts w:ascii="Arial" w:cs="Arial" w:eastAsia="Arial" w:hAnsi="Arial"/>
                <w:sz w:val="18"/>
                <w:szCs w:val="18"/>
                <w:color w:val="auto"/>
              </w:rPr>
              <w:t>Phenethylamine Derivatives Program</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E6EFFF"/>
          </w:tcPr>
          <w:p>
            <w:pPr>
              <w:spacing w:after="0"/>
              <w:rPr>
                <w:sz w:val="18"/>
                <w:szCs w:val="18"/>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Technology Programs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320" w:type="dxa"/>
            <w:vAlign w:val="bottom"/>
            <w:gridSpan w:val="3"/>
            <w:shd w:val="clear" w:color="auto" w:fill="E6EFFF"/>
          </w:tcPr>
          <w:p>
            <w:pPr>
              <w:spacing w:after="0" w:line="256" w:lineRule="exact"/>
              <w:rPr>
                <w:sz w:val="20"/>
                <w:szCs w:val="20"/>
                <w:color w:val="auto"/>
              </w:rPr>
            </w:pPr>
            <w:r>
              <w:rPr>
                <w:rFonts w:ascii="Arial" w:cs="Arial" w:eastAsia="Arial" w:hAnsi="Arial"/>
                <w:sz w:val="18"/>
                <w:szCs w:val="18"/>
                <w:color w:val="auto"/>
              </w:rPr>
              <w:t>Working Capital, and General Corporate Purposes</w:t>
            </w:r>
            <w:r>
              <w:rPr>
                <w:rFonts w:ascii="Arial" w:cs="Arial" w:eastAsia="Arial" w:hAnsi="Arial"/>
                <w:sz w:val="29"/>
                <w:szCs w:val="29"/>
                <w:color w:val="auto"/>
                <w:vertAlign w:val="superscript"/>
              </w:rPr>
              <w:t>(5)</w:t>
            </w:r>
          </w:p>
        </w:tc>
        <w:tc>
          <w:tcPr>
            <w:tcW w:w="200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88"/>
              </w:rPr>
              <w:t>12,059,223</w:t>
            </w:r>
          </w:p>
        </w:tc>
        <w:tc>
          <w:tcPr>
            <w:tcW w:w="240" w:type="dxa"/>
            <w:vAlign w:val="bottom"/>
            <w:shd w:val="clear" w:color="auto" w:fill="E6EFFF"/>
          </w:tcPr>
          <w:p>
            <w:pPr>
              <w:spacing w:after="0"/>
              <w:rPr>
                <w:sz w:val="22"/>
                <w:szCs w:val="22"/>
                <w:color w:val="auto"/>
              </w:rPr>
            </w:pPr>
          </w:p>
        </w:tc>
        <w:tc>
          <w:tcPr>
            <w:tcW w:w="1540" w:type="dxa"/>
            <w:vAlign w:val="bottom"/>
            <w:shd w:val="clear" w:color="auto" w:fill="E6EF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tcPr>
          <w:p>
            <w:pPr>
              <w:ind w:left="2100"/>
              <w:spacing w:after="0"/>
              <w:rPr>
                <w:sz w:val="20"/>
                <w:szCs w:val="20"/>
                <w:color w:val="auto"/>
              </w:rPr>
            </w:pPr>
            <w:r>
              <w:rPr>
                <w:rFonts w:ascii="Arial" w:cs="Arial" w:eastAsia="Arial" w:hAnsi="Arial"/>
                <w:sz w:val="18"/>
                <w:szCs w:val="18"/>
                <w:b w:val="1"/>
                <w:bCs w:val="1"/>
                <w:color w:val="auto"/>
              </w:rPr>
              <w:t>Total</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21,082,000</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22"/>
          <w:szCs w:val="22"/>
          <w:b w:val="1"/>
          <w:bCs w:val="1"/>
          <w:u w:val="single" w:color="auto"/>
          <w:color w:val="auto"/>
        </w:rPr>
        <w:t>Notes:</w:t>
      </w:r>
    </w:p>
    <w:p>
      <w:pPr>
        <w:spacing w:after="0" w:line="212" w:lineRule="exact"/>
        <w:rPr>
          <w:sz w:val="20"/>
          <w:szCs w:val="20"/>
          <w:color w:val="auto"/>
        </w:rPr>
      </w:pPr>
    </w:p>
    <w:p>
      <w:pPr>
        <w:jc w:val="both"/>
        <w:ind w:left="780" w:hanging="276"/>
        <w:spacing w:after="0" w:line="236" w:lineRule="auto"/>
        <w:tabs>
          <w:tab w:leader="none" w:pos="825" w:val="left"/>
        </w:tabs>
        <w:numPr>
          <w:ilvl w:val="0"/>
          <w:numId w:val="19"/>
        </w:numPr>
        <w:rPr>
          <w:rFonts w:ascii="Arial" w:cs="Arial" w:eastAsia="Arial" w:hAnsi="Arial"/>
          <w:sz w:val="22"/>
          <w:szCs w:val="22"/>
          <w:color w:val="auto"/>
        </w:rPr>
      </w:pPr>
      <w:r>
        <w:rPr>
          <w:rFonts w:ascii="Arial" w:cs="Arial" w:eastAsia="Arial" w:hAnsi="Arial"/>
          <w:sz w:val="22"/>
          <w:szCs w:val="22"/>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ind w:left="820" w:hanging="316"/>
        <w:spacing w:after="0" w:line="230" w:lineRule="auto"/>
        <w:tabs>
          <w:tab w:leader="none" w:pos="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Certain amounts have been converted from USD to CAD at an exchange rate of 1.35:1.</w:t>
      </w:r>
    </w:p>
    <w:p>
      <w:pPr>
        <w:ind w:left="780" w:hanging="276"/>
        <w:spacing w:after="0" w:line="230" w:lineRule="auto"/>
        <w:tabs>
          <w:tab w:leader="none" w:pos="825"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Represents proceeds from private placements and offerings previously disclosed, as well proceeds from the ATM Program and May 2023 Prospectus.</w:t>
      </w:r>
    </w:p>
    <w:p>
      <w:pPr>
        <w:spacing w:after="0" w:line="1" w:lineRule="exact"/>
        <w:rPr>
          <w:rFonts w:ascii="Arial" w:cs="Arial" w:eastAsia="Arial" w:hAnsi="Arial"/>
          <w:sz w:val="22"/>
          <w:szCs w:val="22"/>
          <w:color w:val="auto"/>
        </w:rPr>
      </w:pPr>
    </w:p>
    <w:p>
      <w:pPr>
        <w:jc w:val="both"/>
        <w:ind w:left="780" w:hanging="276"/>
        <w:spacing w:after="0" w:line="230" w:lineRule="auto"/>
        <w:tabs>
          <w:tab w:leader="none" w:pos="825"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Arial" w:cs="Arial" w:eastAsia="Arial" w:hAnsi="Arial"/>
          <w:sz w:val="22"/>
          <w:szCs w:val="22"/>
          <w:color w:val="auto"/>
        </w:rPr>
      </w:pPr>
    </w:p>
    <w:p>
      <w:pPr>
        <w:jc w:val="both"/>
        <w:ind w:left="780" w:hanging="276"/>
        <w:spacing w:after="0" w:line="280" w:lineRule="auto"/>
        <w:tabs>
          <w:tab w:leader="none" w:pos="825" w:val="left"/>
        </w:tabs>
        <w:numPr>
          <w:ilvl w:val="0"/>
          <w:numId w:val="19"/>
        </w:numPr>
        <w:rPr>
          <w:rFonts w:ascii="Arial" w:cs="Arial" w:eastAsia="Arial" w:hAnsi="Arial"/>
          <w:sz w:val="19"/>
          <w:szCs w:val="19"/>
          <w:color w:val="auto"/>
        </w:rPr>
      </w:pPr>
      <w:r>
        <w:rPr>
          <w:rFonts w:ascii="Arial" w:cs="Arial" w:eastAsia="Arial" w:hAnsi="Arial"/>
          <w:sz w:val="19"/>
          <w:szCs w:val="19"/>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at August 8,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August 8, 2023 in the amount of approximately $21,082,000.</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anticipated spend and cash burn do not account for funds that the Corporation had previously disclosed as being required to progress its Phenethylamine Derivatives Program listed in the table above. As disclosed in its Interim MD&amp;A, the Corporation anticipated spending approximately $900,000 under its Phenethylamine Derivatives Program by September 30, 2023 to complete preclinical development of a phenethylamine drug candidate, of which approximately $42,000 was spent during the three months ended June 30, 2023, and approximately $782,000 was spent during the financial year ended March 31, 2023, resulting in an</w:t>
      </w:r>
    </w:p>
    <w:p>
      <w:pPr>
        <w:jc w:val="both"/>
        <w:spacing w:after="0" w:line="217" w:lineRule="auto"/>
        <w:rPr>
          <w:sz w:val="20"/>
          <w:szCs w:val="20"/>
          <w:color w:val="auto"/>
        </w:rPr>
      </w:pPr>
      <w:r>
        <w:rPr>
          <w:rFonts w:ascii="Arial" w:cs="Arial" w:eastAsia="Arial" w:hAnsi="Arial"/>
          <w:sz w:val="21"/>
          <w:szCs w:val="21"/>
          <w:color w:val="auto"/>
        </w:rPr>
        <w:t>approximate remaining spend as of June 30, 2023 of $76,000 by September 30, 2023.</w:t>
      </w:r>
      <w:r>
        <w:rPr>
          <w:rFonts w:ascii="Arial" w:cs="Arial" w:eastAsia="Arial" w:hAnsi="Arial"/>
          <w:sz w:val="34"/>
          <w:szCs w:val="34"/>
          <w:color w:val="auto"/>
          <w:vertAlign w:val="superscript"/>
        </w:rPr>
        <w:t>10</w:t>
      </w:r>
      <w:r>
        <w:rPr>
          <w:rFonts w:ascii="Arial" w:cs="Arial" w:eastAsia="Arial" w:hAnsi="Arial"/>
          <w:sz w:val="21"/>
          <w:szCs w:val="21"/>
          <w:color w:val="auto"/>
        </w:rPr>
        <w:t xml:space="preserve"> If the Corporation does not raise additional funds in the coming 12 months, it anticipates that it will need to reduce the amounts spent on the Phenethylamine Derivatives Program programs and adjust the corresponding timelines disclosed in its Interim MD&amp;A.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83" w:lineRule="exact"/>
        <w:rPr>
          <w:sz w:val="20"/>
          <w:szCs w:val="20"/>
          <w:color w:val="auto"/>
        </w:rPr>
      </w:pPr>
    </w:p>
    <w:p>
      <w:pPr>
        <w:jc w:val="both"/>
        <w:ind w:firstLine="8"/>
        <w:spacing w:after="0" w:line="241" w:lineRule="auto"/>
        <w:tabs>
          <w:tab w:leader="none" w:pos="252" w:val="left"/>
        </w:tabs>
        <w:numPr>
          <w:ilvl w:val="0"/>
          <w:numId w:val="20"/>
        </w:numPr>
        <w:rPr>
          <w:rFonts w:ascii="Arial" w:cs="Arial" w:eastAsia="Arial" w:hAnsi="Arial"/>
          <w:sz w:val="32"/>
          <w:szCs w:val="32"/>
          <w:color w:val="auto"/>
          <w:vertAlign w:val="superscript"/>
        </w:rPr>
      </w:pPr>
      <w:r>
        <w:rPr>
          <w:rFonts w:ascii="Arial" w:cs="Arial" w:eastAsia="Arial" w:hAnsi="Arial"/>
          <w:sz w:val="20"/>
          <w:szCs w:val="20"/>
          <w:color w:val="auto"/>
        </w:rPr>
        <w:t>Reflects actual spend during the financial year ended March 31, 2023, the three months ended June 30, 2023, and expected spend during the period from July 1, 2023 until the achievement of preclinical development of a phenethylamine drug candidate by September 30, 2023. The Company had previously estimated that its spending to complete preclinical development of a phenethylamine drug candidate would be $1,283,000. Anticipated timing and spending regarding drug development is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pgSz w:w="11900" w:h="16838" w:orient="portrait"/>
          <w:cols w:equalWidth="0" w:num="1">
            <w:col w:w="11240"/>
          </w:cols>
          <w:pgMar w:left="320" w:top="118" w:right="339" w:bottom="0" w:gutter="0" w:footer="0" w:header="0"/>
        </w:sectPr>
      </w:pPr>
    </w:p>
    <w:bookmarkStart w:id="64" w:name="page65"/>
    <w:bookmarkEnd w:id="64"/>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53275" cy="469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5" w:name="page66"/>
    <w:bookmarkEnd w:id="65"/>
    <w:p>
      <w:pPr>
        <w:jc w:val="both"/>
        <w:ind w:right="20"/>
        <w:spacing w:after="0" w:line="251" w:lineRule="auto"/>
        <w:rPr>
          <w:sz w:val="20"/>
          <w:szCs w:val="20"/>
          <w:color w:val="auto"/>
        </w:rPr>
      </w:pPr>
      <w:r>
        <w:rPr>
          <w:rFonts w:ascii="Arial" w:cs="Arial" w:eastAsia="Arial" w:hAnsi="Arial"/>
          <w:sz w:val="22"/>
          <w:szCs w:val="22"/>
          <w:color w:val="auto"/>
        </w:rPr>
        <w:t>The Corporation's expectation is based on certain assumptions and risks as set forth in the section "</w:t>
      </w:r>
      <w:r>
        <w:rPr>
          <w:rFonts w:ascii="Arial" w:cs="Arial" w:eastAsia="Arial" w:hAnsi="Arial"/>
          <w:sz w:val="22"/>
          <w:szCs w:val="22"/>
          <w:i w:val="1"/>
          <w:iCs w:val="1"/>
          <w:color w:val="auto"/>
        </w:rPr>
        <w:t>Cautionary Note Regarding</w:t>
      </w:r>
      <w:r>
        <w:rPr>
          <w:rFonts w:ascii="Arial" w:cs="Arial" w:eastAsia="Arial" w:hAnsi="Arial"/>
          <w:sz w:val="22"/>
          <w:szCs w:val="22"/>
          <w:color w:val="auto"/>
        </w:rPr>
        <w:t xml:space="preserve"> </w:t>
      </w:r>
      <w:r>
        <w:rPr>
          <w:rFonts w:ascii="Arial" w:cs="Arial" w:eastAsia="Arial" w:hAnsi="Arial"/>
          <w:sz w:val="22"/>
          <w:szCs w:val="22"/>
          <w:i w:val="1"/>
          <w:iCs w:val="1"/>
          <w:color w:val="auto"/>
        </w:rPr>
        <w:t>Forward Looking Information</w:t>
      </w:r>
      <w:r>
        <w:rPr>
          <w:rFonts w:ascii="Arial" w:cs="Arial" w:eastAsia="Arial" w:hAnsi="Arial"/>
          <w:sz w:val="22"/>
          <w:szCs w:val="22"/>
          <w:color w:val="auto"/>
        </w:rPr>
        <w:t>" and "</w:t>
      </w:r>
      <w:r>
        <w:rPr>
          <w:rFonts w:ascii="Arial" w:cs="Arial" w:eastAsia="Arial" w:hAnsi="Arial"/>
          <w:sz w:val="22"/>
          <w:szCs w:val="22"/>
          <w:i w:val="1"/>
          <w:iCs w:val="1"/>
          <w:color w:val="auto"/>
        </w:rPr>
        <w:t>Risk Factors</w:t>
      </w:r>
      <w:r>
        <w:rPr>
          <w:rFonts w:ascii="Arial" w:cs="Arial" w:eastAsia="Arial" w:hAnsi="Arial"/>
          <w:sz w:val="22"/>
          <w:szCs w:val="22"/>
          <w:color w:val="auto"/>
        </w:rPr>
        <w:t>" in this Prospectus.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Arial" w:cs="Arial" w:eastAsia="Arial" w:hAnsi="Arial"/>
          <w:sz w:val="19"/>
          <w:szCs w:val="19"/>
          <w:i w:val="1"/>
          <w:iCs w:val="1"/>
          <w:color w:val="auto"/>
        </w:rPr>
        <w:t>Cautionary Note Regarding Forward-Looking Information"</w:t>
      </w:r>
      <w:r>
        <w:rPr>
          <w:rFonts w:ascii="Arial" w:cs="Arial" w:eastAsia="Arial" w:hAnsi="Arial"/>
          <w:sz w:val="19"/>
          <w:szCs w:val="19"/>
          <w:color w:val="auto"/>
        </w:rPr>
        <w:t xml:space="preserve"> section above. The actual amount that the Corporation spends in connection with each of the identified uses and programs will depend on a number of factors, including those listed under </w:t>
      </w:r>
      <w:r>
        <w:rPr>
          <w:rFonts w:ascii="Arial" w:cs="Arial" w:eastAsia="Arial" w:hAnsi="Arial"/>
          <w:sz w:val="19"/>
          <w:szCs w:val="19"/>
          <w:i w:val="1"/>
          <w:iCs w:val="1"/>
          <w:color w:val="auto"/>
        </w:rPr>
        <w:t xml:space="preserve">"Risk Factors" </w:t>
      </w:r>
      <w:r>
        <w:rPr>
          <w:rFonts w:ascii="Arial" w:cs="Arial" w:eastAsia="Arial" w:hAnsi="Arial"/>
          <w:sz w:val="19"/>
          <w:szCs w:val="19"/>
          <w:color w:val="auto"/>
        </w:rPr>
        <w:t>in, or incorporated by reference in, this Prospectus.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Negative Cash Flow From Operations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9"/>
          <w:szCs w:val="19"/>
          <w:i w:val="1"/>
          <w:iCs w:val="1"/>
          <w:color w:val="auto"/>
        </w:rPr>
        <w:t>"Risk Factors - Risks Related to an Offering - Negative Operating Cash Flow and</w:t>
      </w:r>
      <w:r>
        <w:rPr>
          <w:rFonts w:ascii="Arial" w:cs="Arial" w:eastAsia="Arial" w:hAnsi="Arial"/>
          <w:sz w:val="19"/>
          <w:szCs w:val="19"/>
          <w:color w:val="auto"/>
        </w:rPr>
        <w:t xml:space="preserve"> </w:t>
      </w:r>
      <w:r>
        <w:rPr>
          <w:rFonts w:ascii="Arial" w:cs="Arial" w:eastAsia="Arial" w:hAnsi="Arial"/>
          <w:sz w:val="19"/>
          <w:szCs w:val="19"/>
          <w:i w:val="1"/>
          <w:iCs w:val="1"/>
          <w:color w:val="auto"/>
        </w:rPr>
        <w:t>Going Concern".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 POLICY</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Arial" w:cs="Arial" w:eastAsia="Arial" w:hAnsi="Arial"/>
          <w:sz w:val="19"/>
          <w:szCs w:val="19"/>
          <w:i w:val="1"/>
          <w:iCs w:val="1"/>
          <w:color w:val="auto"/>
        </w:rPr>
        <w:t>Risk Factors -</w:t>
      </w:r>
      <w:r>
        <w:rPr>
          <w:rFonts w:ascii="Arial" w:cs="Arial" w:eastAsia="Arial" w:hAnsi="Arial"/>
          <w:sz w:val="19"/>
          <w:szCs w:val="19"/>
          <w:color w:val="auto"/>
        </w:rPr>
        <w:t xml:space="preserve"> </w:t>
      </w:r>
      <w:r>
        <w:rPr>
          <w:rFonts w:ascii="Arial" w:cs="Arial" w:eastAsia="Arial" w:hAnsi="Arial"/>
          <w:sz w:val="19"/>
          <w:szCs w:val="19"/>
          <w:i w:val="1"/>
          <w:iCs w:val="1"/>
          <w:color w:val="auto"/>
        </w:rPr>
        <w:t>Risks Related to an Offering - Speculative Nature of Investment Risk</w:t>
      </w:r>
      <w:r>
        <w:rPr>
          <w:rFonts w:ascii="Arial" w:cs="Arial" w:eastAsia="Arial" w:hAnsi="Arial"/>
          <w:sz w:val="19"/>
          <w:szCs w:val="19"/>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SECURITIES BEING DISTRIBUTED</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Common Shares</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Corporation is authorized to issue an unlimited number of Common Shares and an unlimited number of preferred shares. As at August 16, 2023, the Corporation had 234,683,234 Common Shares and nil preferred shares issued and outstanding.</w:t>
      </w:r>
    </w:p>
    <w:p>
      <w:pPr>
        <w:spacing w:after="0" w:line="1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4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5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Units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7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certain material Canadian tax consequences of owning the Securities comprising the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 Securities</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Debt Securities may be issued in one or more series under an indenture (the "</w:t>
      </w:r>
      <w:r>
        <w:rPr>
          <w:rFonts w:ascii="Arial" w:cs="Arial" w:eastAsia="Arial" w:hAnsi="Arial"/>
          <w:sz w:val="19"/>
          <w:szCs w:val="19"/>
          <w:b w:val="1"/>
          <w:bCs w:val="1"/>
          <w:color w:val="auto"/>
        </w:rPr>
        <w:t>Indenture</w:t>
      </w:r>
      <w:r>
        <w:rPr>
          <w:rFonts w:ascii="Arial" w:cs="Arial" w:eastAsia="Arial" w:hAnsi="Arial"/>
          <w:sz w:val="19"/>
          <w:szCs w:val="19"/>
          <w:color w:val="auto"/>
        </w:rPr>
        <w:t>") to be entered into between the Corporation and one or more trustees (the "</w:t>
      </w:r>
      <w:r>
        <w:rPr>
          <w:rFonts w:ascii="Arial" w:cs="Arial" w:eastAsia="Arial" w:hAnsi="Arial"/>
          <w:sz w:val="19"/>
          <w:szCs w:val="19"/>
          <w:b w:val="1"/>
          <w:bCs w:val="1"/>
          <w:color w:val="auto"/>
        </w:rPr>
        <w:t>Trustee</w:t>
      </w:r>
      <w:r>
        <w:rPr>
          <w:rFonts w:ascii="Arial" w:cs="Arial" w:eastAsia="Arial" w:hAnsi="Arial"/>
          <w:sz w:val="19"/>
          <w:szCs w:val="19"/>
          <w:color w:val="auto"/>
        </w:rPr>
        <w:t>")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Units or Subscription Receipts or any combination thereof, as the case may be.</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title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-420370</wp:posOffset>
            </wp:positionV>
            <wp:extent cx="68580" cy="685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-77470</wp:posOffset>
            </wp:positionV>
            <wp:extent cx="68580" cy="685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terms and conditions for any conversion or exchange of the Debt Securities for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8" w:name="page69"/>
    <w:bookmarkEnd w:id="68"/>
    <w:p>
      <w:pPr>
        <w:ind w:left="660"/>
        <w:spacing w:after="0" w:line="251" w:lineRule="auto"/>
        <w:rPr>
          <w:sz w:val="20"/>
          <w:szCs w:val="20"/>
          <w:color w:val="auto"/>
        </w:rPr>
      </w:pPr>
      <w:r>
        <w:rPr>
          <w:rFonts w:ascii="Arial" w:cs="Arial" w:eastAsia="Arial" w:hAnsi="Arial"/>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-274320</wp:posOffset>
            </wp:positionV>
            <wp:extent cx="68580" cy="685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660"/>
        <w:spacing w:after="0" w:line="256" w:lineRule="auto"/>
        <w:rPr>
          <w:sz w:val="20"/>
          <w:szCs w:val="20"/>
          <w:color w:val="auto"/>
        </w:rPr>
      </w:pPr>
      <w:r>
        <w:rPr>
          <w:rFonts w:ascii="Arial" w:cs="Arial" w:eastAsia="Arial" w:hAnsi="Arial"/>
          <w:sz w:val="22"/>
          <w:szCs w:val="22"/>
          <w:color w:val="auto"/>
        </w:rPr>
        <w:t>whether the Debt Securities will be issuable in the form of global securities ("</w:t>
      </w:r>
      <w:r>
        <w:rPr>
          <w:rFonts w:ascii="Arial" w:cs="Arial" w:eastAsia="Arial" w:hAnsi="Arial"/>
          <w:sz w:val="22"/>
          <w:szCs w:val="22"/>
          <w:b w:val="1"/>
          <w:bCs w:val="1"/>
          <w:color w:val="auto"/>
        </w:rPr>
        <w:t>Global Securities</w:t>
      </w:r>
      <w:r>
        <w:rPr>
          <w:rFonts w:ascii="Arial" w:cs="Arial" w:eastAsia="Arial" w:hAnsi="Arial"/>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-277495</wp:posOffset>
            </wp:positionV>
            <wp:extent cx="68580" cy="685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8"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-92075</wp:posOffset>
            </wp:positionV>
            <wp:extent cx="68580" cy="685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CORRA, SOFR, EURIBOR or an alternative United States federal funds rate.</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series of Debt Securities may be issued at various times with different maturity dates, may bear interest at different rates and may otherwise vary.</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Corporation may, from time to time, issue Debt Securities and incur additional indebtedness other than through the issue of Debt Securities pursuant to this Prospectus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Subscription Receipts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Subscription Receipts may be offered separately or together with other Securities, as the case may be. The Subscription Receipts may be issued under a subscription receipt agreement.</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ectPr>
          <w:pgSz w:w="11900" w:h="16838" w:orient="portrait"/>
          <w:cols w:equalWidth="0" w:num="1">
            <w:col w:w="11240"/>
          </w:cols>
          <w:pgMar w:left="320" w:top="118" w:right="339" w:bottom="115"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15" w:gutter="0" w:footer="0" w:header="0"/>
          <w:type w:val="continuous"/>
        </w:sectPr>
      </w:pPr>
    </w:p>
    <w:bookmarkStart w:id="69" w:name="page70"/>
    <w:bookmarkEnd w:id="69"/>
    <w:p>
      <w:pPr>
        <w:ind w:left="660"/>
        <w:spacing w:after="0"/>
        <w:rPr>
          <w:sz w:val="20"/>
          <w:szCs w:val="20"/>
          <w:color w:val="auto"/>
        </w:rPr>
      </w:pPr>
      <w:r>
        <w:rPr>
          <w:rFonts w:ascii="Arial" w:cs="Arial" w:eastAsia="Arial" w:hAnsi="Arial"/>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-98425</wp:posOffset>
            </wp:positionV>
            <wp:extent cx="68580" cy="685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-273050</wp:posOffset>
            </wp:positionV>
            <wp:extent cx="68580" cy="685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terms applicable to the gross or net proceeds from the sale of the Subscription Receipts plus any interest earned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-77470</wp:posOffset>
            </wp:positionV>
            <wp:extent cx="68580" cy="685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certain material Canadian tax consequences of owning the Subscription Receipts;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-99060</wp:posOffset>
            </wp:positionV>
            <wp:extent cx="68580" cy="685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PLAN OF DISTRIBUTION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Corporation may from time to time during the 25-month period that this Prospectus, including any amendments and supplements hereto, remains valid, offer for sale and sell up to an aggregate of $160,000,000 in Securities hereunder.</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Securities may be sold by the Corporation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the Corporation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Corporation's Securities offered by that Prospectus Supplement.</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both"/>
        <w:spacing w:after="0" w:line="235" w:lineRule="auto"/>
        <w:rPr>
          <w:sz w:val="20"/>
          <w:szCs w:val="20"/>
          <w:color w:val="auto"/>
        </w:rPr>
      </w:pPr>
      <w:r>
        <w:rPr>
          <w:rFonts w:ascii="Arial" w:cs="Arial" w:eastAsia="Arial" w:hAnsi="Arial"/>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connection with the sale of the Securities, underwriters, dealers or agents may receive compensation from the Corporation including in the form of underwriters', dealers' or agents' fees, commissions or concessions.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Underwriters, dealers or agents who participate in the distribution of the Securities may be entitled, under agreements to be entered into with the Corporation to indemnification by the Corporation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9"/>
          <w:szCs w:val="19"/>
          <w:i w:val="1"/>
          <w:iCs w:val="1"/>
          <w:color w:val="auto"/>
        </w:rPr>
        <w:t>"Risk Factors"</w:t>
      </w:r>
      <w:r>
        <w:rPr>
          <w:rFonts w:ascii="Arial" w:cs="Arial" w:eastAsia="Arial" w:hAnsi="Arial"/>
          <w:sz w:val="19"/>
          <w:szCs w:val="19"/>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Arial" w:cs="Arial" w:eastAsia="Arial" w:hAnsi="Arial"/>
          <w:sz w:val="19"/>
          <w:szCs w:val="19"/>
          <w:b w:val="1"/>
          <w:bCs w:val="1"/>
          <w:i w:val="1"/>
          <w:iCs w:val="1"/>
          <w:color w:val="auto"/>
        </w:rPr>
        <w:t>Risk Factors”</w:t>
      </w:r>
      <w:r>
        <w:rPr>
          <w:rFonts w:ascii="Arial" w:cs="Arial" w:eastAsia="Arial" w:hAnsi="Arial"/>
          <w:sz w:val="19"/>
          <w:szCs w:val="19"/>
          <w:b w:val="1"/>
          <w:bCs w:val="1"/>
          <w:color w:val="auto"/>
        </w:rPr>
        <w:t xml:space="preserve"> in the Annual Information Form and under the heading </w:t>
      </w:r>
      <w:r>
        <w:rPr>
          <w:rFonts w:ascii="Arial" w:cs="Arial" w:eastAsia="Arial" w:hAnsi="Arial"/>
          <w:sz w:val="19"/>
          <w:szCs w:val="19"/>
          <w:b w:val="1"/>
          <w:bCs w:val="1"/>
          <w:i w:val="1"/>
          <w:iCs w:val="1"/>
          <w:color w:val="auto"/>
        </w:rPr>
        <w:t>“Risks and Uncertainties”</w:t>
      </w:r>
      <w:r>
        <w:rPr>
          <w:rFonts w:ascii="Arial" w:cs="Arial" w:eastAsia="Arial" w:hAnsi="Arial"/>
          <w:sz w:val="19"/>
          <w:szCs w:val="19"/>
          <w:b w:val="1"/>
          <w:bCs w:val="1"/>
          <w:color w:val="auto"/>
        </w:rPr>
        <w:t xml:space="preserve"> in the Interim MD&amp;A, and any other risk factors described herein or in a document incorporated by reference herein, which investors should carefully consider before investing. </w:t>
      </w:r>
      <w:r>
        <w:rPr>
          <w:rFonts w:ascii="Arial" w:cs="Arial" w:eastAsia="Arial" w:hAnsi="Arial"/>
          <w:sz w:val="19"/>
          <w:szCs w:val="19"/>
          <w:color w:val="auto"/>
        </w:rPr>
        <w:t>Additional risk</w:t>
      </w:r>
      <w:r>
        <w:rPr>
          <w:rFonts w:ascii="Arial" w:cs="Arial" w:eastAsia="Arial" w:hAnsi="Arial"/>
          <w:sz w:val="19"/>
          <w:szCs w:val="19"/>
          <w:b w:val="1"/>
          <w:bCs w:val="1"/>
          <w:color w:val="auto"/>
        </w:rPr>
        <w:t xml:space="preserve"> </w:t>
      </w:r>
      <w:r>
        <w:rPr>
          <w:rFonts w:ascii="Arial" w:cs="Arial" w:eastAsia="Arial" w:hAnsi="Arial"/>
          <w:sz w:val="19"/>
          <w:szCs w:val="19"/>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Risks Related to the Business of the Corporation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Ongoing Impact of the Novel Coronavirus "COVID-19"</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outbreak of COVID-19 and its eventual declaration as a pandemic by the World Health Organization ("</w:t>
      </w:r>
      <w:r>
        <w:rPr>
          <w:rFonts w:ascii="Arial" w:cs="Arial" w:eastAsia="Arial" w:hAnsi="Arial"/>
          <w:sz w:val="19"/>
          <w:szCs w:val="19"/>
          <w:b w:val="1"/>
          <w:bCs w:val="1"/>
          <w:color w:val="auto"/>
        </w:rPr>
        <w:t>WHO</w:t>
      </w:r>
      <w:r>
        <w:rPr>
          <w:rFonts w:ascii="Arial" w:cs="Arial" w:eastAsia="Arial" w:hAnsi="Arial"/>
          <w:sz w:val="19"/>
          <w:szCs w:val="19"/>
          <w:color w:val="auto"/>
        </w:rPr>
        <w:t>")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Corporation in future periods. The Corporation is not currently aware of any changes in laws, regulations or guidelines, including tax and accounting requirements, arising from COVID-19 which would be reasonably anticipated to materially affect the Corporation's business.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Regulatory Risks and Uncertainties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200" w:lineRule="exact"/>
        <w:rPr>
          <w:sz w:val="20"/>
          <w:szCs w:val="20"/>
          <w:color w:val="auto"/>
        </w:rPr>
      </w:pPr>
    </w:p>
    <w:p>
      <w:pPr>
        <w:spacing w:after="0" w:line="20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loss of the necessary licences and permits for any of the above scheduled drugs could have an adverse effect on the Corporation's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ectPr>
          <w:pgSz w:w="11900" w:h="16838" w:orient="portrait"/>
          <w:cols w:equalWidth="0" w:num="1">
            <w:col w:w="11240"/>
          </w:cols>
          <w:pgMar w:left="320" w:top="112"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153275" cy="469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2" w:name="page73"/>
    <w:bookmarkEnd w:id="72"/>
    <w:p>
      <w:pPr>
        <w:jc w:val="both"/>
        <w:spacing w:after="0" w:line="297" w:lineRule="auto"/>
        <w:rPr>
          <w:sz w:val="20"/>
          <w:szCs w:val="20"/>
          <w:color w:val="auto"/>
        </w:rPr>
      </w:pPr>
      <w:r>
        <w:rPr>
          <w:rFonts w:ascii="Arial" w:cs="Arial" w:eastAsia="Arial" w:hAnsi="Arial"/>
          <w:sz w:val="19"/>
          <w:szCs w:val="19"/>
          <w:color w:val="auto"/>
        </w:rPr>
        <w:t>The success of the Corporation's business is dependent on the reform of controlled substances laws pertaining to psilocybin. If controlled substances laws are not favourably reformed in Canada, the United States, the Netherlands, the United Kingdom, and other global jurisdictions, the commercial opportunity that the Corporation is pursuing may be highly limited.</w:t>
      </w:r>
    </w:p>
    <w:p>
      <w:pPr>
        <w:spacing w:after="0" w:line="13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"Foreign Private Issuer" Status Under the U.S. Securities Laws</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an Offering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Speculative Nature of Investment Risk</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i w:val="1"/>
          <w:iCs w:val="1"/>
          <w:color w:val="auto"/>
        </w:rPr>
        <w:t>Negative Operating Cash Flow and Going Concern</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22"/>
          <w:szCs w:val="22"/>
          <w:i w:val="1"/>
          <w:iCs w:val="1"/>
          <w:color w:val="auto"/>
        </w:rPr>
        <w:t>"Risk Factors - Risks Related to the Offering - Potential Need</w:t>
      </w:r>
      <w:r>
        <w:rPr>
          <w:rFonts w:ascii="Arial" w:cs="Arial" w:eastAsia="Arial" w:hAnsi="Arial"/>
          <w:sz w:val="22"/>
          <w:szCs w:val="22"/>
          <w:color w:val="auto"/>
        </w:rPr>
        <w:t xml:space="preserve"> </w:t>
      </w:r>
      <w:r>
        <w:rPr>
          <w:rFonts w:ascii="Arial" w:cs="Arial" w:eastAsia="Arial" w:hAnsi="Arial"/>
          <w:sz w:val="22"/>
          <w:szCs w:val="22"/>
          <w:i w:val="1"/>
          <w:iCs w:val="1"/>
          <w:color w:val="auto"/>
        </w:rPr>
        <w:t>for Additional Financing"</w:t>
      </w:r>
      <w:r>
        <w:rPr>
          <w:rFonts w:ascii="Arial" w:cs="Arial" w:eastAsia="Arial" w:hAnsi="Arial"/>
          <w:sz w:val="22"/>
          <w:szCs w:val="22"/>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Discretion over the Use of Proceeds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Arial" w:cs="Arial" w:eastAsia="Arial" w:hAnsi="Arial"/>
          <w:sz w:val="19"/>
          <w:szCs w:val="19"/>
          <w:i w:val="1"/>
          <w:iCs w:val="1"/>
          <w:color w:val="auto"/>
        </w:rPr>
        <w:t>"Use of Proceeds"</w:t>
      </w:r>
      <w:r>
        <w:rPr>
          <w:rFonts w:ascii="Arial" w:cs="Arial" w:eastAsia="Arial" w:hAnsi="Arial"/>
          <w:sz w:val="19"/>
          <w:szCs w:val="19"/>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Need for Additional Financing</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Arial" w:cs="Arial" w:eastAsia="Arial" w:hAnsi="Arial"/>
          <w:sz w:val="19"/>
          <w:szCs w:val="19"/>
          <w:i w:val="1"/>
          <w:iCs w:val="1"/>
          <w:color w:val="auto"/>
        </w:rPr>
        <w:t>"Risk Factors - Risks Related to an Offering</w:t>
      </w:r>
    </w:p>
    <w:p>
      <w:pPr>
        <w:spacing w:after="0" w:line="5" w:lineRule="exact"/>
        <w:rPr>
          <w:sz w:val="20"/>
          <w:szCs w:val="20"/>
          <w:color w:val="auto"/>
        </w:rPr>
      </w:pPr>
    </w:p>
    <w:p>
      <w:pPr>
        <w:ind w:right="4180" w:firstLine="8"/>
        <w:spacing w:after="0" w:line="426" w:lineRule="auto"/>
        <w:tabs>
          <w:tab w:leader="none" w:pos="126" w:val="left"/>
        </w:tabs>
        <w:numPr>
          <w:ilvl w:val="0"/>
          <w:numId w:val="21"/>
        </w:numPr>
        <w:rPr>
          <w:rFonts w:ascii="Arial" w:cs="Arial" w:eastAsia="Arial" w:hAnsi="Arial"/>
          <w:sz w:val="22"/>
          <w:szCs w:val="22"/>
          <w:i w:val="1"/>
          <w:iCs w:val="1"/>
          <w:color w:val="auto"/>
        </w:rPr>
      </w:pPr>
      <w:r>
        <w:rPr>
          <w:rFonts w:ascii="Arial" w:cs="Arial" w:eastAsia="Arial" w:hAnsi="Arial"/>
          <w:sz w:val="22"/>
          <w:szCs w:val="22"/>
          <w:i w:val="1"/>
          <w:iCs w:val="1"/>
          <w:color w:val="auto"/>
        </w:rPr>
        <w:t>Negative Operating Cash Flow and Going Concern" and "- Potential Dilution". Volatile Market Price of Corporation's Common Shares</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jc w:val="both"/>
        <w:spacing w:after="0" w:line="273" w:lineRule="auto"/>
        <w:rPr>
          <w:sz w:val="20"/>
          <w:szCs w:val="20"/>
          <w:color w:val="auto"/>
        </w:rPr>
      </w:pPr>
      <w:r>
        <w:rPr>
          <w:rFonts w:ascii="Arial" w:cs="Arial" w:eastAsia="Arial" w:hAnsi="Arial"/>
          <w:sz w:val="19"/>
          <w:szCs w:val="19"/>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Arial" w:cs="Arial" w:eastAsia="Arial" w:hAnsi="Arial"/>
          <w:sz w:val="19"/>
          <w:szCs w:val="19"/>
          <w:i w:val="1"/>
          <w:iCs w:val="1"/>
          <w:color w:val="auto"/>
        </w:rPr>
        <w:t>"Cautionary Note Regarding</w:t>
      </w:r>
      <w:r>
        <w:rPr>
          <w:rFonts w:ascii="Arial" w:cs="Arial" w:eastAsia="Arial" w:hAnsi="Arial"/>
          <w:sz w:val="19"/>
          <w:szCs w:val="19"/>
          <w:color w:val="auto"/>
        </w:rPr>
        <w:t xml:space="preserve"> </w:t>
      </w:r>
      <w:r>
        <w:rPr>
          <w:rFonts w:ascii="Arial" w:cs="Arial" w:eastAsia="Arial" w:hAnsi="Arial"/>
          <w:sz w:val="19"/>
          <w:szCs w:val="19"/>
          <w:i w:val="1"/>
          <w:iCs w:val="1"/>
          <w:color w:val="auto"/>
        </w:rPr>
        <w:t>Forward-Looking Information"</w:t>
      </w:r>
      <w:r>
        <w:rPr>
          <w:rFonts w:ascii="Arial" w:cs="Arial" w:eastAsia="Arial" w:hAnsi="Arial"/>
          <w:sz w:val="19"/>
          <w:szCs w:val="19"/>
          <w:color w:val="auto"/>
        </w:rPr>
        <w:t>. In addition, the market price for securities on stock markets, including the Neo is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200" w:lineRule="exact"/>
        <w:rPr>
          <w:sz w:val="20"/>
          <w:szCs w:val="20"/>
          <w:color w:val="auto"/>
        </w:rPr>
      </w:pP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Potential Dilution</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Arial" w:cs="Arial" w:eastAsia="Arial" w:hAnsi="Arial"/>
          <w:sz w:val="19"/>
          <w:szCs w:val="19"/>
          <w:i w:val="1"/>
          <w:iCs w:val="1"/>
          <w:color w:val="auto"/>
        </w:rPr>
        <w:t>"Risk Factors - Risks Related to an Offering - Potential Need for Additional Financing</w:t>
      </w:r>
      <w:r>
        <w:rPr>
          <w:rFonts w:ascii="Arial" w:cs="Arial" w:eastAsia="Arial" w:hAnsi="Arial"/>
          <w:sz w:val="19"/>
          <w:szCs w:val="19"/>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Market for Securities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Enforcement of Civil Liabilities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jc w:val="both"/>
        <w:spacing w:after="0" w:line="273" w:lineRule="auto"/>
        <w:rPr>
          <w:sz w:val="20"/>
          <w:szCs w:val="20"/>
          <w:color w:val="auto"/>
        </w:rPr>
      </w:pPr>
      <w:r>
        <w:rPr>
          <w:rFonts w:ascii="Arial" w:cs="Arial" w:eastAsia="Arial" w:hAnsi="Arial"/>
          <w:sz w:val="19"/>
          <w:szCs w:val="19"/>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6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0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FEDERAL INCOME TAX CONSIDERATIONS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LEGAL MATTERS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AUDITORS, TRANSFER AGENT AND REGISTRAR</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47" w:lineRule="exact"/>
        <w:rPr>
          <w:sz w:val="20"/>
          <w:szCs w:val="20"/>
          <w:color w:val="auto"/>
        </w:rPr>
      </w:pPr>
    </w:p>
    <w:p>
      <w:pPr>
        <w:jc w:val="center"/>
        <w:ind w:right="500"/>
        <w:spacing w:after="0" w:line="455" w:lineRule="auto"/>
        <w:rPr>
          <w:sz w:val="20"/>
          <w:szCs w:val="20"/>
          <w:color w:val="auto"/>
        </w:rPr>
      </w:pPr>
      <w:r>
        <w:rPr>
          <w:rFonts w:ascii="Arial" w:cs="Arial" w:eastAsia="Arial" w:hAnsi="Arial"/>
          <w:sz w:val="22"/>
          <w:szCs w:val="22"/>
          <w:color w:val="auto"/>
        </w:rPr>
        <w:t>The registrar and transfer agent of the Common Shares is Odyssey Trust Company at its principal office in Calgary, Alberta.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53275" cy="46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bullet"/>
      <w:start w:val="1"/>
    </w:lvl>
  </w:abstractNum>
  <w:abstractNum w:abstractNumId="5">
    <w:nsid w:val="109CF92E"/>
    <w:multiLevelType w:val="hybridMultilevel"/>
    <w:lvl w:ilvl="0">
      <w:lvlJc w:val="left"/>
      <w:lvlText w:val="2"/>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bullet"/>
      <w:start w:val="1"/>
    </w:lvl>
  </w:abstractNum>
  <w:abstractNum w:abstractNumId="13">
    <w:nsid w:val="519B500D"/>
    <w:multiLevelType w:val="hybridMultilevel"/>
    <w:lvl w:ilvl="0">
      <w:lvlJc w:val="left"/>
      <w:lvlText w:val="3"/>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6"/>
      <w:numFmt w:val="bullet"/>
      <w:start w:val="1"/>
    </w:lvl>
  </w:abstractNum>
  <w:abstractNum w:abstractNumId="16">
    <w:nsid w:val="7C83E458"/>
    <w:multiLevelType w:val="hybridMultilevel"/>
    <w:lvl w:ilvl="0">
      <w:lvlJc w:val="left"/>
      <w:lvlText w:val="7"/>
      <w:numFmt w:val="bullet"/>
      <w:start w:val="1"/>
    </w:lvl>
  </w:abstractNum>
  <w:abstractNum w:abstractNumId="17">
    <w:nsid w:val="257130A3"/>
    <w:multiLevelType w:val="hybridMultilevel"/>
    <w:lvl w:ilvl="0">
      <w:lvlJc w:val="left"/>
      <w:lvlText w:val="8"/>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0"/>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2023-08-24T05:21:05Z</dcterms:created>
  <dcterms:modified xsi:type="dcterms:W3CDTF">2023-08-24T05:21:05Z</dcterms:modified>
</cp:coreProperties>
</file>