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September, 2025.</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4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170" w:lineRule="exact"/>
        <w:rPr>
          <w:sz w:val="24"/>
          <w:szCs w:val="24"/>
          <w:color w:val="auto"/>
        </w:rPr>
      </w:pPr>
    </w:p>
    <w:p>
      <w:pPr>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99.1 of this Form 6-K of Cybin Inc. (the "Company") is hereby incorporated by reference into the Registration Statement on Form F-10 (</w:t>
      </w:r>
      <w:hyperlink r:id="rId9">
        <w:r>
          <w:rPr>
            <w:rFonts w:ascii="Times New Roman" w:cs="Times New Roman" w:eastAsia="Times New Roman" w:hAnsi="Times New Roman"/>
            <w:sz w:val="22"/>
            <w:szCs w:val="22"/>
            <w:u w:val="single" w:color="auto"/>
            <w:color w:val="0000EE"/>
          </w:rPr>
          <w:t>File No. 333-289139</w:t>
        </w:r>
      </w:hyperlink>
      <w:r>
        <w:rPr>
          <w:rFonts w:ascii="Times New Roman" w:cs="Times New Roman" w:eastAsia="Times New Roman" w:hAnsi="Times New Roman"/>
          <w:sz w:val="22"/>
          <w:szCs w:val="22"/>
          <w:color w:val="auto"/>
        </w:rPr>
        <w:t>) of the Company, as amended or supplemented.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CYBIN INC.</w:t>
            </w:r>
          </w:p>
        </w:tc>
        <w:tc>
          <w:tcPr>
            <w:tcW w:w="40" w:type="dxa"/>
            <w:vAlign w:val="bottom"/>
          </w:tcPr>
          <w:p>
            <w:pPr>
              <w:spacing w:after="0"/>
              <w:rPr>
                <w:sz w:val="19"/>
                <w:szCs w:val="19"/>
                <w:color w:val="auto"/>
              </w:rPr>
            </w:pPr>
          </w:p>
        </w:tc>
      </w:tr>
      <w:tr>
        <w:trPr>
          <w:trHeight w:val="234"/>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c>
          <w:tcPr>
            <w:tcW w:w="40" w:type="dxa"/>
            <w:vAlign w:val="bottom"/>
          </w:tcPr>
          <w:p>
            <w:pPr>
              <w:spacing w:after="0"/>
              <w:rPr>
                <w:sz w:val="20"/>
                <w:szCs w:val="20"/>
                <w:color w:val="auto"/>
              </w:rPr>
            </w:pP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2025</w:t>
            </w: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Greg Cavers</w:t>
            </w:r>
          </w:p>
        </w:tc>
        <w:tc>
          <w:tcPr>
            <w:tcW w:w="40" w:type="dxa"/>
            <w:vAlign w:val="bottom"/>
          </w:tcPr>
          <w:p>
            <w:pPr>
              <w:spacing w:after="0"/>
              <w:rPr>
                <w:sz w:val="24"/>
                <w:szCs w:val="24"/>
                <w:color w:val="auto"/>
              </w:rPr>
            </w:pPr>
          </w:p>
        </w:tc>
      </w:tr>
      <w:tr>
        <w:trPr>
          <w:trHeight w:val="191"/>
        </w:trPr>
        <w:tc>
          <w:tcPr>
            <w:tcW w:w="5640" w:type="dxa"/>
            <w:vAlign w:val="bottom"/>
          </w:tcPr>
          <w:p>
            <w:pPr>
              <w:spacing w:after="0"/>
              <w:rPr>
                <w:sz w:val="16"/>
                <w:szCs w:val="16"/>
                <w:color w:val="auto"/>
              </w:rPr>
            </w:pPr>
          </w:p>
        </w:tc>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Greg Cavers</w:t>
            </w:r>
          </w:p>
        </w:tc>
        <w:tc>
          <w:tcPr>
            <w:tcW w:w="40" w:type="dxa"/>
            <w:vAlign w:val="bottom"/>
          </w:tcPr>
          <w:p>
            <w:pPr>
              <w:spacing w:after="0"/>
              <w:rPr>
                <w:sz w:val="16"/>
                <w:szCs w:val="16"/>
                <w:color w:val="auto"/>
              </w:rPr>
            </w:pPr>
          </w:p>
        </w:tc>
      </w:tr>
      <w:tr>
        <w:trPr>
          <w:trHeight w:val="234"/>
        </w:trPr>
        <w:tc>
          <w:tcPr>
            <w:tcW w:w="564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5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5640" w:type="dxa"/>
            <w:vAlign w:val="bottom"/>
            <w:shd w:val="clear" w:color="auto" w:fill="000000"/>
          </w:tcPr>
          <w:p>
            <w:pPr>
              <w:spacing w:after="0"/>
              <w:rPr>
                <w:sz w:val="6"/>
                <w:szCs w:val="6"/>
                <w:color w:val="auto"/>
              </w:rPr>
            </w:pPr>
          </w:p>
        </w:tc>
        <w:tc>
          <w:tcPr>
            <w:tcW w:w="520" w:type="dxa"/>
            <w:vAlign w:val="bottom"/>
            <w:shd w:val="clear" w:color="auto" w:fill="000000"/>
          </w:tcPr>
          <w:p>
            <w:pPr>
              <w:spacing w:after="0"/>
              <w:rPr>
                <w:sz w:val="6"/>
                <w:szCs w:val="6"/>
                <w:color w:val="auto"/>
              </w:rPr>
            </w:pPr>
          </w:p>
        </w:tc>
        <w:tc>
          <w:tcPr>
            <w:tcW w:w="50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Consent of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3002915</wp:posOffset>
            </wp:positionH>
            <wp:positionV relativeFrom="page">
              <wp:posOffset>226060</wp:posOffset>
            </wp:positionV>
            <wp:extent cx="154305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t>September 17,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Sirs/Mesdames:</w:t>
      </w:r>
    </w:p>
    <w:p>
      <w:pPr>
        <w:spacing w:after="0" w:line="171" w:lineRule="exact"/>
        <w:rPr>
          <w:sz w:val="20"/>
          <w:szCs w:val="20"/>
          <w:color w:val="auto"/>
        </w:rPr>
      </w:pPr>
    </w:p>
    <w:p>
      <w:pPr>
        <w:ind w:left="1160" w:right="100" w:hanging="1159"/>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 Prospectus Supplements each dated September 17, 2025 to the Short Form Base Shelf Prospectus dated September 17, 2025 (collectively, the "</w:t>
      </w:r>
      <w:r>
        <w:rPr>
          <w:rFonts w:ascii="Times New Roman" w:cs="Times New Roman" w:eastAsia="Times New Roman" w:hAnsi="Times New Roman"/>
          <w:sz w:val="18"/>
          <w:szCs w:val="18"/>
          <w:b w:val="1"/>
          <w:bCs w:val="1"/>
          <w:color w:val="auto"/>
        </w:rPr>
        <w:t>Prospectus Supplements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hereby consent to the reference to our firm name under the headings "Experts" and "Documents Filed as Part of the Registration Statement" in the Prospectus Supplements, which form part of the registration statement on Form F-10, as amended (File No. 333-289139), filed by the Company with the United States Securities and Exchange Commission and to the reference to our advice under the heading "Enforcement of Civil Liabilities by U.S. Investors".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Yours very truly,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(signed)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757555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399415</wp:posOffset>
            </wp:positionV>
            <wp:extent cx="621538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215380" cy="248920"/>
                    </a:xfrm>
                    <a:prstGeom prst="rect">
                      <a:avLst/>
                    </a:prstGeom>
                    <a:noFill/>
                  </pic:spPr>
                </pic:pic>
              </a:graphicData>
            </a:graphic>
          </wp:anchor>
        </w:drawing>
      </w:r>
    </w:p>
    <w:sectPr>
      <w:pgSz w:w="11900" w:h="16838" w:orient="portrait"/>
      <w:cols w:equalWidth="0" w:num="1">
        <w:col w:w="11240"/>
      </w:cols>
      <w:pgMar w:left="320" w:top="12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jpeg"/><Relationship Id="rId9" Type="http://schemas.openxmlformats.org/officeDocument/2006/relationships/hyperlink" Target="http://www.sec.gov/Archives/edgar/data/1833141/000106299325015680/formf10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2025-09-18T05:17:11Z</dcterms:created>
  <dcterms:modified xsi:type="dcterms:W3CDTF">2025-09-18T05:17:11Z</dcterms:modified>
</cp:coreProperties>
</file>