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81"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March 2,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News Release dated March 2, 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to Participate in the Oppenheimer 32</w:t>
      </w:r>
      <w:r>
        <w:rPr>
          <w:rFonts w:ascii="Arial" w:cs="Arial" w:eastAsia="Arial" w:hAnsi="Arial"/>
          <w:sz w:val="32"/>
          <w:szCs w:val="32"/>
          <w:b w:val="1"/>
          <w:bCs w:val="1"/>
          <w:color w:val="auto"/>
          <w:vertAlign w:val="superscript"/>
        </w:rPr>
        <w:t>nd</w:t>
      </w:r>
      <w:r>
        <w:rPr>
          <w:rFonts w:ascii="Arial" w:cs="Arial" w:eastAsia="Arial" w:hAnsi="Arial"/>
          <w:sz w:val="25"/>
          <w:szCs w:val="25"/>
          <w:b w:val="1"/>
          <w:bCs w:val="1"/>
          <w:color w:val="auto"/>
        </w:rPr>
        <w:t xml:space="preserve"> Annual Healthcare Conference</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March 2,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is pleased to announce that Doug Drysdale, Cybin’s Chief Executive Officer, will participate in a fireside chat at the Oppenheimer 32nd Annual Healthcare Conference on Wednesday, March 16, 2022 at 8:40 a.m. ET.</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 xml:space="preserve">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access the webcast. 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2022-03-02T13:52:57Z</dcterms:created>
  <dcterms:modified xsi:type="dcterms:W3CDTF">2022-03-02T13:52:57Z</dcterms:modified>
</cp:coreProperties>
</file>