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15,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January 15,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2985770</wp:posOffset>
            </wp:positionH>
            <wp:positionV relativeFrom="page">
              <wp:posOffset>1066165</wp:posOffset>
            </wp:positionV>
            <wp:extent cx="1585595"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8559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301" w:lineRule="auto"/>
        <w:rPr>
          <w:sz w:val="20"/>
          <w:szCs w:val="20"/>
          <w:color w:val="auto"/>
        </w:rPr>
      </w:pPr>
      <w:r>
        <w:rPr>
          <w:rFonts w:ascii="Arial" w:cs="Arial" w:eastAsia="Arial" w:hAnsi="Arial"/>
          <w:sz w:val="25"/>
          <w:szCs w:val="25"/>
          <w:b w:val="1"/>
          <w:bCs w:val="1"/>
          <w:color w:val="auto"/>
        </w:rPr>
        <w:t>Cybin Launches Strategic Clinical Site Partnerships to Support PARADIGM, a Multinational Pivotal Phase 3 Program Evaluating CYB003 for the Adjunctive Treatment of Major Depressive Disorder</w:t>
      </w:r>
    </w:p>
    <w:p>
      <w:pPr>
        <w:spacing w:after="0" w:line="163" w:lineRule="exact"/>
        <w:rPr>
          <w:sz w:val="20"/>
          <w:szCs w:val="20"/>
          <w:color w:val="auto"/>
        </w:rPr>
      </w:pPr>
    </w:p>
    <w:p>
      <w:pPr>
        <w:ind w:left="200" w:hanging="130"/>
        <w:spacing w:after="0"/>
        <w:tabs>
          <w:tab w:leader="none" w:pos="20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Strategic Partnership Agreements will facilitate collaboration among sites, cultivate long term partnerships, enhance efficiency</w:t>
      </w:r>
    </w:p>
    <w:p>
      <w:pPr>
        <w:spacing w:after="0" w:line="51" w:lineRule="exact"/>
        <w:rPr>
          <w:rFonts w:ascii="Arial" w:cs="Arial" w:eastAsia="Arial" w:hAnsi="Arial"/>
          <w:sz w:val="19"/>
          <w:szCs w:val="19"/>
          <w:i w:val="1"/>
          <w:iCs w:val="1"/>
          <w:color w:val="auto"/>
        </w:rPr>
      </w:pPr>
    </w:p>
    <w:p>
      <w:pPr>
        <w:ind w:left="31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in trial operations, and improve overall site performance -</w:t>
      </w:r>
    </w:p>
    <w:p>
      <w:pPr>
        <w:spacing w:after="0" w:line="269" w:lineRule="exact"/>
        <w:rPr>
          <w:rFonts w:ascii="Arial" w:cs="Arial" w:eastAsia="Arial" w:hAnsi="Arial"/>
          <w:sz w:val="19"/>
          <w:szCs w:val="19"/>
          <w:i w:val="1"/>
          <w:iCs w:val="1"/>
          <w:color w:val="auto"/>
        </w:rPr>
      </w:pPr>
    </w:p>
    <w:p>
      <w:pPr>
        <w:ind w:left="1020" w:hanging="117"/>
        <w:spacing w:after="0"/>
        <w:tabs>
          <w:tab w:leader="none" w:pos="10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First program member is Segal Trials, a preferred provider for leading pharmaceutical companies globally -</w:t>
      </w:r>
    </w:p>
    <w:p>
      <w:pPr>
        <w:spacing w:after="0" w:line="283" w:lineRule="exact"/>
        <w:rPr>
          <w:rFonts w:ascii="Arial" w:cs="Arial" w:eastAsia="Arial" w:hAnsi="Arial"/>
          <w:sz w:val="20"/>
          <w:szCs w:val="20"/>
          <w:i w:val="1"/>
          <w:iCs w:val="1"/>
          <w:color w:val="auto"/>
        </w:rPr>
      </w:pPr>
    </w:p>
    <w:p>
      <w:pPr>
        <w:ind w:left="160" w:hanging="112"/>
        <w:spacing w:after="0"/>
        <w:tabs>
          <w:tab w:leader="none" w:pos="1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Phase 2 data confirmed that two 16 mg doses of CYB003 administered three weeks apart provides remission from depression</w:t>
      </w:r>
    </w:p>
    <w:p>
      <w:pPr>
        <w:spacing w:after="0" w:line="42" w:lineRule="exact"/>
        <w:rPr>
          <w:rFonts w:ascii="Arial" w:cs="Arial" w:eastAsia="Arial" w:hAnsi="Arial"/>
          <w:sz w:val="19"/>
          <w:szCs w:val="19"/>
          <w:i w:val="1"/>
          <w:iCs w:val="1"/>
          <w:color w:val="auto"/>
        </w:rPr>
      </w:pPr>
    </w:p>
    <w:p>
      <w:pPr>
        <w:ind w:left="36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symptoms for 12 months in 71% of patients -</w:t>
      </w:r>
    </w:p>
    <w:p>
      <w:pPr>
        <w:spacing w:after="0" w:line="31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15,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platform company committed to revolutionizing mental healthcare by developing new and innovative next-generation treatment options, today announced the launch of its first strategic partnership agreement (“SPA”) with Segal Trials in furtherance of Cybin’s multinational pivotal Phase 3 program evaluating CYB003 for the adjunctive treatment of Major Depressive Disorder (“MDD”).</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Segal Trials, the first program member, is a privately held company with a network of six research sites throughout South Florida. Segal Trials has extensive experience conducting research trials with an emphasis on psychiatry, neurology, addiction and psychedelics research.</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“Following the release of our remarkable Phase 2 data, which demonstrated that two 16-mg doses of CYB003 administered three weeks apart provided remission from depression symptoms for 12 months for the majority of patients, we are excited that our Phase 3 multinational pivotal program is underway,” said Doug Drysdale, Chief Executive Officer of Cybin. “We intend to enroll approximately 550 patients across more than 40 clinical sites in the United States and Europe and believe that the engagement with Segal Trails, and other SPAs with leading clinical partners, will advance our clinical program on an expedited basis. Our goal is to facilitate collaboration among sites and site networks, cultivate long-term partnerships, enhance efficiency in trial operations, and improve overall site performance. Close cooperation and coordination between site staff and Cybin will ensure quality standards, mitigate potential</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20"/>
          <w:szCs w:val="20"/>
          <w:color w:val="auto"/>
        </w:rPr>
        <w:t>risks, and enhance efficiency through economies of scale. We see this as a model to support all current and future trials within the Cybin pipeline, and welcome Segal Trials as our first program member,” concluded Drysdale.</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“We are thrilled to collaborate with Cybin on its innovative Site Partnership Program. This partnership will accelerate learning at new sites around the country, enabling more research and could ultimately expedite the approval process for CYB003,” said Bonnie Segal, President of Segal Trials.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 generalized anxiety disorder. The company also has a research pipeline of investigational, 5-HT-receptor focused compounds.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 xml:space="preserve">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enroll patients across clinical sites in the United States and Europe; </w:t>
      </w:r>
      <w:r>
        <w:rPr>
          <w:rFonts w:ascii="Arial" w:cs="Arial" w:eastAsia="Arial" w:hAnsi="Arial"/>
          <w:sz w:val="20"/>
          <w:szCs w:val="20"/>
          <w:color w:val="auto"/>
        </w:rPr>
        <w:t>the</w:t>
      </w:r>
      <w:r>
        <w:rPr>
          <w:rFonts w:ascii="Arial" w:cs="Arial" w:eastAsia="Arial" w:hAnsi="Arial"/>
          <w:sz w:val="19"/>
          <w:szCs w:val="19"/>
          <w:color w:val="auto"/>
        </w:rPr>
        <w:t xml:space="preserve"> potential reduction in drug</w:t>
      </w:r>
    </w:p>
    <w:p>
      <w:pPr>
        <w:spacing w:after="0" w:line="4"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 xml:space="preserve">development timeline afforded by its SPA </w:t>
      </w:r>
      <w:r>
        <w:rPr>
          <w:rFonts w:ascii="Arial" w:cs="Arial" w:eastAsia="Arial" w:hAnsi="Arial"/>
          <w:sz w:val="21"/>
          <w:szCs w:val="21"/>
          <w:color w:val="auto"/>
        </w:rPr>
        <w:t>program;</w:t>
      </w:r>
      <w:r>
        <w:rPr>
          <w:rFonts w:ascii="Arial" w:cs="Arial" w:eastAsia="Arial" w:hAnsi="Arial"/>
          <w:sz w:val="20"/>
          <w:szCs w:val="20"/>
          <w:color w:val="auto"/>
        </w:rPr>
        <w:t xml:space="preserve"> and the Company’s plans to engineer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2024 and the Company’s annual information form for the year ended March 31, 2024, which are available under the Company's profile on </w:t>
      </w:r>
      <w:r>
        <w:rPr>
          <w:rFonts w:ascii="Arial" w:cs="Arial" w:eastAsia="Arial" w:hAnsi="Arial"/>
          <w:sz w:val="19"/>
          <w:szCs w:val="19"/>
          <w:u w:val="single" w:color="auto"/>
          <w:color w:val="467886"/>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467886"/>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2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 </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467886"/>
        </w:rPr>
        <w:t>irteam@cybin.com</w:t>
      </w:r>
      <w:r>
        <w:rPr>
          <w:rFonts w:ascii="Arial" w:cs="Arial" w:eastAsia="Arial" w:hAnsi="Arial"/>
          <w:sz w:val="19"/>
          <w:szCs w:val="19"/>
          <w:color w:val="467886"/>
        </w:rPr>
        <w:t xml:space="preserve"> </w:t>
      </w:r>
      <w:r>
        <w:rPr>
          <w:rFonts w:ascii="Arial" w:cs="Arial" w:eastAsia="Arial" w:hAnsi="Arial"/>
          <w:sz w:val="19"/>
          <w:szCs w:val="19"/>
          <w:color w:val="000000"/>
        </w:rPr>
        <w:t>– or –</w:t>
      </w:r>
      <w:r>
        <w:rPr>
          <w:rFonts w:ascii="Arial" w:cs="Arial" w:eastAsia="Arial" w:hAnsi="Arial"/>
          <w:sz w:val="19"/>
          <w:szCs w:val="19"/>
          <w:color w:val="467886"/>
        </w:rPr>
        <w:t xml:space="preserve"> </w:t>
      </w:r>
      <w:r>
        <w:rPr>
          <w:rFonts w:ascii="Arial" w:cs="Arial" w:eastAsia="Arial" w:hAnsi="Arial"/>
          <w:sz w:val="19"/>
          <w:szCs w:val="19"/>
          <w:u w:val="single" w:color="auto"/>
          <w:color w:val="467886"/>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2025-01-15T14:38:45Z</dcterms:created>
  <dcterms:modified xsi:type="dcterms:W3CDTF">2025-01-15T14:38:45Z</dcterms:modified>
</cp:coreProperties>
</file>