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13a-16 OR 15d-16</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For the month of June, 2025.</w:t>
      </w:r>
    </w:p>
    <w:p>
      <w:pPr>
        <w:spacing w:after="0" w:line="8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001-40673</w:t>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Cybin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 King Street West, Suite 5600, Toronto, Ontario, M5X 1C9</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19" w:lineRule="exact"/>
        <w:rPr>
          <w:sz w:val="24"/>
          <w:szCs w:val="24"/>
          <w:color w:val="auto"/>
        </w:rPr>
      </w:pPr>
    </w:p>
    <w:p>
      <w:pPr>
        <w:spacing w:after="0" w:line="288" w:lineRule="exact"/>
        <w:rPr>
          <w:sz w:val="20"/>
          <w:szCs w:val="20"/>
          <w:color w:val="auto"/>
        </w:rPr>
      </w:pPr>
      <w:r>
        <w:rPr>
          <w:rFonts w:ascii="Times New Roman" w:cs="Times New Roman" w:eastAsia="Times New Roman" w:hAnsi="Times New Roman"/>
          <w:sz w:val="18"/>
          <w:szCs w:val="18"/>
          <w:color w:val="auto"/>
        </w:rPr>
        <w:t xml:space="preserve">Form 20-F </w:t>
      </w:r>
      <w:r>
        <w:rPr>
          <w:rFonts w:ascii="Times New Roman" w:cs="Times New Roman" w:eastAsia="Times New Roman" w:hAnsi="Times New Roman"/>
          <w:sz w:val="25"/>
          <w:szCs w:val="25"/>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89" w:lineRule="exact"/>
        <w:rPr>
          <w:sz w:val="24"/>
          <w:szCs w:val="24"/>
          <w:color w:val="auto"/>
        </w:rPr>
      </w:pPr>
    </w:p>
    <w:p>
      <w:pPr>
        <w:ind w:firstLine="64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99.1 of this Form 6-K of Cybin Inc. (the "Company") is hereby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333-284173</w:t>
        </w:r>
      </w:hyperlink>
      <w:r>
        <w:rPr>
          <w:rFonts w:ascii="Times New Roman" w:cs="Times New Roman" w:eastAsia="Times New Roman" w:hAnsi="Times New Roman"/>
          <w:sz w:val="18"/>
          <w:szCs w:val="18"/>
          <w:color w:val="auto"/>
        </w:rPr>
        <w:t>) of the Company, as amended or supplemented.</w:t>
      </w:r>
    </w:p>
    <w:p>
      <w:pPr>
        <w:spacing w:after="0" w:line="176" w:lineRule="exact"/>
        <w:rPr>
          <w:sz w:val="24"/>
          <w:szCs w:val="24"/>
          <w:color w:val="auto"/>
        </w:rPr>
      </w:pPr>
    </w:p>
    <w:p>
      <w:pPr>
        <w:ind w:firstLine="648"/>
        <w:spacing w:after="0" w:line="2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clarity, the news release furnished as Exhibit 99.2 of this Form 6-K of the Company is not incorporated by reference into the Registration Statement on Form F-10 (</w:t>
      </w:r>
      <w:hyperlink r:id="rId8">
        <w:r>
          <w:rPr>
            <w:rFonts w:ascii="Times New Roman" w:cs="Times New Roman" w:eastAsia="Times New Roman" w:hAnsi="Times New Roman"/>
            <w:sz w:val="18"/>
            <w:szCs w:val="18"/>
            <w:u w:val="single" w:color="auto"/>
            <w:color w:val="0000FF"/>
          </w:rPr>
          <w:t>File No. 333-284173</w:t>
        </w:r>
      </w:hyperlink>
      <w:r>
        <w:rPr>
          <w:rFonts w:ascii="Times New Roman" w:cs="Times New Roman" w:eastAsia="Times New Roman" w:hAnsi="Times New Roman"/>
          <w:sz w:val="18"/>
          <w:szCs w:val="18"/>
          <w:color w:val="auto"/>
        </w:rPr>
        <w:t>) of the Company, as amended or supplemented.</w:t>
      </w:r>
    </w:p>
    <w:p>
      <w:pPr>
        <w:sectPr>
          <w:pgSz w:w="11900" w:h="16838" w:orient="portrait"/>
          <w:cols w:equalWidth="0" w:num="1">
            <w:col w:w="11240"/>
          </w:cols>
          <w:pgMar w:left="320" w:top="1440" w:right="339" w:bottom="1440" w:gutter="0" w:footer="0" w:header="0"/>
        </w:sectPr>
      </w:pPr>
    </w:p>
    <w:bookmarkStart w:id="1" w:name="page2"/>
    <w:bookmarkEnd w:id="1"/>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94"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(Registrant)</w:t>
            </w:r>
          </w:p>
        </w:tc>
      </w:tr>
      <w:tr>
        <w:trPr>
          <w:trHeight w:val="520"/>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Date:   June 30, 2025</w:t>
            </w: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0920"/>
          </w:cols>
          <w:pgMar w:left="320" w:top="1413" w:right="65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99.1</w:t>
            </w:r>
          </w:p>
        </w:tc>
        <w:tc>
          <w:tcPr>
            <w:tcW w:w="2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News Release dated June 30, 2025</w:t>
            </w:r>
          </w:p>
        </w:tc>
      </w:tr>
      <w:tr>
        <w:trPr>
          <w:trHeight w:val="236"/>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99.2</w:t>
            </w:r>
          </w:p>
        </w:tc>
        <w:tc>
          <w:tcPr>
            <w:tcW w:w="25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News Release dated June 30, 2025</w:t>
            </w:r>
          </w:p>
        </w:tc>
      </w:tr>
    </w:tbl>
    <w:p>
      <w:pPr>
        <w:sectPr>
          <w:pgSz w:w="11900" w:h="16838" w:orient="portrait"/>
          <w:cols w:equalWidth="0" w:num="1">
            <w:col w:w="10119"/>
          </w:cols>
          <w:pgMar w:left="340" w:top="1413"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911860</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Cybin Reports Fiscal Year 2025 Financial Results and Recent Business Highlights</w:t>
      </w:r>
    </w:p>
    <w:p>
      <w:pPr>
        <w:spacing w:after="0" w:line="282" w:lineRule="exact"/>
        <w:rPr>
          <w:sz w:val="20"/>
          <w:szCs w:val="20"/>
          <w:color w:val="auto"/>
        </w:rPr>
      </w:pPr>
    </w:p>
    <w:p>
      <w:pPr>
        <w:jc w:val="both"/>
        <w:ind w:left="260" w:right="180" w:hanging="67"/>
        <w:spacing w:after="0" w:line="291" w:lineRule="auto"/>
        <w:tabs>
          <w:tab w:leader="none" w:pos="322" w:val="left"/>
        </w:tabs>
        <w:numPr>
          <w:ilvl w:val="0"/>
          <w:numId w:val="1"/>
        </w:numPr>
        <w:rPr>
          <w:rFonts w:ascii="Arial" w:cs="Arial" w:eastAsia="Arial" w:hAnsi="Arial"/>
          <w:sz w:val="19"/>
          <w:szCs w:val="19"/>
          <w:i w:val="1"/>
          <w:iCs w:val="1"/>
          <w:color w:val="auto"/>
        </w:rPr>
      </w:pPr>
      <w:r>
        <w:rPr>
          <w:rFonts w:ascii="Arial" w:cs="Arial" w:eastAsia="Arial" w:hAnsi="Arial"/>
          <w:sz w:val="19"/>
          <w:szCs w:val="19"/>
          <w:i w:val="1"/>
          <w:iCs w:val="1"/>
          <w:color w:val="auto"/>
        </w:rPr>
        <w:t>Dosing is underway in the Phase 3 CYB003 PARADIGM program which comprises two 12-week randomized, double-blind, placebo-controlled studies (APPROACH™ and EMBRACE™) and a long-term extension study (EXTEND), with anticipated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combined enrollment of approximately 550 patients</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p>
    <w:p>
      <w:pPr>
        <w:spacing w:after="0" w:line="221" w:lineRule="exact"/>
        <w:rPr>
          <w:sz w:val="20"/>
          <w:szCs w:val="20"/>
          <w:color w:val="auto"/>
        </w:rPr>
      </w:pPr>
    </w:p>
    <w:p>
      <w:pPr>
        <w:ind w:left="240" w:hanging="115"/>
        <w:spacing w:after="0"/>
        <w:tabs>
          <w:tab w:leader="none" w:pos="240" w:val="left"/>
        </w:tabs>
        <w:numPr>
          <w:ilvl w:val="0"/>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Strengthened commercial preparations and manufacturing capabilities through partnerships with Osmind and Thermo Fisher</w:t>
      </w:r>
    </w:p>
    <w:p>
      <w:pPr>
        <w:spacing w:after="0" w:line="31" w:lineRule="exact"/>
        <w:rPr>
          <w:rFonts w:ascii="Arial" w:cs="Arial" w:eastAsia="Arial" w:hAnsi="Arial"/>
          <w:sz w:val="20"/>
          <w:szCs w:val="20"/>
          <w:i w:val="1"/>
          <w:iCs w:val="1"/>
          <w:color w:val="auto"/>
        </w:rPr>
      </w:pPr>
    </w:p>
    <w:p>
      <w:pPr>
        <w:ind w:left="460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Scientific, respectively -</w:t>
      </w:r>
    </w:p>
    <w:p>
      <w:pPr>
        <w:spacing w:after="0" w:line="278" w:lineRule="exact"/>
        <w:rPr>
          <w:rFonts w:ascii="Arial" w:cs="Arial" w:eastAsia="Arial" w:hAnsi="Arial"/>
          <w:sz w:val="20"/>
          <w:szCs w:val="20"/>
          <w:i w:val="1"/>
          <w:iCs w:val="1"/>
          <w:color w:val="auto"/>
        </w:rPr>
      </w:pPr>
    </w:p>
    <w:p>
      <w:pPr>
        <w:ind w:left="1020" w:hanging="130"/>
        <w:spacing w:after="0"/>
        <w:tabs>
          <w:tab w:leader="none" w:pos="1020" w:val="left"/>
        </w:tabs>
        <w:numPr>
          <w:ilvl w:val="2"/>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APPROACH expects to enroll 220 participants at approximately 45 clinical sites across the United States</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p>
    <w:p>
      <w:pPr>
        <w:spacing w:after="0" w:line="212" w:lineRule="exact"/>
        <w:rPr>
          <w:rFonts w:ascii="Arial" w:cs="Arial" w:eastAsia="Arial" w:hAnsi="Arial"/>
          <w:sz w:val="20"/>
          <w:szCs w:val="20"/>
          <w:i w:val="1"/>
          <w:iCs w:val="1"/>
          <w:color w:val="auto"/>
        </w:rPr>
      </w:pPr>
    </w:p>
    <w:p>
      <w:pPr>
        <w:ind w:left="320" w:hanging="118"/>
        <w:spacing w:after="0"/>
        <w:tabs>
          <w:tab w:leader="none" w:pos="320" w:val="left"/>
        </w:tabs>
        <w:numPr>
          <w:ilvl w:val="1"/>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Initiation of second CYB003 pivotal study EMBRACE and completion of CYB004 Phase 2 study in general anxiety disorder</w:t>
      </w:r>
    </w:p>
    <w:p>
      <w:pPr>
        <w:spacing w:after="0" w:line="40" w:lineRule="exact"/>
        <w:rPr>
          <w:rFonts w:ascii="Arial" w:cs="Arial" w:eastAsia="Arial" w:hAnsi="Arial"/>
          <w:sz w:val="20"/>
          <w:szCs w:val="20"/>
          <w:i w:val="1"/>
          <w:iCs w:val="1"/>
          <w:color w:val="auto"/>
        </w:rPr>
      </w:pPr>
    </w:p>
    <w:p>
      <w:pPr>
        <w:ind w:left="4360"/>
        <w:spacing w:after="0"/>
        <w:rPr>
          <w:rFonts w:ascii="Arial" w:cs="Arial" w:eastAsia="Arial" w:hAnsi="Arial"/>
          <w:sz w:val="20"/>
          <w:szCs w:val="20"/>
          <w:i w:val="1"/>
          <w:iCs w:val="1"/>
          <w:color w:val="auto"/>
        </w:rPr>
      </w:pPr>
      <w:r>
        <w:rPr>
          <w:rFonts w:ascii="Arial" w:cs="Arial" w:eastAsia="Arial" w:hAnsi="Arial"/>
          <w:sz w:val="20"/>
          <w:szCs w:val="20"/>
          <w:i w:val="1"/>
          <w:iCs w:val="1"/>
          <w:color w:val="auto"/>
        </w:rPr>
        <w:t>expected around mid-2025</w:t>
      </w:r>
      <w:r>
        <w:rPr>
          <w:rFonts w:ascii="Arial" w:cs="Arial" w:eastAsia="Arial" w:hAnsi="Arial"/>
          <w:sz w:val="25"/>
          <w:szCs w:val="25"/>
          <w:i w:val="1"/>
          <w:iCs w:val="1"/>
          <w:color w:val="auto"/>
          <w:vertAlign w:val="superscript"/>
        </w:rPr>
        <w:t>1</w:t>
      </w:r>
      <w:r>
        <w:rPr>
          <w:rFonts w:ascii="Arial" w:cs="Arial" w:eastAsia="Arial" w:hAnsi="Arial"/>
          <w:sz w:val="20"/>
          <w:szCs w:val="20"/>
          <w:i w:val="1"/>
          <w:iCs w:val="1"/>
          <w:color w:val="auto"/>
        </w:rPr>
        <w:t xml:space="preserve"> -</w:t>
      </w:r>
    </w:p>
    <w:p>
      <w:pPr>
        <w:spacing w:after="0" w:line="212" w:lineRule="exact"/>
        <w:rPr>
          <w:rFonts w:ascii="Arial" w:cs="Arial" w:eastAsia="Arial" w:hAnsi="Arial"/>
          <w:sz w:val="20"/>
          <w:szCs w:val="20"/>
          <w:i w:val="1"/>
          <w:iCs w:val="1"/>
          <w:color w:val="auto"/>
        </w:rPr>
      </w:pPr>
    </w:p>
    <w:p>
      <w:pPr>
        <w:ind w:left="3480" w:hanging="116"/>
        <w:spacing w:after="0"/>
        <w:tabs>
          <w:tab w:leader="none" w:pos="3480" w:val="left"/>
        </w:tabs>
        <w:numPr>
          <w:ilvl w:val="3"/>
          <w:numId w:val="2"/>
        </w:numPr>
        <w:rPr>
          <w:rFonts w:ascii="Arial" w:cs="Arial" w:eastAsia="Arial" w:hAnsi="Arial"/>
          <w:sz w:val="20"/>
          <w:szCs w:val="20"/>
          <w:i w:val="1"/>
          <w:iCs w:val="1"/>
          <w:color w:val="auto"/>
        </w:rPr>
      </w:pPr>
      <w:r>
        <w:rPr>
          <w:rFonts w:ascii="Arial" w:cs="Arial" w:eastAsia="Arial" w:hAnsi="Arial"/>
          <w:sz w:val="20"/>
          <w:szCs w:val="20"/>
          <w:i w:val="1"/>
          <w:iCs w:val="1"/>
          <w:color w:val="auto"/>
        </w:rPr>
        <w:t>Cash totaled C$135 million as of March 31, 2025 -</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20"/>
          <w:szCs w:val="20"/>
          <w:i w:val="1"/>
          <w:iCs w:val="1"/>
          <w:color w:val="auto"/>
        </w:rPr>
        <w:t>This news release constitutes a “designated news release” for the purposes of Cybin’s prospectus supplement dated February 10, 2025, to its short form base shelf prospectus dated August 17, 2023, as amended December 22, 2023, April 8, 2024, and January 6, 2025.</w:t>
      </w:r>
    </w:p>
    <w:p>
      <w:pPr>
        <w:spacing w:after="0" w:line="190"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June 30, 2025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(Cboe Canada CA:CYBN) (“</w:t>
      </w:r>
      <w:r>
        <w:rPr>
          <w:rFonts w:ascii="Arial" w:cs="Arial" w:eastAsia="Arial" w:hAnsi="Arial"/>
          <w:sz w:val="20"/>
          <w:szCs w:val="20"/>
          <w:b w:val="1"/>
          <w:bCs w:val="1"/>
          <w:color w:val="auto"/>
        </w:rPr>
        <w:t>Cybin</w:t>
      </w:r>
      <w:r>
        <w:rPr>
          <w:rFonts w:ascii="Arial" w:cs="Arial" w:eastAsia="Arial" w:hAnsi="Arial"/>
          <w:sz w:val="20"/>
          <w:szCs w:val="20"/>
          <w:color w:val="auto"/>
        </w:rPr>
        <w:t>” or the</w:t>
      </w:r>
      <w:r>
        <w:rPr>
          <w:rFonts w:ascii="Arial" w:cs="Arial" w:eastAsia="Arial" w:hAnsi="Arial"/>
          <w:sz w:val="20"/>
          <w:szCs w:val="20"/>
          <w:b w:val="1"/>
          <w:bCs w:val="1"/>
          <w:color w:val="auto"/>
        </w:rPr>
        <w:t xml:space="preserve"> </w:t>
      </w: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a clinical-stage breakthrough neuropsychiatry company committed to revolutionizing mental healthcare by developing new and innovative next-generation treatment options, today reported audited financial results for its fiscal year ended March 31, 2025, and recent business highlights.</w:t>
      </w:r>
    </w:p>
    <w:p>
      <w:pPr>
        <w:spacing w:after="0" w:line="194" w:lineRule="exact"/>
        <w:rPr>
          <w:sz w:val="20"/>
          <w:szCs w:val="20"/>
          <w:color w:val="auto"/>
        </w:rPr>
      </w:pPr>
    </w:p>
    <w:p>
      <w:pPr>
        <w:jc w:val="both"/>
        <w:spacing w:after="0" w:line="287" w:lineRule="auto"/>
        <w:rPr>
          <w:sz w:val="20"/>
          <w:szCs w:val="20"/>
          <w:color w:val="auto"/>
        </w:rPr>
      </w:pPr>
      <w:r>
        <w:rPr>
          <w:rFonts w:ascii="Arial" w:cs="Arial" w:eastAsia="Arial" w:hAnsi="Arial"/>
          <w:sz w:val="20"/>
          <w:szCs w:val="20"/>
          <w:color w:val="auto"/>
        </w:rPr>
        <w:t>“During the past 12 months, we have continued to focus on building out the strong foundation that underpins the clinical and regulatory milestones we anticipate in the coming year,” said Doug Drysdale, Chief Executive Officer of Cybin. “Heartened by U.S. Food and Drug Administration Commissioner Dr. Martin Makary’s recent comments in support of prioritizing this innovative scientific work, as well as the burgeoning government and media attention the field is</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314" w:lineRule="auto"/>
        <w:rPr>
          <w:sz w:val="20"/>
          <w:szCs w:val="20"/>
          <w:color w:val="auto"/>
        </w:rPr>
      </w:pPr>
      <w:r>
        <w:rPr>
          <w:rFonts w:ascii="Arial" w:cs="Arial" w:eastAsia="Arial" w:hAnsi="Arial"/>
          <w:sz w:val="20"/>
          <w:szCs w:val="20"/>
          <w:color w:val="auto"/>
        </w:rPr>
        <w:t>receiving, we remain steadfastly committed to advancing our two lead programs, CYB003 and CYB004, toward potential approval and commercialization.”</w:t>
      </w:r>
    </w:p>
    <w:p>
      <w:pPr>
        <w:spacing w:after="0" w:line="168"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“Developing novel therapies to address the unmet need in mental health care requires dedication, scientific rigor, and the integration of expertise across domains. To help us accelerate our clinical goals, we have entered into several strategic collaborations, including with Osmind and Thermo Fisher Scientific, and have formed strategic partnership agreements among our clinical trial sites. In this way, we leverage the competencies, resources, and infrastructures of these key stakeholders with a goal of expediting the development pathway. Cybin's lead clinical programs – CYB003, our Phase 3 pivotal program for the adjunctive treatment of major depressive disorder, and CYB004, our Phase 2 program in generalized anxiety disorder – continue to advance, and we look forward to sharing future updates.”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Recent Business and Pipeline Highlights:</w:t>
      </w:r>
    </w:p>
    <w:p>
      <w:pPr>
        <w:spacing w:after="0" w:line="270" w:lineRule="exact"/>
        <w:rPr>
          <w:sz w:val="20"/>
          <w:szCs w:val="20"/>
          <w:color w:val="auto"/>
        </w:rPr>
      </w:pPr>
    </w:p>
    <w:p>
      <w:pPr>
        <w:jc w:val="both"/>
        <w:spacing w:after="0" w:line="292" w:lineRule="auto"/>
        <w:rPr>
          <w:sz w:val="20"/>
          <w:szCs w:val="20"/>
          <w:color w:val="auto"/>
        </w:rPr>
      </w:pPr>
      <w:r>
        <w:rPr>
          <w:rFonts w:ascii="Arial" w:cs="Arial" w:eastAsia="Arial" w:hAnsi="Arial"/>
          <w:sz w:val="20"/>
          <w:szCs w:val="20"/>
          <w:b w:val="1"/>
          <w:bCs w:val="1"/>
          <w:color w:val="auto"/>
        </w:rPr>
        <w:t xml:space="preserve">Announced additional strategic clinical site partnerships (“SPAs”) to support PARADIGM. </w:t>
      </w:r>
      <w:r>
        <w:rPr>
          <w:rFonts w:ascii="Arial" w:cs="Arial" w:eastAsia="Arial" w:hAnsi="Arial"/>
          <w:sz w:val="20"/>
          <w:szCs w:val="20"/>
          <w:color w:val="auto"/>
        </w:rPr>
        <w:t>The SPAs are designed to</w:t>
      </w:r>
      <w:r>
        <w:rPr>
          <w:rFonts w:ascii="Arial" w:cs="Arial" w:eastAsia="Arial" w:hAnsi="Arial"/>
          <w:sz w:val="20"/>
          <w:szCs w:val="20"/>
          <w:b w:val="1"/>
          <w:bCs w:val="1"/>
          <w:color w:val="auto"/>
        </w:rPr>
        <w:t xml:space="preserve"> </w:t>
      </w:r>
      <w:r>
        <w:rPr>
          <w:rFonts w:ascii="Arial" w:cs="Arial" w:eastAsia="Arial" w:hAnsi="Arial"/>
          <w:sz w:val="20"/>
          <w:szCs w:val="20"/>
          <w:color w:val="auto"/>
        </w:rPr>
        <w:t>facilitate collaboration among sites, cultivate long-term partnerships, enhance efficiency in trial operations, and improve overall site performance.</w:t>
      </w:r>
    </w:p>
    <w:p>
      <w:pPr>
        <w:spacing w:after="0" w:line="20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b w:val="1"/>
          <w:bCs w:val="1"/>
          <w:color w:val="auto"/>
        </w:rPr>
        <w:t xml:space="preserve">Engaged Thermo Fisher Scientific, a world-class manufacturing partner, to provide U.S.-based manufacturing for the CYB003 program. </w:t>
      </w:r>
      <w:r>
        <w:rPr>
          <w:rFonts w:ascii="Arial" w:cs="Arial" w:eastAsia="Arial" w:hAnsi="Arial"/>
          <w:sz w:val="20"/>
          <w:szCs w:val="20"/>
          <w:color w:val="auto"/>
        </w:rPr>
        <w:t>Thermo Fisher Scientific offers leading Contract Development and Manufacturing Organization services and</w:t>
      </w:r>
      <w:r>
        <w:rPr>
          <w:rFonts w:ascii="Arial" w:cs="Arial" w:eastAsia="Arial" w:hAnsi="Arial"/>
          <w:sz w:val="20"/>
          <w:szCs w:val="20"/>
          <w:b w:val="1"/>
          <w:bCs w:val="1"/>
          <w:color w:val="auto"/>
        </w:rPr>
        <w:t xml:space="preserve"> </w:t>
      </w:r>
      <w:r>
        <w:rPr>
          <w:rFonts w:ascii="Arial" w:cs="Arial" w:eastAsia="Arial" w:hAnsi="Arial"/>
          <w:sz w:val="20"/>
          <w:szCs w:val="20"/>
          <w:color w:val="auto"/>
        </w:rPr>
        <w:t>has a successful track record across the manufacturing spectrum. Cybin broadened its existing strong relationship with Thermo Fisher Scientific to include the development of both the drug substance and drug product capsules for CYB003. Cybin has engaged Thermo Fisher Scientific as its manufacturing partner in the United States, including partnering with Thermo Fisher Scientific’s pharma services sites in Florence, South Carolina, for Phase 3 clinical supply and future commercialization, and Cincinnati, Ohio, for Phase 3 capsule production.</w:t>
      </w:r>
    </w:p>
    <w:p>
      <w:pPr>
        <w:spacing w:after="0" w:line="201" w:lineRule="exact"/>
        <w:rPr>
          <w:sz w:val="20"/>
          <w:szCs w:val="20"/>
          <w:color w:val="auto"/>
        </w:rPr>
      </w:pPr>
    </w:p>
    <w:p>
      <w:pPr>
        <w:jc w:val="both"/>
        <w:spacing w:after="0" w:line="288" w:lineRule="auto"/>
        <w:rPr>
          <w:sz w:val="20"/>
          <w:szCs w:val="20"/>
          <w:color w:val="auto"/>
        </w:rPr>
      </w:pPr>
      <w:r>
        <w:rPr>
          <w:rFonts w:ascii="Arial" w:cs="Arial" w:eastAsia="Arial" w:hAnsi="Arial"/>
          <w:sz w:val="20"/>
          <w:szCs w:val="20"/>
          <w:b w:val="1"/>
          <w:bCs w:val="1"/>
          <w:color w:val="auto"/>
        </w:rPr>
        <w:t xml:space="preserve">Partnered with Osmind, a leading service provider to psychiatry practices in the U.S., with the objective of accelerating commercial preparation for clinical-stage pipeline. </w:t>
      </w:r>
      <w:r>
        <w:rPr>
          <w:rFonts w:ascii="Arial" w:cs="Arial" w:eastAsia="Arial" w:hAnsi="Arial"/>
          <w:sz w:val="20"/>
          <w:szCs w:val="20"/>
          <w:color w:val="auto"/>
        </w:rPr>
        <w:t>Osmind advances psychiatry through technology and services to bring</w:t>
      </w:r>
      <w:r>
        <w:rPr>
          <w:rFonts w:ascii="Arial" w:cs="Arial" w:eastAsia="Arial" w:hAnsi="Arial"/>
          <w:sz w:val="20"/>
          <w:szCs w:val="20"/>
          <w:b w:val="1"/>
          <w:bCs w:val="1"/>
          <w:color w:val="auto"/>
        </w:rPr>
        <w:t xml:space="preserve"> </w:t>
      </w:r>
      <w:r>
        <w:rPr>
          <w:rFonts w:ascii="Arial" w:cs="Arial" w:eastAsia="Arial" w:hAnsi="Arial"/>
          <w:sz w:val="20"/>
          <w:szCs w:val="20"/>
          <w:color w:val="auto"/>
        </w:rPr>
        <w:t>innovative mental health treatments to patients in need. Cybin expects to leverage Osmind's 800-clinic network, point-of-care software, and real-world data to support commercial preparation for its clinical-stage pipeline.</w:t>
      </w:r>
    </w:p>
    <w:p>
      <w:pPr>
        <w:spacing w:after="0" w:line="192" w:lineRule="exact"/>
        <w:rPr>
          <w:sz w:val="20"/>
          <w:szCs w:val="20"/>
          <w:color w:val="auto"/>
        </w:rPr>
      </w:pPr>
    </w:p>
    <w:p>
      <w:pPr>
        <w:jc w:val="both"/>
        <w:spacing w:after="0" w:line="298" w:lineRule="auto"/>
        <w:rPr>
          <w:sz w:val="20"/>
          <w:szCs w:val="20"/>
          <w:color w:val="auto"/>
        </w:rPr>
      </w:pPr>
      <w:r>
        <w:rPr>
          <w:rFonts w:ascii="Arial" w:cs="Arial" w:eastAsia="Arial" w:hAnsi="Arial"/>
          <w:sz w:val="19"/>
          <w:szCs w:val="19"/>
          <w:b w:val="1"/>
          <w:bCs w:val="1"/>
          <w:color w:val="auto"/>
        </w:rPr>
        <w:t xml:space="preserve">Strengthened intellectual property portfolio with two additional U.S. patents in support of lead clinical programs CYB003 and CYB004. </w:t>
      </w:r>
      <w:r>
        <w:rPr>
          <w:rFonts w:ascii="Arial" w:cs="Arial" w:eastAsia="Arial" w:hAnsi="Arial"/>
          <w:sz w:val="19"/>
          <w:szCs w:val="19"/>
          <w:color w:val="auto"/>
        </w:rPr>
        <w:t>To-date, Cybin’s growing intellectual property portfolio comprises more than 90 granted patents and over</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230 pending applications. The recently issued patents are as follows:</w:t>
      </w:r>
    </w:p>
    <w:p>
      <w:pPr>
        <w:spacing w:after="0" w:line="25" w:lineRule="exact"/>
        <w:rPr>
          <w:sz w:val="20"/>
          <w:szCs w:val="20"/>
          <w:color w:val="auto"/>
        </w:rPr>
      </w:pPr>
    </w:p>
    <w:p>
      <w:pPr>
        <w:ind w:left="660" w:right="20" w:hanging="328"/>
        <w:spacing w:after="0" w:line="299" w:lineRule="auto"/>
        <w:tabs>
          <w:tab w:leader="none" w:pos="648"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U.S. patent 12,291,499 includes pharmaceutical compositions and oral dosage forms within the CYB003 program with expected exclusivity until 2041.</w:t>
      </w:r>
    </w:p>
    <w:p>
      <w:pPr>
        <w:sectPr>
          <w:pgSz w:w="11900" w:h="16838" w:orient="portrait"/>
          <w:cols w:equalWidth="0" w:num="1">
            <w:col w:w="11240"/>
          </w:cols>
          <w:pgMar w:left="320" w:top="1427" w:right="339" w:bottom="1440" w:gutter="0" w:footer="0" w:header="0"/>
        </w:sectPr>
      </w:pPr>
    </w:p>
    <w:bookmarkStart w:id="5" w:name="page6"/>
    <w:bookmarkEnd w:id="5"/>
    <w:p>
      <w:pPr>
        <w:ind w:left="660" w:hanging="328"/>
        <w:spacing w:after="0" w:line="313" w:lineRule="auto"/>
        <w:tabs>
          <w:tab w:leader="none" w:pos="648"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U.S. patent 12,318,477 is expected to provide exclusivity until 2040 and includes claims to novel formulations of DMT and deuterated isotopologues for intramuscular injection, including CYB004.</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Clinical Program Update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CYB003: Summary of Phase 2 12-Month Efficacy Data in MDD Patients</w:t>
      </w:r>
    </w:p>
    <w:p>
      <w:pPr>
        <w:spacing w:after="0" w:line="245"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100% of participants receiving two doses of 16 mg were responders.</w:t>
      </w:r>
    </w:p>
    <w:p>
      <w:pPr>
        <w:spacing w:after="0" w:line="3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71% of participants receiving two doses of 16 mg were in remission.</w:t>
      </w:r>
    </w:p>
    <w:p>
      <w:pPr>
        <w:spacing w:after="0" w:line="30"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Mean change from baseline in MADRS was approximately -23 points after two 16 mg doses.</w:t>
      </w:r>
    </w:p>
    <w:p>
      <w:pPr>
        <w:spacing w:after="0" w:line="27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CYB004: Phase 2 proof-of-concept study in generalized anxiety disorder (“GAD”) is underway</w:t>
      </w:r>
    </w:p>
    <w:p>
      <w:pPr>
        <w:spacing w:after="0" w:line="43" w:lineRule="exact"/>
        <w:rPr>
          <w:sz w:val="20"/>
          <w:szCs w:val="20"/>
          <w:color w:val="auto"/>
        </w:rPr>
      </w:pPr>
    </w:p>
    <w:p>
      <w:pPr>
        <w:ind w:left="660" w:right="20" w:hanging="328"/>
        <w:spacing w:after="0" w:line="268" w:lineRule="auto"/>
        <w:tabs>
          <w:tab w:leader="none" w:pos="648"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Phase 2 study is a randomized, double-blind study evaluating the safety and efficacy of CYB004 in participants with GAD, with concomitant antidepressant/anxiolytic treatment and co-morbid depression allowed.</w:t>
      </w:r>
    </w:p>
    <w:p>
      <w:pPr>
        <w:spacing w:after="0" w:line="1" w:lineRule="exact"/>
        <w:rPr>
          <w:rFonts w:ascii="Times New Roman" w:cs="Times New Roman" w:eastAsia="Times New Roman" w:hAnsi="Times New Roman"/>
          <w:sz w:val="20"/>
          <w:szCs w:val="20"/>
          <w:color w:val="auto"/>
        </w:rPr>
      </w:pPr>
    </w:p>
    <w:p>
      <w:pPr>
        <w:ind w:left="640" w:hanging="308"/>
        <w:spacing w:after="0" w:line="236" w:lineRule="auto"/>
        <w:tabs>
          <w:tab w:leader="none" w:pos="64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The Phase 2 study is being conducted at sites in the U.S. and is expected to complete around mid-2025.</w:t>
      </w:r>
      <w:r>
        <w:rPr>
          <w:rFonts w:ascii="Arial" w:cs="Arial" w:eastAsia="Arial" w:hAnsi="Arial"/>
          <w:sz w:val="25"/>
          <w:szCs w:val="25"/>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Q4 and Fiscal-Year 2025 Financial Highlights</w:t>
      </w:r>
    </w:p>
    <w:p>
      <w:pPr>
        <w:spacing w:after="0" w:line="252" w:lineRule="exact"/>
        <w:rPr>
          <w:sz w:val="20"/>
          <w:szCs w:val="20"/>
          <w:color w:val="auto"/>
        </w:rPr>
      </w:pPr>
    </w:p>
    <w:p>
      <w:pPr>
        <w:ind w:left="640" w:hanging="308"/>
        <w:spacing w:after="0"/>
        <w:tabs>
          <w:tab w:leader="none" w:pos="64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C$135 million as of March 31, 2025.</w:t>
      </w:r>
    </w:p>
    <w:p>
      <w:pPr>
        <w:spacing w:after="0" w:line="39"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C$31 million for the quarter ended March 31, 2025, compared to a net loss of C$21 million in the same period last year.</w:t>
      </w:r>
    </w:p>
    <w:p>
      <w:pPr>
        <w:spacing w:after="0" w:line="2" w:lineRule="exact"/>
        <w:rPr>
          <w:rFonts w:ascii="Times New Roman" w:cs="Times New Roman" w:eastAsia="Times New Roman" w:hAnsi="Times New Roman"/>
          <w:sz w:val="20"/>
          <w:szCs w:val="20"/>
          <w:color w:val="auto"/>
        </w:rPr>
      </w:pPr>
    </w:p>
    <w:p>
      <w:pPr>
        <w:ind w:left="660" w:right="20" w:hanging="328"/>
        <w:spacing w:after="0" w:line="273"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Net loss was C$113 million for the year ended March 31, 2025, compared to a net loss of C$78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C$31 million for the quarter ended March 31, 2025, compared to C$24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Cash-based operating expenses consisting of research, general, and administrative costs totaled C$100 million for the year ended March 31, 2025, compared to C$65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73"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C$21 million for the quarter ended March 31, 2025, compared to C$21 million in the same period last year.</w:t>
      </w:r>
    </w:p>
    <w:p>
      <w:pPr>
        <w:spacing w:after="0" w:line="2" w:lineRule="exact"/>
        <w:rPr>
          <w:rFonts w:ascii="Times New Roman" w:cs="Times New Roman" w:eastAsia="Times New Roman" w:hAnsi="Times New Roman"/>
          <w:sz w:val="20"/>
          <w:szCs w:val="20"/>
          <w:color w:val="auto"/>
        </w:rPr>
      </w:pPr>
    </w:p>
    <w:p>
      <w:pPr>
        <w:ind w:left="660" w:hanging="328"/>
        <w:spacing w:after="0" w:line="299" w:lineRule="auto"/>
        <w:tabs>
          <w:tab w:leader="none" w:pos="648"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Cash flows used in operating activities were C$101 million for the year ended March 31, 2025, compared to C$69 million in the same period last year.</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72"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ectPr>
          <w:pgSz w:w="11900" w:h="16838" w:orient="portrait"/>
          <w:cols w:equalWidth="0" w:num="1">
            <w:col w:w="11240"/>
          </w:cols>
          <w:pgMar w:left="320" w:top="1427" w:right="339" w:bottom="1440" w:gutter="0" w:footer="0" w:header="0"/>
        </w:sectPr>
      </w:pPr>
    </w:p>
    <w:bookmarkStart w:id="6" w:name="page7"/>
    <w:bookmarkEnd w:id="6"/>
    <w:p>
      <w:pPr>
        <w:spacing w:after="0" w:line="231" w:lineRule="exact"/>
        <w:rPr>
          <w:sz w:val="20"/>
          <w:szCs w:val="20"/>
          <w:color w:val="auto"/>
        </w:rPr>
      </w:pPr>
    </w:p>
    <w:p>
      <w:pPr>
        <w:jc w:val="both"/>
        <w:spacing w:after="0" w:line="282" w:lineRule="auto"/>
        <w:rPr>
          <w:sz w:val="20"/>
          <w:szCs w:val="20"/>
          <w:color w:val="auto"/>
        </w:rPr>
      </w:pPr>
      <w:r>
        <w:rPr>
          <w:rFonts w:ascii="Arial" w:cs="Arial" w:eastAsia="Arial" w:hAnsi="Arial"/>
          <w:sz w:val="20"/>
          <w:szCs w:val="20"/>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 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215"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w:t>
      </w:r>
    </w:p>
    <w:p>
      <w:pPr>
        <w:spacing w:after="0" w:line="43" w:lineRule="exact"/>
        <w:rPr>
          <w:sz w:val="20"/>
          <w:szCs w:val="20"/>
          <w:color w:val="auto"/>
        </w:rPr>
      </w:pPr>
    </w:p>
    <w:p>
      <w:pPr>
        <w:jc w:val="both"/>
        <w:ind w:left="660" w:hanging="328"/>
        <w:spacing w:after="0" w:line="290" w:lineRule="auto"/>
        <w:tabs>
          <w:tab w:leader="none" w:pos="649"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5" w:lineRule="exact"/>
        <w:rPr>
          <w:sz w:val="20"/>
          <w:szCs w:val="20"/>
          <w:color w:val="auto"/>
        </w:rPr>
      </w:pPr>
    </w:p>
    <w:p>
      <w:pPr>
        <w:jc w:val="both"/>
        <w:spacing w:after="0" w:line="276" w:lineRule="auto"/>
        <w:rPr>
          <w:sz w:val="20"/>
          <w:szCs w:val="20"/>
          <w:color w:val="auto"/>
        </w:rPr>
      </w:pPr>
      <w:r>
        <w:rPr>
          <w:rFonts w:ascii="Arial" w:cs="Arial" w:eastAsia="Arial" w:hAnsi="Arial"/>
          <w:sz w:val="20"/>
          <w:szCs w:val="20"/>
          <w:color w:val="auto"/>
        </w:rPr>
        <w:t>Certain statements in this news release relating to the Company are forward-looking statements or forward-looking information within the meaning of applicable securities laws (collectively,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“potential”, “possible”, “intend”, “estimate”, “plan”, “anticipate”, “expect”, “believe” or “continue”, or the negative thereof or similar variations. Forward-looking statements in this news release include statements regarding the Company’s plans to complete its Phase 2 study for CYB004 around mid-year 2025; the ability of the Company to enroll participants and add additional clinical sites for the PARADIGM program; the Company’s expectation to enroll 220 participants at approximately 45 clinical sites across the United States for the APPROACH study; initiation of EMBRACE study around mid-year 2025; the anticipated approval and commercialization of CYB003 and CYB004; the ability to accelerate commercial preparation of clinical-stage programs through the Company’s partnership with Osmind; and the Company’s plans to engineer proprietary drug discovery platforms, innovative drug delivery systems, novel formulation approaches and treatment regimens for mental health conditions.</w:t>
      </w:r>
    </w:p>
    <w:p>
      <w:pPr>
        <w:spacing w:after="0" w:line="226" w:lineRule="exact"/>
        <w:rPr>
          <w:sz w:val="20"/>
          <w:szCs w:val="20"/>
          <w:color w:val="auto"/>
        </w:rPr>
      </w:pPr>
    </w:p>
    <w:p>
      <w:pPr>
        <w:jc w:val="both"/>
        <w:spacing w:after="0" w:line="290" w:lineRule="auto"/>
        <w:rPr>
          <w:sz w:val="20"/>
          <w:szCs w:val="20"/>
          <w:color w:val="auto"/>
        </w:rPr>
      </w:pPr>
      <w:r>
        <w:rPr>
          <w:rFonts w:ascii="Arial" w:cs="Arial" w:eastAsia="Arial" w:hAnsi="Arial"/>
          <w:sz w:val="20"/>
          <w:szCs w:val="20"/>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w:t>
      </w:r>
    </w:p>
    <w:p>
      <w:pPr>
        <w:sectPr>
          <w:pgSz w:w="11900" w:h="16838" w:orient="portrait"/>
          <w:cols w:equalWidth="0" w:num="1">
            <w:col w:w="11240"/>
          </w:cols>
          <w:pgMar w:left="320" w:top="1440" w:right="339" w:bottom="1440" w:gutter="0" w:footer="0" w:header="0"/>
        </w:sectPr>
      </w:pPr>
    </w:p>
    <w:bookmarkStart w:id="7" w:name="page8"/>
    <w:bookmarkEnd w:id="7"/>
    <w:p>
      <w:pPr>
        <w:jc w:val="both"/>
        <w:spacing w:after="0" w:line="293" w:lineRule="auto"/>
        <w:rPr>
          <w:sz w:val="20"/>
          <w:szCs w:val="20"/>
          <w:color w:val="auto"/>
        </w:rPr>
      </w:pPr>
      <w:r>
        <w:rPr>
          <w:rFonts w:ascii="Arial" w:cs="Arial" w:eastAsia="Arial" w:hAnsi="Arial"/>
          <w:sz w:val="19"/>
          <w:szCs w:val="19"/>
          <w:color w:val="auto"/>
        </w:rPr>
        <w:t xml:space="preserve">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year ended March 31, 2025 and the Company’s annual information form for the year ended March 31, 2025, which are available under the Company's profile on SEDAR+ at </w:t>
      </w:r>
      <w:r>
        <w:rPr>
          <w:rFonts w:ascii="Arial" w:cs="Arial" w:eastAsia="Arial" w:hAnsi="Arial"/>
          <w:sz w:val="19"/>
          <w:szCs w:val="19"/>
          <w:u w:val="single" w:color="auto"/>
          <w:color w:val="0000FF"/>
        </w:rPr>
        <w:t>www.sedarplus.ca</w:t>
      </w:r>
      <w:r>
        <w:rPr>
          <w:rFonts w:ascii="Arial" w:cs="Arial" w:eastAsia="Arial" w:hAnsi="Arial"/>
          <w:sz w:val="19"/>
          <w:szCs w:val="19"/>
          <w:color w:val="auto"/>
        </w:rPr>
        <w:t xml:space="preserve"> and with the U.S. Securities and Exchange Commission on EDGAR at </w:t>
      </w:r>
      <w:r>
        <w:rPr>
          <w:rFonts w:ascii="Arial" w:cs="Arial" w:eastAsia="Arial" w:hAnsi="Arial"/>
          <w:sz w:val="19"/>
          <w:szCs w:val="19"/>
          <w:u w:val="single" w:color="auto"/>
          <w:color w:val="0000FF"/>
        </w:rPr>
        <w:t>www.sec.gov/edgar</w:t>
      </w:r>
      <w:r>
        <w:rPr>
          <w:rFonts w:ascii="Arial" w:cs="Arial" w:eastAsia="Arial" w:hAnsi="Arial"/>
          <w:sz w:val="19"/>
          <w:szCs w:val="19"/>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contained in this news release. The Company assumes no obligation to update the forward-looking statements of beliefs, opinions, projections, or other factors, should they change, except as required by law.</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i w:val="1"/>
          <w:iCs w:val="1"/>
          <w:color w:val="auto"/>
        </w:rPr>
        <w:t>Neither Cboe Canada, nor the NYSE American LLC stock exchange have approved or disapproved the contents of this news release and are not responsible for the adequacy and accuracy of the contents herein.</w:t>
      </w:r>
    </w:p>
    <w:p>
      <w:pPr>
        <w:spacing w:after="0" w:line="1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5"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p>
      <w:pPr>
        <w:sectPr>
          <w:pgSz w:w="11900" w:h="16838" w:orient="portrait"/>
          <w:cols w:equalWidth="0" w:num="1">
            <w:col w:w="11240"/>
          </w:cols>
          <w:pgMar w:left="320" w:top="1427"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2719705</wp:posOffset>
            </wp:positionH>
            <wp:positionV relativeFrom="page">
              <wp:posOffset>911860</wp:posOffset>
            </wp:positionV>
            <wp:extent cx="2117090" cy="12255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2117090" cy="122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22"/>
          <w:szCs w:val="22"/>
          <w:b w:val="1"/>
          <w:bCs w:val="1"/>
          <w:color w:val="auto"/>
        </w:rPr>
        <w:t>CYBIN ANNOUNCES FINANCING OF UP TO US$500 MILLION AGGREGATE PRINCIPAL AMOUNT OF CONVERTIBLE DEBENTURES</w:t>
      </w:r>
    </w:p>
    <w:p>
      <w:pPr>
        <w:spacing w:after="0" w:line="180" w:lineRule="exact"/>
        <w:rPr>
          <w:sz w:val="20"/>
          <w:szCs w:val="20"/>
          <w:color w:val="auto"/>
        </w:rPr>
      </w:pPr>
    </w:p>
    <w:p>
      <w:pPr>
        <w:ind w:left="900" w:right="320" w:hanging="561"/>
        <w:spacing w:after="0" w:line="271" w:lineRule="auto"/>
        <w:tabs>
          <w:tab w:leader="none" w:pos="46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Funding agreement contemplates a conversion formula with a potential 30% premium upon conversion and positions the Company for growth, and accelerated advancement of its clinical pipeline programs, CYB003 and CYB004 -</w:t>
      </w:r>
    </w:p>
    <w:p>
      <w:pPr>
        <w:spacing w:after="0" w:line="18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TORONTO – June 30, 2025 - Cybin Inc. (NYSE American: CYBN) (Cboe Canada: CYBN) (“</w:t>
      </w:r>
      <w:r>
        <w:rPr>
          <w:rFonts w:ascii="Times New Roman" w:cs="Times New Roman" w:eastAsia="Times New Roman" w:hAnsi="Times New Roman"/>
          <w:sz w:val="22"/>
          <w:szCs w:val="22"/>
          <w:b w:val="1"/>
          <w:bCs w:val="1"/>
          <w:color w:val="auto"/>
        </w:rPr>
        <w:t>Cybin</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 clinical-stage breakthrough neuropsychiatry company committed to revolutionizing mental healthcare by developing new and innovative next-generation treatment options, is pleased to announce the Company has entered into a securities purchase agreement (the “</w:t>
      </w:r>
      <w:r>
        <w:rPr>
          <w:rFonts w:ascii="Times New Roman" w:cs="Times New Roman" w:eastAsia="Times New Roman" w:hAnsi="Times New Roman"/>
          <w:sz w:val="22"/>
          <w:szCs w:val="22"/>
          <w:b w:val="1"/>
          <w:bCs w:val="1"/>
          <w:color w:val="auto"/>
        </w:rPr>
        <w:t>Securities Purchase Agreement</w:t>
      </w:r>
      <w:r>
        <w:rPr>
          <w:rFonts w:ascii="Times New Roman" w:cs="Times New Roman" w:eastAsia="Times New Roman" w:hAnsi="Times New Roman"/>
          <w:sz w:val="22"/>
          <w:szCs w:val="22"/>
          <w:color w:val="auto"/>
        </w:rPr>
        <w:t>”) with High Trail Special Situations LLC (“</w:t>
      </w:r>
      <w:r>
        <w:rPr>
          <w:rFonts w:ascii="Times New Roman" w:cs="Times New Roman" w:eastAsia="Times New Roman" w:hAnsi="Times New Roman"/>
          <w:sz w:val="22"/>
          <w:szCs w:val="22"/>
          <w:b w:val="1"/>
          <w:bCs w:val="1"/>
          <w:color w:val="auto"/>
        </w:rPr>
        <w:t>High Trail</w:t>
      </w:r>
      <w:r>
        <w:rPr>
          <w:rFonts w:ascii="Times New Roman" w:cs="Times New Roman" w:eastAsia="Times New Roman" w:hAnsi="Times New Roman"/>
          <w:sz w:val="22"/>
          <w:szCs w:val="22"/>
          <w:color w:val="auto"/>
        </w:rPr>
        <w:t>”), pursuant to which the Company agreed to sell and issue to High Trail up to US$500,000,000 in aggregate principal amount of unsecured convertible debentures (the “</w:t>
      </w:r>
      <w:r>
        <w:rPr>
          <w:rFonts w:ascii="Times New Roman" w:cs="Times New Roman" w:eastAsia="Times New Roman" w:hAnsi="Times New Roman"/>
          <w:sz w:val="22"/>
          <w:szCs w:val="22"/>
          <w:b w:val="1"/>
          <w:bCs w:val="1"/>
          <w:color w:val="auto"/>
        </w:rPr>
        <w:t>Convertible Debentures</w:t>
      </w:r>
      <w:r>
        <w:rPr>
          <w:rFonts w:ascii="Times New Roman" w:cs="Times New Roman" w:eastAsia="Times New Roman" w:hAnsi="Times New Roman"/>
          <w:sz w:val="22"/>
          <w:szCs w:val="22"/>
          <w:color w:val="auto"/>
        </w:rPr>
        <w:t>”). The sale and issue of US$50,000,000 principal amount of Convertible Debentures was completed on June 30, 2025 (the “</w:t>
      </w:r>
      <w:r>
        <w:rPr>
          <w:rFonts w:ascii="Times New Roman" w:cs="Times New Roman" w:eastAsia="Times New Roman" w:hAnsi="Times New Roman"/>
          <w:sz w:val="22"/>
          <w:szCs w:val="22"/>
          <w:b w:val="1"/>
          <w:bCs w:val="1"/>
          <w:color w:val="auto"/>
        </w:rPr>
        <w:t>Private Placement</w:t>
      </w:r>
      <w:r>
        <w:rPr>
          <w:rFonts w:ascii="Times New Roman" w:cs="Times New Roman" w:eastAsia="Times New Roman" w:hAnsi="Times New Roman"/>
          <w:sz w:val="22"/>
          <w:szCs w:val="22"/>
          <w:color w:val="auto"/>
        </w:rPr>
        <w:t>”). The sale and issue of US$450,000,000 of the principal amount of Convertible Debentures will be determined at a future date, upon mutual agreement of the parties.</w:t>
      </w:r>
    </w:p>
    <w:p>
      <w:pPr>
        <w:spacing w:after="0" w:line="20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“This financing represents a major inflection point for Cybin and supports our position as a leader within our sector,” said Doug Drysdale, Chief Executive Officer of Cybin. High Trail Capital is an experienced investor, and its confidence and appreciation of our breakthrough clinical data and intellectual property portfolio recognize the potential of the Company. This financing comes at an opportune time for Cybin, as we advance our lead programs, CYB003 and CYB004, in Phase 3 and Phase 2, respectively. CYB003 demonstrated over 70% remission rates and continued durability over 12 months for patients with uncontrolled depression. We await the conclusion of our CYB004 Phase 2 proof-of-concept study, in patients with generalized anxiety disorder,” said Drysdale.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Joseph Gunnar &amp; Co., LLC acted as the sole placement agent in connection with this transaction.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Pipeline Acceleration Drives Multiple Value Creation Catalysts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funding will accelerate Cybin’s clinical-stage programs across multiple high-value indications: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CYB003 Program Achievements:</w:t>
      </w:r>
    </w:p>
    <w:p>
      <w:pPr>
        <w:spacing w:after="0" w:line="28" w:lineRule="exact"/>
        <w:rPr>
          <w:sz w:val="20"/>
          <w:szCs w:val="20"/>
          <w:color w:val="auto"/>
        </w:rPr>
      </w:pPr>
    </w:p>
    <w:p>
      <w:pPr>
        <w:ind w:left="660" w:hanging="328"/>
        <w:spacing w:after="0" w:line="248" w:lineRule="auto"/>
        <w:tabs>
          <w:tab w:leader="none" w:pos="65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Breakthrough Clinical Results: Unprecedented 71% remission rate in major depressive disorder at 12 months after two 16 mg doses in Phase 2 study</w:t>
      </w:r>
    </w:p>
    <w:p>
      <w:pPr>
        <w:sectPr>
          <w:pgSz w:w="11900" w:h="16838" w:orient="portrait"/>
          <w:cols w:equalWidth="0" w:num="1">
            <w:col w:w="11240"/>
          </w:cols>
          <w:pgMar w:left="320" w:top="1440" w:right="339" w:bottom="1440" w:gutter="0" w:footer="0" w:header="0"/>
        </w:sectPr>
      </w:pPr>
    </w:p>
    <w:bookmarkStart w:id="9" w:name="page10"/>
    <w:bookmarkEnd w:id="9"/>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Durability advantage: 12-month sustained efficacy demonstrating long-term therapeutic benefit</w:t>
      </w:r>
    </w:p>
    <w:p>
      <w:pPr>
        <w:spacing w:after="0" w:line="27"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FDA Recognition: Breakthrough Therapy Designation received, expediting regulatory pathway</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Multinational Phase 3 PARADIGM program underway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CYB004 Program Momentum:</w:t>
      </w:r>
    </w:p>
    <w:p>
      <w:pPr>
        <w:spacing w:after="0" w:line="2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Dual Indication Strategy: Expanding addressable market opportunity</w:t>
      </w:r>
    </w:p>
    <w:p>
      <w:pPr>
        <w:spacing w:after="0" w:line="3"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Phase 2 GAD study expected to complete around mid-year 2025</w:t>
      </w:r>
      <w:r>
        <w:rPr>
          <w:rFonts w:ascii="Times New Roman" w:cs="Times New Roman" w:eastAsia="Times New Roman" w:hAnsi="Times New Roman"/>
          <w:sz w:val="28"/>
          <w:szCs w:val="28"/>
          <w:color w:val="auto"/>
          <w:vertAlign w:val="superscript"/>
        </w:rPr>
        <w:t>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Commercialization Infrastructure:</w:t>
      </w:r>
    </w:p>
    <w:p>
      <w:pPr>
        <w:spacing w:after="0" w:line="28"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Manufacturing Scale-Up: Finalizing production capabilities for market launch</w:t>
      </w:r>
    </w:p>
    <w:p>
      <w:pPr>
        <w:spacing w:after="0" w:line="5" w:lineRule="exact"/>
        <w:rPr>
          <w:rFonts w:ascii="Times New Roman" w:cs="Times New Roman" w:eastAsia="Times New Roman" w:hAnsi="Times New Roman"/>
          <w:sz w:val="22"/>
          <w:szCs w:val="22"/>
          <w:color w:val="auto"/>
        </w:rPr>
      </w:pPr>
    </w:p>
    <w:p>
      <w:pPr>
        <w:ind w:left="660" w:right="560" w:hanging="328"/>
        <w:spacing w:after="0" w:line="248" w:lineRule="auto"/>
        <w:tabs>
          <w:tab w:leader="none" w:pos="65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IP Portfolio Expansion: Strengthening competitive moat with more than 90 patents issued and over 230 applications pending</w:t>
      </w:r>
    </w:p>
    <w:p>
      <w:pPr>
        <w:spacing w:after="0" w:line="1"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Strategic Partnerships: Developing market access and pre-commercialization alliances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Value Catalysts Drive Sustained Momentum</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Near-Term Catalysts:</w:t>
      </w:r>
    </w:p>
    <w:p>
      <w:pPr>
        <w:ind w:left="660" w:hanging="328"/>
        <w:spacing w:after="0" w:line="221" w:lineRule="auto"/>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CYB004 Phase 2 GAD study expected to complete around mid-2025</w:t>
      </w:r>
      <w:r>
        <w:rPr>
          <w:rFonts w:ascii="Times New Roman" w:cs="Times New Roman" w:eastAsia="Times New Roman" w:hAnsi="Times New Roman"/>
          <w:sz w:val="28"/>
          <w:szCs w:val="28"/>
          <w:color w:val="auto"/>
          <w:vertAlign w:val="superscript"/>
        </w:rPr>
        <w:t>1</w:t>
      </w:r>
    </w:p>
    <w:p>
      <w:pPr>
        <w:spacing w:after="0" w:line="1" w:lineRule="exact"/>
        <w:rPr>
          <w:rFonts w:ascii="Times New Roman" w:cs="Times New Roman" w:eastAsia="Times New Roman" w:hAnsi="Times New Roman"/>
          <w:sz w:val="22"/>
          <w:szCs w:val="22"/>
          <w:color w:val="auto"/>
        </w:rPr>
      </w:pPr>
    </w:p>
    <w:p>
      <w:pPr>
        <w:ind w:left="660" w:hanging="328"/>
        <w:spacing w:after="0" w:line="191" w:lineRule="auto"/>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Initiation of second CYB003 pivotal study, EMBRACE, around mid-2025</w:t>
      </w:r>
      <w:r>
        <w:rPr>
          <w:rFonts w:ascii="Times New Roman" w:cs="Times New Roman" w:eastAsia="Times New Roman" w:hAnsi="Times New Roman"/>
          <w:sz w:val="28"/>
          <w:szCs w:val="28"/>
          <w:color w:val="auto"/>
          <w:vertAlign w:val="superscript"/>
        </w:rPr>
        <w:t>1</w:t>
      </w:r>
    </w:p>
    <w:p>
      <w:pPr>
        <w:ind w:left="660" w:hanging="328"/>
        <w:spacing w:after="0"/>
        <w:tabs>
          <w:tab w:leader="none" w:pos="66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EXTEND study initiation imminent</w:t>
      </w:r>
      <w:r>
        <w:rPr>
          <w:rFonts w:ascii="Times New Roman" w:cs="Times New Roman" w:eastAsia="Times New Roman" w:hAnsi="Times New Roman"/>
          <w:sz w:val="28"/>
          <w:szCs w:val="28"/>
          <w:color w:val="auto"/>
          <w:vertAlign w:val="superscript"/>
        </w:rPr>
        <w:t>1</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Medium-Term Catalysts (2025-2026):</w:t>
      </w:r>
    </w:p>
    <w:p>
      <w:pPr>
        <w:ind w:left="660" w:hanging="328"/>
        <w:spacing w:after="0" w:line="211" w:lineRule="auto"/>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Phase 3 top line readout for CYB003 2H 2026</w:t>
      </w:r>
      <w:r>
        <w:rPr>
          <w:rFonts w:ascii="Times New Roman" w:cs="Times New Roman" w:eastAsia="Times New Roman" w:hAnsi="Times New Roman"/>
          <w:sz w:val="28"/>
          <w:szCs w:val="28"/>
          <w:color w:val="auto"/>
          <w:vertAlign w:val="superscript"/>
        </w:rPr>
        <w:t>1</w:t>
      </w: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Regulatory submission preparations</w:t>
      </w:r>
    </w:p>
    <w:p>
      <w:pPr>
        <w:spacing w:after="0" w:line="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Commercial manufacturing readiness</w:t>
      </w:r>
    </w:p>
    <w:p>
      <w:pPr>
        <w:spacing w:after="0" w:line="15"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International market expansion planning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Transaction Terms</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The Convertible Debentures have a two-year term from the closing date (the “</w:t>
      </w:r>
      <w:r>
        <w:rPr>
          <w:rFonts w:ascii="Times New Roman" w:cs="Times New Roman" w:eastAsia="Times New Roman" w:hAnsi="Times New Roman"/>
          <w:sz w:val="22"/>
          <w:szCs w:val="22"/>
          <w:b w:val="1"/>
          <w:bCs w:val="1"/>
          <w:color w:val="auto"/>
        </w:rPr>
        <w:t>Term</w:t>
      </w:r>
      <w:r>
        <w:rPr>
          <w:rFonts w:ascii="Times New Roman" w:cs="Times New Roman" w:eastAsia="Times New Roman" w:hAnsi="Times New Roman"/>
          <w:sz w:val="22"/>
          <w:szCs w:val="22"/>
          <w:color w:val="auto"/>
        </w:rPr>
        <w:t>”). The Company shall pay guaranteed interest equal to 5.5% of the principal per annum for the Term. Such interest was pre-paid on closing. Upon the occurrence of an event of default, interest shall increase to a rate of 18% per annum on the outstanding principal balance. Pursuant to the terms of the Securities Purchase Agreement, the Company and High Trail may, upon mutual consent, enter into subsequent securities purchase agreements for the purchase and sale of up to an additional US$450,000,000 principal amount of Convertible Debentures, in tranches, in amounts on such dates as may be mutually agreed and each subsequent tranche shall include prepaid interest at a rate of 9.5%.</w:t>
      </w:r>
    </w:p>
    <w:p>
      <w:pPr>
        <w:spacing w:after="0" w:line="21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Subject to the terms of the Securities Purchase Agreement and the Convertible Debentures, High Trail will be entitled to convert the principal amount of, and accrued and unpaid interest, if any, on each Convertible Debenture, in whole or in part, from time to time, into common shares in the capital of the Company (the “</w:t>
      </w:r>
      <w:r>
        <w:rPr>
          <w:rFonts w:ascii="Times New Roman" w:cs="Times New Roman" w:eastAsia="Times New Roman" w:hAnsi="Times New Roman"/>
          <w:sz w:val="22"/>
          <w:szCs w:val="22"/>
          <w:b w:val="1"/>
          <w:bCs w:val="1"/>
          <w:color w:val="auto"/>
        </w:rPr>
        <w:t>Common Shares</w:t>
      </w:r>
      <w:r>
        <w:rPr>
          <w:rFonts w:ascii="Times New Roman" w:cs="Times New Roman" w:eastAsia="Times New Roman" w:hAnsi="Times New Roman"/>
          <w:sz w:val="22"/>
          <w:szCs w:val="22"/>
          <w:color w:val="auto"/>
        </w:rPr>
        <w:t>”) at a conversion price per Common Share equal to the lower of (a) 130% of the volume weighted average price (“</w:t>
      </w:r>
      <w:r>
        <w:rPr>
          <w:rFonts w:ascii="Times New Roman" w:cs="Times New Roman" w:eastAsia="Times New Roman" w:hAnsi="Times New Roman"/>
          <w:sz w:val="22"/>
          <w:szCs w:val="22"/>
          <w:b w:val="1"/>
          <w:bCs w:val="1"/>
          <w:color w:val="auto"/>
        </w:rPr>
        <w:t>VWAP</w:t>
      </w:r>
      <w:r>
        <w:rPr>
          <w:rFonts w:ascii="Times New Roman" w:cs="Times New Roman" w:eastAsia="Times New Roman" w:hAnsi="Times New Roman"/>
          <w:sz w:val="22"/>
          <w:szCs w:val="22"/>
          <w:color w:val="auto"/>
        </w:rPr>
        <w:t>”) of the Common Shares on the day prior to the initial issuance of the Convertible Debentures, or (b) the VWAP of the Common Shares during the five trading days immediately prior to the date of conversion.</w:t>
      </w:r>
    </w:p>
    <w:p>
      <w:pPr>
        <w:sectPr>
          <w:pgSz w:w="11900" w:h="16838" w:orient="portrait"/>
          <w:cols w:equalWidth="0" w:num="1">
            <w:col w:w="11240"/>
          </w:cols>
          <w:pgMar w:left="320" w:top="1422" w:right="339" w:bottom="1440" w:gutter="0" w:footer="0" w:header="0"/>
        </w:sectPr>
      </w:pPr>
    </w:p>
    <w:bookmarkStart w:id="10" w:name="page11"/>
    <w:bookmarkEnd w:id="10"/>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Company, in its sole discretion, may prepay any outstanding amount under the Convertible Debentures, in whole or in part, in cash by providing High Trail with advance written notice prior to such prepayment. The prepayment shall include, (i) if paid during the first year after closing, a 5% prepayment premium on the amount of the prepayment or (ii) if paid thereafter, a 3% prepayment premium on the amount of the prepayment.</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terms of the Convertible Debentures restrict the conversion of Convertible Debentures by High Trail if such a conversion or exercise would cause High Trail, together with any affiliate thereof, to beneficially own in excess of 4.99% of the number of Common Shares outstanding immediately after giving effect to such conversion.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intends to use the net proceeds from the Private Placement for working capital and general corporate purposes.</w:t>
      </w:r>
    </w:p>
    <w:p>
      <w:pPr>
        <w:spacing w:after="0" w:line="233"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The Convertible Debentures were offered on a private placement basis pursuant to prospectus exemptions in Canada and pursuant to exemptions and exclusions from the registration requirements of the United States Securities Act of 1933, as amended, and applicable state securities laws. The Company has agreed to use commercially reasonable efforts to: (a) file a prospectus supplement to the Company’s base shelf prospectus dated August 17, 2023, as amended on December 22, 2023, April 8, 2024 and January 6, 2025, with applicable Canadian securities regulators to qualify the secondary market sales of the Common Shares in the United States; and (b) either (i) prepare and file the Canadian prospectus supplement with the United States Securities and Exchange Commission, or (ii) file a prospectus supplement pursuant to General Instruction II.L of Form F-10 with the United States Securities and Exchange Commission to the Company’s registration statement on Form F-10 (File No. 333-284173), which was declared effective by the SEC on January 14, 2025, or on such other form as may be available to the Company, in either case qualifying the resale of the Common Shares underlying the Convertible Debentures.</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i w:val="1"/>
          <w:iCs w:val="1"/>
          <w:color w:val="auto"/>
        </w:rPr>
        <w:t>No securities regulatory authority has either approved or disapproved of the contents of this news release. This news release is not an offer to sell or the solicitation of an offer to buy the securities in the United States or in any jurisdiction in which such offer, solicitation or sale would be unlawful prior to qualification or registration under the securities laws of such jurisdiction. The securities being offered have not been registered under the U.S. Securities Act, and such securities may not be offered or sold within the United States or to, or for the account or benefit of, U.S. persons absent registration or an applicable exemption from U.S. registration requirements and applicable U.S. state securities laws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Cybin</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Cybin is a late-stage breakthrough neuropsychiatry company committed to revolutionizing mental healthcare by developing new and innovative next-generation treatment options to address the large unmet need for people who suffer from mental health conditions.</w:t>
      </w:r>
    </w:p>
    <w:p>
      <w:pPr>
        <w:spacing w:after="0" w:line="17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With promising proof-of-concept data, Cybin is working to change the mental health treatment landscape through the introduction of intermittent treatments that provide long lasting results. The Company is currently developing CYB003, a proprietary deuterated psilocin analog, in Phase 3 studies</w:t>
      </w:r>
    </w:p>
    <w:p>
      <w:pPr>
        <w:sectPr>
          <w:pgSz w:w="11900" w:h="16838" w:orient="portrait"/>
          <w:cols w:equalWidth="0" w:num="1">
            <w:col w:w="11240"/>
          </w:cols>
          <w:pgMar w:left="320" w:top="1440" w:right="339" w:bottom="1440" w:gutter="0" w:footer="0" w:header="0"/>
        </w:sectPr>
      </w:pPr>
    </w:p>
    <w:bookmarkStart w:id="11" w:name="page12"/>
    <w:bookmarkEnd w:id="11"/>
    <w:p>
      <w:pPr>
        <w:jc w:val="both"/>
        <w:spacing w:after="0" w:line="257" w:lineRule="auto"/>
        <w:rPr>
          <w:sz w:val="20"/>
          <w:szCs w:val="20"/>
          <w:color w:val="auto"/>
        </w:rPr>
      </w:pPr>
      <w:r>
        <w:rPr>
          <w:rFonts w:ascii="Times New Roman" w:cs="Times New Roman" w:eastAsia="Times New Roman" w:hAnsi="Times New Roman"/>
          <w:sz w:val="22"/>
          <w:szCs w:val="22"/>
          <w:color w:val="auto"/>
        </w:rPr>
        <w:t>for the adjunctive treatment of major depressive disorder and CYB004, a proprietary deuterated N, N-dimethyltryptamine molecule in a Phase 2 study for generalized anxiety disorder. The Company also has a research pipeline of investigational, 5-HT-receptor focused compounds.</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Founded in 2019, Cybin is operational in Canada, the United States, the United Kingdom, the Netherlands and Ireland. For Company updates and to learn more about Cybin, visit www.cybin.com or follow the team on X, LinkedIn, YouTube and Instagram.</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w:t>
      </w:r>
    </w:p>
    <w:p>
      <w:pPr>
        <w:spacing w:after="0" w:line="224" w:lineRule="exact"/>
        <w:rPr>
          <w:sz w:val="20"/>
          <w:szCs w:val="20"/>
          <w:color w:val="auto"/>
        </w:rPr>
      </w:pPr>
    </w:p>
    <w:p>
      <w:pPr>
        <w:jc w:val="both"/>
        <w:ind w:left="660" w:hanging="328"/>
        <w:spacing w:after="0" w:line="263" w:lineRule="auto"/>
        <w:tabs>
          <w:tab w:leader="none" w:pos="66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assurance that timelines will be met. Anticipated timelines regarding the initiation, advancement and results of clinical trials are based on reasonable assumptions informed by current knowledge and information available to the Company. See “Cautionary Notes and Forward-Looking 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Cautionary Notes and Forward-Looking Statements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Certain statements in this news release constitute forward-looking information and forward-looking statements within the meaning of applicable securities laws (together, “forward-looking statements”).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use of Private Placement proceeds; the conversion of the Convertible Debentures into Common Shares; the sale and issue of US$450,000,000 principal amount of Convertible Debentures at a future date; CYB004 Phase 2 GAD study expected to complete around mid-2025; Initiation of second CYB003 pivotal study, EMBRACE, around mid-2025; the Company’s Medium-Term Catalysts for 2025-2026; Phase 3 PARADIGM program enrollment acceleration; the Company’s ability to achieve commercial success; and the Company’s ability to address the need for new and innovative treatment options for people who suffer from mental health conditions.</w:t>
      </w:r>
    </w:p>
    <w:p>
      <w:pPr>
        <w:spacing w:after="0" w:line="19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implications of disease outbreaks on the Company’s operations; and the risk factors set out in each of the Company’s management’s discussion and analysis for the three and nine month periods ended December 31, 2024 and the Company’s annual information form for the year ended March 31, 2024, which are available under the</w:t>
      </w:r>
    </w:p>
    <w:p>
      <w:pPr>
        <w:sectPr>
          <w:pgSz w:w="11900" w:h="16838" w:orient="portrait"/>
          <w:cols w:equalWidth="0" w:num="1">
            <w:col w:w="11240"/>
          </w:cols>
          <w:pgMar w:left="320" w:top="1422" w:right="339" w:bottom="1440" w:gutter="0" w:footer="0" w:header="0"/>
        </w:sectPr>
      </w:pPr>
    </w:p>
    <w:bookmarkStart w:id="12" w:name="page13"/>
    <w:bookmarkEnd w:id="12"/>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Company’s profile on </w:t>
      </w:r>
      <w:r>
        <w:rPr>
          <w:rFonts w:ascii="Times New Roman" w:cs="Times New Roman" w:eastAsia="Times New Roman" w:hAnsi="Times New Roman"/>
          <w:sz w:val="22"/>
          <w:szCs w:val="22"/>
          <w:u w:val="single" w:color="auto"/>
          <w:color w:val="0000FF"/>
        </w:rPr>
        <w:t>www.sedarplus.ca</w:t>
      </w:r>
      <w:r>
        <w:rPr>
          <w:rFonts w:ascii="Times New Roman" w:cs="Times New Roman" w:eastAsia="Times New Roman" w:hAnsi="Times New Roman"/>
          <w:sz w:val="22"/>
          <w:szCs w:val="22"/>
          <w:color w:val="auto"/>
        </w:rPr>
        <w:t xml:space="preserve"> and with the SEC on EDGAR at </w:t>
      </w:r>
      <w:r>
        <w:rPr>
          <w:rFonts w:ascii="Times New Roman" w:cs="Times New Roman" w:eastAsia="Times New Roman" w:hAnsi="Times New Roman"/>
          <w:sz w:val="22"/>
          <w:szCs w:val="22"/>
          <w:u w:val="single" w:color="auto"/>
          <w:color w:val="0000FF"/>
        </w:rPr>
        <w:t>www.sec.gov/edgar</w:t>
      </w:r>
      <w:r>
        <w:rPr>
          <w:rFonts w:ascii="Times New Roman" w:cs="Times New Roman" w:eastAsia="Times New Roman" w:hAnsi="Times New Roman"/>
          <w:sz w:val="22"/>
          <w:szCs w:val="22"/>
          <w:color w:val="auto"/>
        </w:rPr>
        <w:t>. Although the forward-looking statements contained in this news release are based upon what management of the Company believes, or believed at the time, to be reasonable assumptions, the Company cannot assure shareholders that actual 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Cybin makes no medical, treatment or health benefit claims about Cybin’s proposed products. The U.S. Food and Drug Administration, Health Canada or other similar regulatory authorities have not evaluated claims regarding psilocin, psychedelic tryptamine, tryptamine derivatives or other psychedelic compounds. The efficacy of such products has not been confirmed by approved research. There is no assurance that the use of psilocin, psychedelic tryptamine, tryptamine derivatives or other psychedelic compounds can diagnose, treat, cure or prevent any disease or condition. Rigorous scientific research and clinical trials are needed. If Cybin cannot obtain the approvals or research necessary to commercialize its business, it may have a material adverse effect on Cybin’s performance and operations.</w:t>
      </w:r>
    </w:p>
    <w:p>
      <w:pPr>
        <w:spacing w:after="0" w:line="21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i w:val="1"/>
          <w:iCs w:val="1"/>
          <w:color w:val="auto"/>
        </w:rPr>
        <w:t>Neither the Cboe Canada nor the NYSE American LLC stock exchange have approved or disapproved the contents of this news release and are not responsible for the adequacy and accuracy of the contents herein.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&amp; Media Contact</w:t>
      </w:r>
      <w:r>
        <w:rPr>
          <w:rFonts w:ascii="Times New Roman" w:cs="Times New Roman" w:eastAsia="Times New Roman" w:hAnsi="Times New Roman"/>
          <w:sz w:val="22"/>
          <w:szCs w:val="22"/>
          <w:color w:val="auto"/>
        </w:rPr>
        <w: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Gabriel Fahel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Chief Legal Officer</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Cybin Inc.</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1-866-292-4601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irteam@cybin.com – or – media@cybin.com</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jpeg"/><Relationship Id="rId8" Type="http://schemas.openxmlformats.org/officeDocument/2006/relationships/hyperlink" Target="https://www.sec.gov/Archives/edgar/data/1833141/000106299325000510/formf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2025-07-01T05:11:48Z</dcterms:created>
  <dcterms:modified xsi:type="dcterms:W3CDTF">2025-07-01T05:11:48Z</dcterms:modified>
</cp:coreProperties>
</file>