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suppl.htm"/>
      <w:bookmarkStart w:id="1" w:name="ksformsuppl"/>
      <w:bookmarkStart w:id="2" w:name="formsuppl.htm"/>
      <w:bookmarkStart w:id="3" w:name="ksformsuppl"/>
      <w:bookmarkEnd w:id="2"/>
      <w:bookmarkEnd w:id="3"/>
    </w:p>
    <w:p>
      <w:pPr>
        <w:pStyle w:val="TextBody"/>
        <w:bidi w:val="0"/>
        <w:jc w:val="right"/>
        <w:rPr>
          <w:b/>
        </w:rPr>
      </w:pPr>
      <w:bookmarkStart w:id="4" w:name="page_1"/>
      <w:bookmarkEnd w:id="4"/>
      <w:r>
        <w:rPr>
          <w:b/>
        </w:rPr>
        <w:t>Filed Pursuant to General Instruction II.L of Form F-10</w:t>
        <w:br/>
        <w:t>File No. 333-272706</w:t>
      </w:r>
    </w:p>
    <w:p>
      <w:pPr>
        <w:pStyle w:val="TextBody"/>
        <w:bidi w:val="0"/>
        <w:jc w:val="both"/>
        <w:rPr>
          <w:i/>
        </w:rPr>
      </w:pPr>
      <w:r>
        <w:rPr>
          <w:i/>
        </w:rPr>
        <w:t>This prospectus supplement (the "</w:t>
      </w:r>
      <w:r>
        <w:rPr>
          <w:b/>
          <w:i/>
        </w:rPr>
        <w:t>Prospectus Supplement</w:t>
      </w:r>
      <w:r>
        <w:rPr>
          <w:i/>
        </w:rPr>
        <w:t>"), together with the short form base shelf prospectus dated August 17, 2023 to which it relates, as amended or supplemented (the "</w:t>
      </w:r>
      <w:r>
        <w:rPr>
          <w:b/>
          <w:i/>
        </w:rPr>
        <w:t>Base Shelf Prospectus</w:t>
      </w:r>
      <w:r>
        <w:rPr>
          <w:i/>
        </w:rPr>
        <w:t>"), and each document deemed to be incorporated by reference into this Prospectus Supplement and the Base Shelf Prospectus, as amended or supplemented (collectively, the "</w:t>
      </w:r>
      <w:r>
        <w:rPr>
          <w:b/>
          <w:i/>
        </w:rPr>
        <w:t>Prospectus</w:t>
      </w:r>
      <w:r>
        <w:rPr>
          <w:i/>
        </w:rPr>
        <w:t xml:space="preserve">"), constitutes a public offering of these securities only in those jurisdictions where they may be lawfully offered for sale and only by persons permitted to sell such securities. </w:t>
      </w:r>
      <w:r>
        <w:rPr>
          <w:b/>
          <w:i/>
        </w:rPr>
        <w:t>No securities regulatory authority has expressed an opinion about these securities and it is an offence to claim otherwise.</w:t>
      </w:r>
    </w:p>
    <w:p>
      <w:pPr>
        <w:pStyle w:val="TextBody"/>
        <w:bidi w:val="0"/>
        <w:jc w:val="both"/>
        <w:rPr/>
      </w:pPr>
      <w:r>
        <w:rPr>
          <w:b/>
          <w:i/>
        </w:rPr>
        <w:t xml:space="preserve">Information has been incorporated by reference in the Prospectus from documents filed with securities commissions or similar authorities in Canada. </w:t>
      </w:r>
      <w:r>
        <w:rPr>
          <w:i/>
        </w:rPr>
        <w:t xml:space="preserve">Copies of the documents incorporated herein by reference may be obtained on request without charge from the Secretary of Cybin Inc. at 100 King Street West, Suite 5600, Toronto, Ontario M5X 1C9, telephone 1-866-292-4601, and are also available electronically at </w:t>
      </w:r>
      <w:r>
        <w:rPr>
          <w:i/>
          <w:color w:val="0563C1"/>
          <w:u w:val="single"/>
        </w:rPr>
        <w:t>www.sedarplus.ca</w:t>
      </w:r>
      <w:r>
        <w:rPr/>
        <w:t xml:space="preserve"> </w:t>
      </w:r>
      <w:r>
        <w:rPr>
          <w:i/>
        </w:rPr>
        <w:t xml:space="preserve">and </w:t>
      </w:r>
      <w:r>
        <w:rPr>
          <w:i/>
          <w:color w:val="0563C1"/>
          <w:u w:val="single"/>
        </w:rPr>
        <w:t>www.sec.gov/edgar</w:t>
      </w:r>
      <w:r>
        <w:rPr>
          <w:i/>
        </w:rPr>
        <w:t xml:space="preserve">. </w:t>
      </w:r>
    </w:p>
    <w:p>
      <w:pPr>
        <w:pStyle w:val="TextBody"/>
        <w:bidi w:val="0"/>
        <w:spacing w:before="0" w:after="0"/>
        <w:jc w:val="center"/>
        <w:rPr>
          <w:b/>
        </w:rPr>
      </w:pPr>
      <w:r>
        <w:rPr>
          <w:b/>
        </w:rPr>
        <w:t xml:space="preserve">PROSPECTUS SUPPLEMENT </w:t>
      </w:r>
    </w:p>
    <w:p>
      <w:pPr>
        <w:pStyle w:val="TextBody"/>
        <w:bidi w:val="0"/>
        <w:spacing w:before="0" w:after="283"/>
        <w:jc w:val="center"/>
        <w:rPr>
          <w:b/>
        </w:rPr>
      </w:pPr>
      <w:r>
        <w:rPr>
          <w:b/>
        </w:rPr>
        <w:t>TO THE SHORT FORM BASE SHELF PROSPECTUS DATED AUGUST 17, 2023</w:t>
      </w:r>
    </w:p>
    <w:tbl>
      <w:tblPr>
        <w:tblW w:w="2920" w:type="dxa"/>
        <w:jc w:val="left"/>
        <w:tblInd w:w="0" w:type="dxa"/>
        <w:tblLayout w:type="fixed"/>
        <w:tblCellMar>
          <w:top w:w="0" w:type="dxa"/>
          <w:left w:w="0" w:type="dxa"/>
          <w:bottom w:w="0" w:type="dxa"/>
          <w:right w:w="0" w:type="dxa"/>
        </w:tblCellMar>
      </w:tblPr>
      <w:tblGrid>
        <w:gridCol w:w="995"/>
        <w:gridCol w:w="1925"/>
      </w:tblGrid>
      <w:tr>
        <w:trPr/>
        <w:tc>
          <w:tcPr>
            <w:tcW w:w="995" w:type="dxa"/>
            <w:tcBorders/>
            <w:vAlign w:val="center"/>
          </w:tcPr>
          <w:p>
            <w:pPr>
              <w:pStyle w:val="TableContents"/>
              <w:bidi w:val="0"/>
              <w:spacing w:before="0" w:after="283"/>
              <w:jc w:val="left"/>
              <w:rPr>
                <w:i/>
                <w:u w:val="single"/>
              </w:rPr>
            </w:pPr>
            <w:r>
              <w:rPr>
                <w:i/>
                <w:u w:val="single"/>
              </w:rPr>
              <w:t>New Issue</w:t>
            </w:r>
          </w:p>
        </w:tc>
        <w:tc>
          <w:tcPr>
            <w:tcW w:w="1925" w:type="dxa"/>
            <w:tcBorders/>
            <w:vAlign w:val="center"/>
          </w:tcPr>
          <w:p>
            <w:pPr>
              <w:pStyle w:val="TableContents"/>
              <w:bidi w:val="0"/>
              <w:spacing w:before="0" w:after="283"/>
              <w:jc w:val="right"/>
              <w:rPr/>
            </w:pPr>
            <w:r>
              <w:rPr/>
              <w:t>November 10, 2023</w:t>
            </w:r>
          </w:p>
        </w:tc>
      </w:tr>
    </w:tbl>
    <w:p>
      <w:pPr>
        <w:pStyle w:val="TextBody"/>
        <w:bidi w:val="0"/>
        <w:jc w:val="both"/>
        <w:rPr/>
      </w:pPr>
      <w:r>
        <w:rPr/>
        <w:t> </w:t>
      </w:r>
    </w:p>
    <w:p>
      <w:pPr>
        <w:pStyle w:val="TextBody"/>
        <w:bidi w:val="0"/>
        <w:jc w:val="both"/>
        <w:rPr/>
      </w:pPr>
      <w:r>
        <w:rPr/>
        <w:t> </w:t>
      </w:r>
    </w:p>
    <w:p>
      <w:pPr>
        <w:pStyle w:val="TextBody"/>
        <w:bidi w:val="0"/>
        <w:jc w:val="center"/>
        <w:rPr/>
      </w:pPr>
      <w:r>
        <w:rPr/>
        <w:drawing>
          <wp:inline distT="0" distB="0" distL="0" distR="0">
            <wp:extent cx="15621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933450"/>
                    </a:xfrm>
                    <a:prstGeom prst="rect">
                      <a:avLst/>
                    </a:prstGeom>
                  </pic:spPr>
                </pic:pic>
              </a:graphicData>
            </a:graphic>
          </wp:inline>
        </w:drawing>
      </w:r>
    </w:p>
    <w:p>
      <w:pPr>
        <w:pStyle w:val="TextBody"/>
        <w:bidi w:val="0"/>
        <w:jc w:val="center"/>
        <w:rPr>
          <w:b/>
        </w:rPr>
      </w:pPr>
      <w:r>
        <w:rPr>
          <w:b/>
        </w:rPr>
        <w:t>CYBIN INC.</w:t>
      </w:r>
    </w:p>
    <w:p>
      <w:pPr>
        <w:pStyle w:val="TextBody"/>
        <w:bidi w:val="0"/>
        <w:jc w:val="center"/>
        <w:rPr>
          <w:b/>
        </w:rPr>
      </w:pPr>
      <w:r>
        <w:rPr>
          <w:b/>
        </w:rPr>
        <w:t>US$30,000,000</w:t>
      </w:r>
    </w:p>
    <w:p>
      <w:pPr>
        <w:pStyle w:val="TextBody"/>
        <w:bidi w:val="0"/>
        <w:jc w:val="center"/>
        <w:rPr>
          <w:b/>
        </w:rPr>
      </w:pPr>
      <w:r>
        <w:rPr>
          <w:b/>
        </w:rPr>
        <w:t>66,666,667 Units</w:t>
      </w:r>
    </w:p>
    <w:p>
      <w:pPr>
        <w:pStyle w:val="TextBody"/>
        <w:bidi w:val="0"/>
        <w:jc w:val="center"/>
        <w:rPr/>
      </w:pPr>
      <w:r>
        <w:rPr/>
        <w:t>____________________________________</w:t>
      </w:r>
    </w:p>
    <w:p>
      <w:pPr>
        <w:pStyle w:val="TextBody"/>
        <w:bidi w:val="0"/>
        <w:jc w:val="center"/>
        <w:rPr/>
      </w:pPr>
      <w:r>
        <w:rPr/>
        <w:t>Price: US$0.45 per Unit</w:t>
        <w:br/>
        <w:t>____________________________________</w:t>
      </w:r>
    </w:p>
    <w:p>
      <w:pPr>
        <w:pStyle w:val="TextBody"/>
        <w:bidi w:val="0"/>
        <w:jc w:val="both"/>
        <w:rPr/>
      </w:pPr>
      <w:r>
        <w:rPr/>
        <w:t>Cybin Inc. (“</w:t>
      </w:r>
      <w:r>
        <w:rPr>
          <w:b/>
        </w:rPr>
        <w:t>Cybin</w:t>
      </w:r>
      <w:r>
        <w:rPr/>
        <w:t>” or the “</w:t>
      </w:r>
      <w:r>
        <w:rPr>
          <w:b/>
        </w:rPr>
        <w:t>Corporation</w:t>
      </w:r>
      <w:r>
        <w:rPr/>
        <w:t>”) is hereby qualifying the distribution (the “</w:t>
      </w:r>
      <w:r>
        <w:rPr>
          <w:b/>
        </w:rPr>
        <w:t>Offering</w:t>
      </w:r>
      <w:r>
        <w:rPr/>
        <w:t>”) of 66,666,667 units of the Corporation (the “</w:t>
      </w:r>
      <w:r>
        <w:rPr>
          <w:b/>
        </w:rPr>
        <w:t>Units</w:t>
      </w:r>
      <w:r>
        <w:rPr/>
        <w:t>”) at a price of US$0.45 per Unit (the “</w:t>
      </w:r>
      <w:r>
        <w:rPr>
          <w:b/>
        </w:rPr>
        <w:t>Offering Price</w:t>
      </w:r>
      <w:r>
        <w:rPr/>
        <w:t>”) for aggregate gross proceeds of US$30,000,000.15. Each Unit will be comprised of one Common Share (as defined herein) (each, a “</w:t>
      </w:r>
      <w:r>
        <w:rPr>
          <w:b/>
        </w:rPr>
        <w:t>Unit Share</w:t>
      </w:r>
      <w:r>
        <w:rPr/>
        <w:t>”) and one Common Share purchase warrant (each, a “</w:t>
      </w:r>
      <w:r>
        <w:rPr>
          <w:b/>
        </w:rPr>
        <w:t>Warrant</w:t>
      </w:r>
      <w:r>
        <w:rPr/>
        <w:t>”). Each Warrant shall be exercisable to acquire one Common Share (each, a “</w:t>
      </w:r>
      <w:r>
        <w:rPr>
          <w:b/>
        </w:rPr>
        <w:t>Warrant Share</w:t>
      </w:r>
      <w:r>
        <w:rPr/>
        <w:t>”), subject to adjustment in certain circumstances, at an exercise price of US$0.51 (the “</w:t>
      </w:r>
      <w:r>
        <w:rPr>
          <w:b/>
        </w:rPr>
        <w:t>Warrant Exercise Price</w:t>
      </w:r>
      <w:r>
        <w:rPr/>
        <w:t>”), at any time during the period beginning six (6) months from the date of closing of the Offering until 66 months from the closing of the Offering (the “</w:t>
      </w:r>
      <w:r>
        <w:rPr>
          <w:b/>
        </w:rPr>
        <w:t>Warrant Expiry Date</w:t>
      </w:r>
      <w:r>
        <w:rPr/>
        <w:t>”), subject to acceleration in certain circumstances. The Unit Shares and Warrants comprising the Units will be separated immediately upon closing of the Offering. This Prospectus Supplement together with the Base Shelf Prospectus qualifies the distribution of the Unit Shares and Warrants comprising the Units.</w:t>
      </w:r>
    </w:p>
    <w:p>
      <w:pPr>
        <w:pStyle w:val="TextBody"/>
        <w:bidi w:val="0"/>
        <w:jc w:val="both"/>
        <w:rPr/>
      </w:pPr>
      <w:r>
        <w:rPr/>
        <w:t>This Prospectus Supplement also qualifies for distribution in the United States, 66,666,667 Warrant Shares issuable from time to time on exercise of the Warrants issuable under this Prospectus Supplement, and such indeterminate number of additional Warrant Shares that may be issuable by reason of the anti-dilution provisions forming part of the terms and conditions of the Warrants</w:t>
      </w:r>
    </w:p>
    <w:p>
      <w:pPr>
        <w:pStyle w:val="TextBody"/>
        <w:bidi w:val="0"/>
        <w:jc w:val="both"/>
        <w:rPr/>
      </w:pPr>
      <w:r>
        <w:rPr/>
        <w:t>The Offering is being made in the Province of Ontario, and in the United States. The Units are being issued pursuant to an underwriting agreement dated November 10, 2023 (the “</w:t>
      </w:r>
      <w:r>
        <w:rPr>
          <w:b/>
        </w:rPr>
        <w:t>Underwriting Agreement</w:t>
      </w:r>
      <w:r>
        <w:rPr/>
        <w:t>”) between the Corporation and A.G.P./Alliance Global Partners as sole bookrunner and lead underwriter (the “</w:t>
      </w:r>
      <w:r>
        <w:rPr>
          <w:b/>
        </w:rPr>
        <w:t>Underwriter</w:t>
      </w:r>
      <w:r>
        <w:rPr/>
        <w:t>”), relating to the Units offered by this Prospectus Supplement and the accompanying Base Shelf Prospectus. The Units will be offered in Canada and the United States through the Underwriter either directly or through its respective U.S. or Canadian broker-dealer affiliates or agents. The Offering is being made concurrently in the United States under the terms of a registration statement filed under the United States Securities Act of 1933, as amended (the “</w:t>
      </w:r>
      <w:r>
        <w:rPr>
          <w:b/>
        </w:rPr>
        <w:t>Securities Act</w:t>
      </w:r>
      <w:r>
        <w:rPr/>
        <w:t>”) on Form F-10, as amended (File No. 333-272706) (the “</w:t>
      </w:r>
      <w:r>
        <w:rPr>
          <w:b/>
        </w:rPr>
        <w:t>Registration Statement</w:t>
      </w:r>
      <w:r>
        <w:rPr/>
        <w:t>”), of which this Prospectus Supplement forms a part, filed with the United States Securities and Exchange Commission (the “</w:t>
      </w:r>
      <w:r>
        <w:rPr>
          <w:b/>
        </w:rPr>
        <w:t>SEC</w:t>
      </w:r>
      <w:r>
        <w:rPr/>
        <w:t>”). The Units will be offered in the United States by the Underwriter under a prospectus supplement filed with the SEC, and in Canada by the Underwriter under this Prospectus Supplement</w:t>
      </w:r>
      <w:r>
        <w:rPr>
          <w:b/>
        </w:rPr>
        <w:t xml:space="preserve">. </w:t>
      </w:r>
      <w:r>
        <w:rPr/>
        <w:t>See “</w:t>
      </w:r>
      <w:r>
        <w:rPr>
          <w:i/>
        </w:rPr>
        <w:t>Plan of Distribution</w:t>
      </w:r>
      <w:r>
        <w:rPr/>
        <w:t>”.</w:t>
      </w:r>
    </w:p>
    <w:p>
      <w:pPr>
        <w:pStyle w:val="HorizontalLine"/>
        <w:pBdr>
          <w:bottom w:val="single" w:sz="30" w:space="0" w:color="000000"/>
        </w:pBdr>
        <w:bidi w:val="0"/>
        <w:jc w:val="left"/>
        <w:rPr/>
      </w:pPr>
      <w:r>
        <w:rPr/>
      </w:r>
    </w:p>
    <w:p>
      <w:pPr>
        <w:pStyle w:val="TextBody"/>
        <w:bidi w:val="0"/>
        <w:spacing w:before="0" w:after="283"/>
        <w:jc w:val="left"/>
        <w:rPr/>
      </w:pPr>
      <w:r>
        <w:rPr/>
      </w:r>
      <w:bookmarkStart w:id="5" w:name="page_2"/>
      <w:bookmarkStart w:id="6" w:name="page_2"/>
      <w:bookmarkEnd w:id="6"/>
    </w:p>
    <w:tbl>
      <w:tblPr>
        <w:tblW w:w="7745" w:type="dxa"/>
        <w:jc w:val="left"/>
        <w:tblInd w:w="0" w:type="dxa"/>
        <w:tblLayout w:type="fixed"/>
        <w:tblCellMar>
          <w:top w:w="0" w:type="dxa"/>
          <w:left w:w="0" w:type="dxa"/>
          <w:bottom w:w="0" w:type="dxa"/>
          <w:right w:w="0" w:type="dxa"/>
        </w:tblCellMar>
      </w:tblPr>
      <w:tblGrid>
        <w:gridCol w:w="830"/>
        <w:gridCol w:w="60"/>
        <w:gridCol w:w="60"/>
        <w:gridCol w:w="2105"/>
        <w:gridCol w:w="60"/>
        <w:gridCol w:w="60"/>
        <w:gridCol w:w="2330"/>
        <w:gridCol w:w="60"/>
        <w:gridCol w:w="60"/>
        <w:gridCol w:w="2045"/>
        <w:gridCol w:w="75"/>
      </w:tblGrid>
      <w:tr>
        <w:trPr/>
        <w:tc>
          <w:tcPr>
            <w:tcW w:w="8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105" w:type="dxa"/>
            <w:tcBorders>
              <w:bottom w:val="single" w:sz="6" w:space="0" w:color="000000"/>
            </w:tcBorders>
            <w:tcMar>
              <w:bottom w:w="28" w:type="dxa"/>
            </w:tcMar>
            <w:vAlign w:val="center"/>
          </w:tcPr>
          <w:p>
            <w:pPr>
              <w:pStyle w:val="TableContents"/>
              <w:bidi w:val="0"/>
              <w:spacing w:before="0" w:after="283"/>
              <w:jc w:val="center"/>
              <w:rPr/>
            </w:pPr>
            <w:r>
              <w:rPr>
                <w:b/>
              </w:rPr>
              <w:t>Price to the Public</w:t>
            </w:r>
            <w:r>
              <w:rPr>
                <w:b/>
                <w:position w:val="8"/>
                <w:sz w:val="19"/>
              </w:rPr>
              <w:t>(1)</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330" w:type="dxa"/>
            <w:tcBorders>
              <w:bottom w:val="single" w:sz="6" w:space="0" w:color="000000"/>
            </w:tcBorders>
            <w:tcMar>
              <w:bottom w:w="28" w:type="dxa"/>
            </w:tcMar>
            <w:vAlign w:val="center"/>
          </w:tcPr>
          <w:p>
            <w:pPr>
              <w:pStyle w:val="TableContents"/>
              <w:bidi w:val="0"/>
              <w:spacing w:before="0" w:after="283"/>
              <w:jc w:val="center"/>
              <w:rPr/>
            </w:pPr>
            <w:r>
              <w:rPr>
                <w:b/>
              </w:rPr>
              <w:t>Underwriter's Fee</w:t>
            </w:r>
            <w:r>
              <w:rPr>
                <w:b/>
                <w:position w:val="8"/>
                <w:sz w:val="19"/>
              </w:rPr>
              <w:t>(2)(3)</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2045" w:type="dxa"/>
            <w:tcBorders>
              <w:bottom w:val="single" w:sz="6" w:space="0" w:color="000000"/>
            </w:tcBorders>
            <w:tcMar>
              <w:bottom w:w="28" w:type="dxa"/>
            </w:tcMar>
            <w:vAlign w:val="center"/>
          </w:tcPr>
          <w:p>
            <w:pPr>
              <w:pStyle w:val="TableContents"/>
              <w:bidi w:val="0"/>
              <w:spacing w:before="0" w:after="283"/>
              <w:jc w:val="center"/>
              <w:rPr/>
            </w:pPr>
            <w:r>
              <w:rPr>
                <w:b/>
              </w:rPr>
              <w:t xml:space="preserve">Net Proceeds to the </w:t>
              <w:br/>
              <w:t>Corporation</w:t>
            </w:r>
            <w:r>
              <w:rPr>
                <w:b/>
                <w:position w:val="8"/>
                <w:sz w:val="19"/>
              </w:rPr>
              <w:t>(3)(4)</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830" w:type="dxa"/>
            <w:tcBorders/>
            <w:shd w:fill="E6EFFF" w:val="clear"/>
            <w:vAlign w:val="center"/>
          </w:tcPr>
          <w:p>
            <w:pPr>
              <w:pStyle w:val="TableContents"/>
              <w:bidi w:val="0"/>
              <w:spacing w:before="0" w:after="0"/>
              <w:jc w:val="left"/>
              <w:rPr/>
            </w:pPr>
            <w:r>
              <w:rPr/>
              <w:t>Per Unit</w:t>
            </w:r>
          </w:p>
        </w:tc>
        <w:tc>
          <w:tcPr>
            <w:tcW w:w="60" w:type="dxa"/>
            <w:tcBorders/>
            <w:shd w:fill="E6EFFF" w:val="clear"/>
            <w:vAlign w:val="center"/>
          </w:tcPr>
          <w:p>
            <w:pPr>
              <w:pStyle w:val="TableContents"/>
              <w:bidi w:val="0"/>
              <w:spacing w:before="0" w:after="0"/>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2105" w:type="dxa"/>
            <w:tcBorders>
              <w:top w:val="single" w:sz="6" w:space="0" w:color="000000"/>
            </w:tcBorders>
            <w:shd w:fill="E6EFFF" w:val="clear"/>
            <w:tcMar>
              <w:top w:w="28" w:type="dxa"/>
            </w:tcMar>
            <w:vAlign w:val="center"/>
          </w:tcPr>
          <w:p>
            <w:pPr>
              <w:pStyle w:val="TableContents"/>
              <w:bidi w:val="0"/>
              <w:spacing w:before="0" w:after="283"/>
              <w:jc w:val="center"/>
              <w:rPr/>
            </w:pPr>
            <w:r>
              <w:rPr/>
              <w:t>US$0.45</w:t>
            </w:r>
          </w:p>
        </w:tc>
        <w:tc>
          <w:tcPr>
            <w:tcW w:w="60" w:type="dxa"/>
            <w:tcBorders/>
            <w:shd w:fill="E6EFFF" w:val="clear"/>
            <w:vAlign w:val="center"/>
          </w:tcPr>
          <w:p>
            <w:pPr>
              <w:pStyle w:val="TableContents"/>
              <w:bidi w:val="0"/>
              <w:spacing w:before="0" w:after="283"/>
              <w:jc w:val="center"/>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center"/>
              <w:rPr/>
            </w:pPr>
            <w:r>
              <w:rPr/>
              <w:t> </w:t>
            </w:r>
          </w:p>
        </w:tc>
        <w:tc>
          <w:tcPr>
            <w:tcW w:w="2330" w:type="dxa"/>
            <w:tcBorders>
              <w:top w:val="single" w:sz="6" w:space="0" w:color="000000"/>
            </w:tcBorders>
            <w:shd w:fill="E6EFFF" w:val="clear"/>
            <w:tcMar>
              <w:top w:w="28" w:type="dxa"/>
            </w:tcMar>
            <w:vAlign w:val="center"/>
          </w:tcPr>
          <w:p>
            <w:pPr>
              <w:pStyle w:val="TableContents"/>
              <w:bidi w:val="0"/>
              <w:spacing w:before="0" w:after="283"/>
              <w:jc w:val="center"/>
              <w:rPr/>
            </w:pPr>
            <w:r>
              <w:rPr/>
              <w:t>US$0.02295</w:t>
            </w:r>
          </w:p>
        </w:tc>
        <w:tc>
          <w:tcPr>
            <w:tcW w:w="60" w:type="dxa"/>
            <w:tcBorders/>
            <w:shd w:fill="E6EFFF" w:val="clear"/>
            <w:vAlign w:val="center"/>
          </w:tcPr>
          <w:p>
            <w:pPr>
              <w:pStyle w:val="TableContents"/>
              <w:bidi w:val="0"/>
              <w:spacing w:before="0" w:after="283"/>
              <w:jc w:val="center"/>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center"/>
              <w:rPr/>
            </w:pPr>
            <w:r>
              <w:rPr/>
              <w:t> </w:t>
            </w:r>
          </w:p>
        </w:tc>
        <w:tc>
          <w:tcPr>
            <w:tcW w:w="2045" w:type="dxa"/>
            <w:tcBorders>
              <w:top w:val="single" w:sz="6" w:space="0" w:color="000000"/>
            </w:tcBorders>
            <w:shd w:fill="E6EFFF" w:val="clear"/>
            <w:tcMar>
              <w:top w:w="28" w:type="dxa"/>
            </w:tcMar>
            <w:vAlign w:val="center"/>
          </w:tcPr>
          <w:p>
            <w:pPr>
              <w:pStyle w:val="TableContents"/>
              <w:bidi w:val="0"/>
              <w:spacing w:before="0" w:after="283"/>
              <w:jc w:val="center"/>
              <w:rPr/>
            </w:pPr>
            <w:r>
              <w:rPr/>
              <w:t>US$0.42705</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0"/>
              <w:jc w:val="left"/>
              <w:rPr/>
            </w:pPr>
            <w:r>
              <w:rPr/>
              <w:t>Total</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US$30,000,000.15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30" w:type="dxa"/>
            <w:tcBorders/>
            <w:vAlign w:val="center"/>
          </w:tcPr>
          <w:p>
            <w:pPr>
              <w:pStyle w:val="TableContents"/>
              <w:bidi w:val="0"/>
              <w:spacing w:before="0" w:after="283"/>
              <w:jc w:val="center"/>
              <w:rPr/>
            </w:pPr>
            <w:r>
              <w:rPr/>
              <w:t>US$1,529,999.98</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45" w:type="dxa"/>
            <w:tcBorders/>
            <w:vAlign w:val="center"/>
          </w:tcPr>
          <w:p>
            <w:pPr>
              <w:pStyle w:val="TableContents"/>
              <w:bidi w:val="0"/>
              <w:spacing w:before="0" w:after="283"/>
              <w:jc w:val="center"/>
              <w:rPr/>
            </w:pPr>
            <w:r>
              <w:rPr/>
              <w:t>US$28,470,000.17</w:t>
            </w:r>
          </w:p>
        </w:tc>
        <w:tc>
          <w:tcPr>
            <w:tcW w:w="75" w:type="dxa"/>
            <w:tcBorders/>
            <w:vAlign w:val="center"/>
          </w:tcPr>
          <w:p>
            <w:pPr>
              <w:pStyle w:val="TableContents"/>
              <w:bidi w:val="0"/>
              <w:spacing w:before="0" w:after="283"/>
              <w:jc w:val="left"/>
              <w:rPr/>
            </w:pPr>
            <w:r>
              <w:rPr/>
              <w:t> </w:t>
            </w:r>
          </w:p>
        </w:tc>
      </w:tr>
    </w:tbl>
    <w:p>
      <w:pPr>
        <w:pStyle w:val="TextBody"/>
        <w:bidi w:val="0"/>
        <w:ind w:left="142" w:right="0" w:hanging="0"/>
        <w:jc w:val="both"/>
        <w:rPr>
          <w:b/>
        </w:rPr>
      </w:pPr>
      <w:r>
        <w:rPr>
          <w:b/>
        </w:rPr>
        <w:t>Notes:</w:t>
      </w:r>
    </w:p>
    <w:p>
      <w:pPr>
        <w:pStyle w:val="TextBody"/>
        <w:bidi w:val="0"/>
        <w:spacing w:before="0" w:after="0"/>
        <w:ind w:left="720" w:right="0" w:hanging="0"/>
        <w:jc w:val="both"/>
        <w:rPr/>
      </w:pPr>
      <w:r>
        <w:rPr/>
        <w:t>(1) The Offering Price was determined by arm's length negotiation between the Corporation and the Underwriter with reference to the then-current market price of the Common Shares (as defined below). </w:t>
      </w:r>
    </w:p>
    <w:p>
      <w:pPr>
        <w:pStyle w:val="TextBody"/>
        <w:bidi w:val="0"/>
        <w:spacing w:before="0" w:after="0"/>
        <w:ind w:left="720" w:right="0" w:hanging="0"/>
        <w:jc w:val="both"/>
        <w:rPr/>
      </w:pPr>
      <w:r>
        <w:rPr/>
        <w:t>(2) The Corporation has agreed to pay the Underwriter a commission equal to 6.0% of the total gross proceeds of the Offering (the "</w:t>
      </w:r>
      <w:r>
        <w:rPr>
          <w:b/>
        </w:rPr>
        <w:t>Underwriter's Fee</w:t>
      </w:r>
      <w:r>
        <w:rPr/>
        <w:t>"). The Underwriter's Fee shall be reduced to 1.5% with respect to total gross proceeds received from the sale of Units to purchasers identified by the Corporation (the "</w:t>
      </w:r>
      <w:r>
        <w:rPr>
          <w:b/>
        </w:rPr>
        <w:t>President's List</w:t>
      </w:r>
      <w:r>
        <w:rPr/>
        <w:t>").</w:t>
      </w:r>
    </w:p>
    <w:p>
      <w:pPr>
        <w:pStyle w:val="TextBody"/>
        <w:bidi w:val="0"/>
        <w:spacing w:before="0" w:after="0"/>
        <w:ind w:left="719" w:right="0" w:hanging="0"/>
        <w:jc w:val="both"/>
        <w:rPr/>
      </w:pPr>
      <w:r>
        <w:rPr/>
        <w:t>(3) Assumes a total of 13,333,335 Units, representing gross proceeds of US$6,000,000.75, are being purchased under the President's List.</w:t>
      </w:r>
    </w:p>
    <w:p>
      <w:pPr>
        <w:pStyle w:val="TextBody"/>
        <w:bidi w:val="0"/>
        <w:spacing w:before="0" w:after="283"/>
        <w:ind w:left="720" w:right="0" w:hanging="0"/>
        <w:jc w:val="both"/>
        <w:rPr/>
      </w:pPr>
      <w:r>
        <w:rPr/>
        <w:t>(4) After deducting the Underwriter's Fee, but before deducting the expenses of the Offering (estimated to be approximately US$400,000, which together with the Underwriter's Fee, will be paid from the gross proceeds of the Offering).</w:t>
      </w:r>
    </w:p>
    <w:p>
      <w:pPr>
        <w:pStyle w:val="TextBody"/>
        <w:bidi w:val="0"/>
        <w:jc w:val="both"/>
        <w:rPr/>
      </w:pPr>
      <w:r>
        <w:rPr/>
        <w:t xml:space="preserve">The Underwriter, as principal, conditionally offers the Units in connection with the Offering, subject to prior sale, if, as and when issued by the Corporation and accepted by the Underwriter in accordance with the conditions contained in the Underwriting Agreement referred to under </w:t>
      </w:r>
      <w:r>
        <w:rPr>
          <w:i/>
        </w:rPr>
        <w:t>"Plan of Distribution"</w:t>
      </w:r>
      <w:r>
        <w:rPr/>
        <w:t xml:space="preserve"> and subject to the passing upon of certain legal matters relating to the Offering on behalf of the Corporation by Aird &amp; Berlis LLP with respect to Canadian legal matters and Dorsey &amp; Whitney LLP with respect to United States legal matters, and on behalf of the Underwriter by Bennett Jones LLP with respect to certain Canadian legal matters, and by Mintz, Levin, Cohn, Ferris, Glovsky and Popeo, P.C. with respect to certain United States legal matters.</w:t>
      </w:r>
    </w:p>
    <w:p>
      <w:pPr>
        <w:pStyle w:val="TextBody"/>
        <w:bidi w:val="0"/>
        <w:jc w:val="both"/>
        <w:rPr/>
      </w:pPr>
      <w:r>
        <w:rPr/>
        <w:t>Subscriptions for the Units will be received subject to rejection or allotment in whole or in part and the Underwriter reserves the right to close the subscription books at any time without notice. Closing of the Offering is expected to occur on or about November 15, 2023, or such other date as the Corporation and the Underwriter may agree (the "</w:t>
      </w:r>
      <w:r>
        <w:rPr>
          <w:b/>
        </w:rPr>
        <w:t>Closing Date</w:t>
      </w:r>
      <w:r>
        <w:rPr/>
        <w:t>"), provided that the Units are to be taken up by the Underwriter on or before the date that is not later than 42 days after the date of this Prospectus Supplement. See "</w:t>
      </w:r>
      <w:r>
        <w:rPr>
          <w:i/>
        </w:rPr>
        <w:t>Plan of Distribution</w:t>
      </w:r>
      <w:r>
        <w:rPr/>
        <w:t>".</w:t>
      </w:r>
    </w:p>
    <w:p>
      <w:pPr>
        <w:pStyle w:val="TextBody"/>
        <w:bidi w:val="0"/>
        <w:jc w:val="both"/>
        <w:rPr/>
      </w:pPr>
      <w:r>
        <w:rPr/>
        <w:t>It is expected that the Unit Shares distributed under this Prospectus Supplement will be available for delivery in the book-based system of registration to be registered in the name of CDS Clearing and Depository Services Inc. ("</w:t>
      </w:r>
      <w:r>
        <w:rPr>
          <w:b/>
        </w:rPr>
        <w:t>CDS</w:t>
      </w:r>
      <w:r>
        <w:rPr/>
        <w:t>") or its nominee or The Depositary Trust Company ("</w:t>
      </w:r>
      <w:r>
        <w:rPr>
          <w:b/>
        </w:rPr>
        <w:t>DTC</w:t>
      </w:r>
      <w:r>
        <w:rPr/>
        <w:t>") and deposited with CDS or DTC on the Closing Date. Generally, a purchaser of Securities will receive only a customer confirmation from the Underwriter or other registered dealer who is a CDS participant (a "</w:t>
      </w:r>
      <w:r>
        <w:rPr>
          <w:b/>
        </w:rPr>
        <w:t>CDS Participant</w:t>
      </w:r>
      <w:r>
        <w:rPr/>
        <w:t>") through which the Unit Shares are purchased. For purchasers receiving Unit Shares through CDS's book-based system, CDS will record the CDS Participants who hold Unit Shares on behalf of owners who have purchased Unit Shares in accordance with the book-based system. Definitive certificates representing the Warrants will be available for delivery on the Closing Date.</w:t>
      </w:r>
    </w:p>
    <w:p>
      <w:pPr>
        <w:pStyle w:val="TextBody"/>
        <w:bidi w:val="0"/>
        <w:jc w:val="both"/>
        <w:rPr/>
      </w:pPr>
      <w:r>
        <w:rPr/>
        <w:t>The common shares in the capital of the Corporation (the "</w:t>
      </w:r>
      <w:r>
        <w:rPr>
          <w:b/>
        </w:rPr>
        <w:t>Common Shares</w:t>
      </w:r>
      <w:r>
        <w:rPr/>
        <w:t>") are listed on the Neo Exchange Inc., now operating as Cboe Canada (the "</w:t>
      </w:r>
      <w:r>
        <w:rPr>
          <w:b/>
        </w:rPr>
        <w:t>NEO</w:t>
      </w:r>
      <w:r>
        <w:rPr/>
        <w:t>") under the trading symbol "CYBN", and in the United States on the NYSE American LLC (the "</w:t>
      </w:r>
      <w:r>
        <w:rPr>
          <w:b/>
        </w:rPr>
        <w:t>NYSE American</w:t>
      </w:r>
      <w:r>
        <w:rPr/>
        <w:t>") under the symbol "CYBN". On November 9, 2023, the last trading day prior to the announcement of the Offering, the closing prices of the Common Shares listed on the NEO and NYSE American were $0.70 and US$0.5054, respectively.</w:t>
      </w:r>
    </w:p>
    <w:p>
      <w:pPr>
        <w:pStyle w:val="TextBody"/>
        <w:bidi w:val="0"/>
        <w:jc w:val="both"/>
        <w:rPr/>
      </w:pPr>
      <w:r>
        <w:rPr/>
        <w:t>The Corporation has applied to list the Unit Shares offered by this Prospectus Supplement, and the Warrant Shares issuable upon exercise of the Warrants, as applicable on the NEO and the NYSE American, respectively. Listing will be subject to the Corporation fulfilling all of the listing requirements of the NEO and the NYSE American, as applicable. The Warrants will not be listed on the NEO or the NYSE American. There is currently no market through which the Warrants may be sold and purchasers may not be able to resell the Warrants purchased under this Prospectus Supplement. This may affect the pricing of the securities in the secondary market, the transparency and availability of trading prices, the liquidity of the securities, and the extent of issuer regulation. See "</w:t>
      </w:r>
      <w:r>
        <w:rPr>
          <w:i/>
        </w:rPr>
        <w:t>Risk Factors</w:t>
      </w:r>
      <w:r>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ii</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7" w:name="page_3"/>
      <w:bookmarkEnd w:id="7"/>
      <w:r>
        <w:rPr/>
        <w:t xml:space="preserve">In connection with the Offering, the Underwriter may effect transactions that stabilize or maintain the market price of the Common Shares at levels other than those that may otherwise exist in the open market. Such transactions, if commenced, may be discontinued at any time. </w:t>
      </w:r>
      <w:r>
        <w:rPr>
          <w:b/>
        </w:rPr>
        <w:t>After the Underwriter has made reasonable efforts to sell all of the Units at the Offering Price, the Underwriter may subsequently reduce the selling price to investors from time to time in order to sell any of the Units remaining unsold. Any such reduction will not affect the proceeds received by the Corporation. See "</w:t>
      </w:r>
      <w:r>
        <w:rPr>
          <w:b/>
          <w:i/>
        </w:rPr>
        <w:t>Plan of Distribution</w:t>
      </w:r>
      <w:r>
        <w:rPr>
          <w:b/>
        </w:rPr>
        <w:t>".</w:t>
      </w:r>
    </w:p>
    <w:p>
      <w:pPr>
        <w:pStyle w:val="TextBody"/>
        <w:bidi w:val="0"/>
        <w:jc w:val="both"/>
        <w:rPr/>
      </w:pPr>
      <w:r>
        <w:rPr>
          <w:b/>
        </w:rPr>
        <w:t>Prospective investors should be aware that the acquisition of the Units, Unit Shares and Warrants (collectively, the "Securities") described herein may have tax consequences both in Canada and the United States. Such consequences, for investors who are resident in, or citizens of, the United States, may not be described fully in this Prospectus Supplement or the accompanying Prospectus, including the Canadian federal income tax consequences applicable to a foreign controlled Canadian corporation that acquires Securities pursuant to this Offering. Investors should read the tax discussion in this Prospectus Supplement and consult their own tax advisors with respect to their own particular circumstances. See "</w:t>
      </w:r>
      <w:r>
        <w:rPr>
          <w:b/>
          <w:i/>
        </w:rPr>
        <w:t>Certain Canadian Federal Income Tax Considerations</w:t>
      </w:r>
      <w:r>
        <w:rPr>
          <w:b/>
        </w:rPr>
        <w:t>", "</w:t>
      </w:r>
      <w:r>
        <w:rPr>
          <w:b/>
          <w:i/>
        </w:rPr>
        <w:t>Certain United States Federal Income Tax Considerations to U.S. Holders</w:t>
      </w:r>
      <w:r>
        <w:rPr>
          <w:b/>
        </w:rPr>
        <w:t>" and "</w:t>
      </w:r>
      <w:r>
        <w:rPr>
          <w:b/>
          <w:i/>
        </w:rPr>
        <w:t>Risk Factors</w:t>
      </w:r>
      <w:r>
        <w:rPr>
          <w:b/>
        </w:rPr>
        <w:t xml:space="preserve">". </w:t>
      </w:r>
    </w:p>
    <w:p>
      <w:pPr>
        <w:pStyle w:val="TextBody"/>
        <w:bidi w:val="0"/>
        <w:jc w:val="both"/>
        <w:rPr>
          <w:b/>
        </w:rPr>
      </w:pPr>
      <w:r>
        <w:rPr>
          <w:b/>
        </w:rPr>
        <w:t>An investment in the Securities is highly speculative and involves significant risks that investors should consider before purchasing such Securities. Investors should carefully review the "Risk Factors" section of this Prospectus Supplement, the Base Shelf Prospectus and the documents incorporated by reference herein and therein as well as the information under the heading "Cautionary Note Regarding Forward-Looking Information".</w:t>
      </w:r>
    </w:p>
    <w:p>
      <w:pPr>
        <w:pStyle w:val="TextBody"/>
        <w:bidi w:val="0"/>
        <w:jc w:val="both"/>
        <w:rPr>
          <w:b/>
        </w:rPr>
      </w:pPr>
      <w:r>
        <w:rPr>
          <w:b/>
        </w:rPr>
        <w:t>The Offering is being made by a Canadian issuer that is permitted, under a multijurisdictional disclosure system adopted by the United States and Canada ("MJDS"), to prepare this Prospectus Supplement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("US GAAP"). Such financial statements are subject to the standards of the Public Company Accounting Oversight Board (United States) and the SEC independence standards.</w:t>
      </w:r>
    </w:p>
    <w:p>
      <w:pPr>
        <w:pStyle w:val="TextBody"/>
        <w:bidi w:val="0"/>
        <w:jc w:val="both"/>
        <w:rPr/>
      </w:pPr>
      <w:r>
        <w:rPr>
          <w:b/>
        </w:rPr>
        <w:t>The enforcement by investors of civil liabilities under the United States federal securities laws may be affected adversely by the fact that the Corporation is incorporated under the laws of Ontario, Canada, that the majority of its officers and directors are residents of Canada and that a substantial portion of the assets of the Corporation and said persons are located outside the United States. See "</w:t>
      </w:r>
      <w:r>
        <w:rPr>
          <w:b/>
          <w:i/>
        </w:rPr>
        <w:t>Enforceability of Civil Liabilities by U.S. Investors".</w:t>
      </w:r>
    </w:p>
    <w:p>
      <w:pPr>
        <w:pStyle w:val="TextBody"/>
        <w:bidi w:val="0"/>
        <w:jc w:val="both"/>
        <w:rPr/>
      </w:pPr>
      <w:r>
        <w:rPr/>
        <w:t>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pStyle w:val="TextBody"/>
        <w:bidi w:val="0"/>
        <w:jc w:val="both"/>
        <w:rPr/>
      </w:pPr>
      <w:r>
        <w:rPr/>
        <w:t>The financial information of the Corporation incorporated by reference in the Prospectus is presented in Canadian dollars. Unless otherwise noted herein, all references to "US$" are to United States dollars and all references to "C$" or "$", are to Canadian dollars. See "</w:t>
      </w:r>
      <w:r>
        <w:rPr>
          <w:i/>
        </w:rPr>
        <w:t>Currency and Exchange Rate</w:t>
      </w:r>
      <w:r>
        <w:rPr/>
        <w:t>".</w:t>
      </w:r>
    </w:p>
    <w:p>
      <w:pPr>
        <w:pStyle w:val="TextBody"/>
        <w:bidi w:val="0"/>
        <w:jc w:val="both"/>
        <w:rPr/>
      </w:pPr>
      <w:r>
        <w:rPr/>
        <w:t>The Corporation's head and registered office is located at 100 King Street West, Suite 5600, Toronto, ON M5X 1C9.</w:t>
      </w:r>
    </w:p>
    <w:p>
      <w:pPr>
        <w:pStyle w:val="TextBody"/>
        <w:bidi w:val="0"/>
        <w:jc w:val="both"/>
        <w:rPr>
          <w:b/>
        </w:rPr>
      </w:pPr>
      <w:r>
        <w:rPr>
          <w:b/>
        </w:rPr>
        <w:t>THESE SECURITIES HAVE NOT BEEN APPROVED OR DISAPPROVED BY THE SEC OR BY ANY STATE OR CANADIAN SECURITIES COMMISSION OR REGULATORY AUTHORITY, NOR HAS THE SEC OR ANY STATE OR CANADIAN SECURITIES COMMISSION PASSED UPON THE ACCURACY OR ADEQUACY OF THIS PROSPECTUS SUPPLEMENT OR THE ACCOMPANYING PROSPECTUS. ANY REPRESENTATION TO THE CONTRARY IS A CRIMINAL OFFENCE.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iii</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i/>
        </w:rPr>
      </w:pPr>
      <w:bookmarkStart w:id="8" w:name="page_4"/>
      <w:bookmarkEnd w:id="8"/>
      <w:r>
        <w:rPr>
          <w:i/>
        </w:rPr>
        <w:t>Sole Book-Running Manager</w:t>
      </w:r>
    </w:p>
    <w:p>
      <w:pPr>
        <w:pStyle w:val="TextBody"/>
        <w:bidi w:val="0"/>
        <w:jc w:val="center"/>
        <w:rPr>
          <w:b/>
          <w:sz w:val="28"/>
        </w:rPr>
      </w:pPr>
      <w:r>
        <w:rPr>
          <w:b/>
          <w:sz w:val="28"/>
        </w:rPr>
        <w:t>A.G.P.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iv</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9" w:name="page_5"/>
      <w:bookmarkEnd w:id="9"/>
      <w:r>
        <w:rPr>
          <w:b/>
        </w:rPr>
        <w:t>TABLE OF CONTENTS</w:t>
      </w:r>
    </w:p>
    <w:p>
      <w:pPr>
        <w:pStyle w:val="TextBody"/>
        <w:bidi w:val="0"/>
        <w:jc w:val="left"/>
        <w:rPr>
          <w:b/>
        </w:rPr>
      </w:pPr>
      <w:r>
        <w:rPr>
          <w:b/>
        </w:rPr>
        <w:t>Prospectus Supplement</w:t>
      </w:r>
    </w:p>
    <w:tbl>
      <w:tblPr>
        <w:tblW w:w="10205" w:type="dxa"/>
        <w:jc w:val="left"/>
        <w:tblInd w:w="0" w:type="dxa"/>
        <w:tblLayout w:type="fixed"/>
        <w:tblCellMar>
          <w:top w:w="0" w:type="dxa"/>
          <w:left w:w="0" w:type="dxa"/>
          <w:bottom w:w="0" w:type="dxa"/>
          <w:right w:w="0" w:type="dxa"/>
        </w:tblCellMar>
      </w:tblPr>
      <w:tblGrid>
        <w:gridCol w:w="9729"/>
        <w:gridCol w:w="476"/>
      </w:tblGrid>
      <w:tr>
        <w:trPr/>
        <w:tc>
          <w:tcPr>
            <w:tcW w:w="9729" w:type="dxa"/>
            <w:tcBorders/>
            <w:shd w:fill="EEEEEE" w:val="clear"/>
            <w:vAlign w:val="center"/>
          </w:tcPr>
          <w:p>
            <w:pPr>
              <w:pStyle w:val="TableContents"/>
              <w:bidi w:val="0"/>
              <w:spacing w:before="0" w:after="283"/>
              <w:jc w:val="left"/>
              <w:rPr/>
            </w:pPr>
            <w:hyperlink w:anchor="page_6">
              <w:r>
                <w:rPr>
                  <w:rStyle w:val="InternetLink"/>
                </w:rPr>
                <w:t>ABOUT THIS PROSPECTUS</w:t>
              </w:r>
            </w:hyperlink>
          </w:p>
        </w:tc>
        <w:tc>
          <w:tcPr>
            <w:tcW w:w="476" w:type="dxa"/>
            <w:tcBorders/>
            <w:shd w:fill="EEEEEE" w:val="clear"/>
            <w:vAlign w:val="center"/>
          </w:tcPr>
          <w:p>
            <w:pPr>
              <w:pStyle w:val="TableContents"/>
              <w:bidi w:val="0"/>
              <w:spacing w:before="0" w:after="283"/>
              <w:jc w:val="right"/>
              <w:rPr/>
            </w:pPr>
            <w:hyperlink w:anchor="page_6">
              <w:r>
                <w:rPr>
                  <w:rStyle w:val="InternetLink"/>
                </w:rPr>
                <w:t>S-1</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6">
              <w:r>
                <w:rPr>
                  <w:rStyle w:val="InternetLink"/>
                </w:rPr>
                <w:t>CAUTIONARY STATEMENT REGARDING FORWARD-LOOKING INFORMATION</w:t>
              </w:r>
            </w:hyperlink>
          </w:p>
        </w:tc>
        <w:tc>
          <w:tcPr>
            <w:tcW w:w="476" w:type="dxa"/>
            <w:tcBorders/>
            <w:shd w:fill="EEEEEE" w:val="clear"/>
            <w:vAlign w:val="center"/>
          </w:tcPr>
          <w:p>
            <w:pPr>
              <w:pStyle w:val="TableContents"/>
              <w:bidi w:val="0"/>
              <w:spacing w:before="0" w:after="283"/>
              <w:jc w:val="right"/>
              <w:rPr/>
            </w:pPr>
            <w:hyperlink w:anchor="page_6">
              <w:r>
                <w:rPr>
                  <w:rStyle w:val="InternetLink"/>
                </w:rPr>
                <w:t>S-1</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8">
              <w:r>
                <w:rPr>
                  <w:rStyle w:val="InternetLink"/>
                </w:rPr>
                <w:t>DOCUMENTS INCORPORATED BY REFERENCE</w:t>
              </w:r>
            </w:hyperlink>
          </w:p>
        </w:tc>
        <w:tc>
          <w:tcPr>
            <w:tcW w:w="476" w:type="dxa"/>
            <w:tcBorders/>
            <w:shd w:fill="EEEEEE" w:val="clear"/>
            <w:vAlign w:val="center"/>
          </w:tcPr>
          <w:p>
            <w:pPr>
              <w:pStyle w:val="TableContents"/>
              <w:bidi w:val="0"/>
              <w:spacing w:before="0" w:after="283"/>
              <w:jc w:val="right"/>
              <w:rPr/>
            </w:pPr>
            <w:hyperlink w:anchor="page_8">
              <w:r>
                <w:rPr>
                  <w:rStyle w:val="InternetLink"/>
                </w:rPr>
                <w:t>S-3</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10">
              <w:r>
                <w:rPr>
                  <w:rStyle w:val="InternetLink"/>
                </w:rPr>
                <w:t>DOCUMENTS FILED AS PART OF THE REGISTRATION STATEMENT</w:t>
              </w:r>
            </w:hyperlink>
          </w:p>
        </w:tc>
        <w:tc>
          <w:tcPr>
            <w:tcW w:w="476" w:type="dxa"/>
            <w:tcBorders/>
            <w:shd w:fill="EEEEEE" w:val="clear"/>
            <w:vAlign w:val="center"/>
          </w:tcPr>
          <w:p>
            <w:pPr>
              <w:pStyle w:val="TableContents"/>
              <w:bidi w:val="0"/>
              <w:spacing w:before="0" w:after="283"/>
              <w:jc w:val="right"/>
              <w:rPr/>
            </w:pPr>
            <w:hyperlink w:anchor="page_10">
              <w:r>
                <w:rPr>
                  <w:rStyle w:val="InternetLink"/>
                </w:rPr>
                <w:t>S-5</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10">
              <w:r>
                <w:rPr>
                  <w:rStyle w:val="InternetLink"/>
                </w:rPr>
                <w:t>CURRENCY AND EXCHANGE RATE INFORMATION</w:t>
              </w:r>
            </w:hyperlink>
          </w:p>
        </w:tc>
        <w:tc>
          <w:tcPr>
            <w:tcW w:w="476" w:type="dxa"/>
            <w:tcBorders/>
            <w:shd w:fill="EEEEEE" w:val="clear"/>
            <w:vAlign w:val="center"/>
          </w:tcPr>
          <w:p>
            <w:pPr>
              <w:pStyle w:val="TableContents"/>
              <w:bidi w:val="0"/>
              <w:spacing w:before="0" w:after="283"/>
              <w:jc w:val="right"/>
              <w:rPr/>
            </w:pPr>
            <w:hyperlink w:anchor="page_10">
              <w:r>
                <w:rPr>
                  <w:rStyle w:val="InternetLink"/>
                </w:rPr>
                <w:t>S-5</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10">
              <w:r>
                <w:rPr>
                  <w:rStyle w:val="InternetLink"/>
                </w:rPr>
                <w:t>THE CORPORATION</w:t>
              </w:r>
            </w:hyperlink>
          </w:p>
        </w:tc>
        <w:tc>
          <w:tcPr>
            <w:tcW w:w="476" w:type="dxa"/>
            <w:tcBorders/>
            <w:shd w:fill="EEEEEE" w:val="clear"/>
            <w:vAlign w:val="center"/>
          </w:tcPr>
          <w:p>
            <w:pPr>
              <w:pStyle w:val="TableContents"/>
              <w:bidi w:val="0"/>
              <w:spacing w:before="0" w:after="283"/>
              <w:jc w:val="right"/>
              <w:rPr/>
            </w:pPr>
            <w:hyperlink w:anchor="page_10">
              <w:r>
                <w:rPr>
                  <w:rStyle w:val="InternetLink"/>
                </w:rPr>
                <w:t>S-5</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14">
              <w:r>
                <w:rPr>
                  <w:rStyle w:val="InternetLink"/>
                </w:rPr>
                <w:t>DESCRIPTION OF SECURITIES BEING DISTRIBUTED</w:t>
              </w:r>
            </w:hyperlink>
          </w:p>
        </w:tc>
        <w:tc>
          <w:tcPr>
            <w:tcW w:w="476" w:type="dxa"/>
            <w:tcBorders/>
            <w:shd w:fill="EEEEEE" w:val="clear"/>
            <w:vAlign w:val="center"/>
          </w:tcPr>
          <w:p>
            <w:pPr>
              <w:pStyle w:val="TableContents"/>
              <w:bidi w:val="0"/>
              <w:spacing w:before="0" w:after="283"/>
              <w:jc w:val="right"/>
              <w:rPr/>
            </w:pPr>
            <w:hyperlink w:anchor="page_14">
              <w:r>
                <w:rPr>
                  <w:rStyle w:val="InternetLink"/>
                </w:rPr>
                <w:t>S-9</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16">
              <w:r>
                <w:rPr>
                  <w:rStyle w:val="InternetLink"/>
                </w:rPr>
                <w:t>USE OF PROCEEDS</w:t>
              </w:r>
            </w:hyperlink>
          </w:p>
        </w:tc>
        <w:tc>
          <w:tcPr>
            <w:tcW w:w="476" w:type="dxa"/>
            <w:tcBorders/>
            <w:shd w:fill="EEEEEE" w:val="clear"/>
            <w:vAlign w:val="center"/>
          </w:tcPr>
          <w:p>
            <w:pPr>
              <w:pStyle w:val="TableContents"/>
              <w:bidi w:val="0"/>
              <w:spacing w:before="0" w:after="283"/>
              <w:jc w:val="right"/>
              <w:rPr/>
            </w:pPr>
            <w:hyperlink w:anchor="page_16">
              <w:r>
                <w:rPr>
                  <w:rStyle w:val="InternetLink"/>
                </w:rPr>
                <w:t>S-11</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18">
              <w:r>
                <w:rPr>
                  <w:rStyle w:val="InternetLink"/>
                </w:rPr>
                <w:t>CONSOLIDATED CAPITALIZATION</w:t>
              </w:r>
            </w:hyperlink>
          </w:p>
        </w:tc>
        <w:tc>
          <w:tcPr>
            <w:tcW w:w="476" w:type="dxa"/>
            <w:tcBorders/>
            <w:shd w:fill="EEEEEE" w:val="clear"/>
            <w:vAlign w:val="center"/>
          </w:tcPr>
          <w:p>
            <w:pPr>
              <w:pStyle w:val="TableContents"/>
              <w:bidi w:val="0"/>
              <w:spacing w:before="0" w:after="283"/>
              <w:jc w:val="right"/>
              <w:rPr/>
            </w:pPr>
            <w:hyperlink w:anchor="page_18">
              <w:r>
                <w:rPr>
                  <w:rStyle w:val="InternetLink"/>
                </w:rPr>
                <w:t>S-13</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19">
              <w:r>
                <w:rPr>
                  <w:rStyle w:val="InternetLink"/>
                </w:rPr>
                <w:t>PLAN OF DISTRIBUTION</w:t>
              </w:r>
            </w:hyperlink>
          </w:p>
        </w:tc>
        <w:tc>
          <w:tcPr>
            <w:tcW w:w="476" w:type="dxa"/>
            <w:tcBorders/>
            <w:shd w:fill="EEEEEE" w:val="clear"/>
            <w:vAlign w:val="center"/>
          </w:tcPr>
          <w:p>
            <w:pPr>
              <w:pStyle w:val="TableContents"/>
              <w:bidi w:val="0"/>
              <w:spacing w:before="0" w:after="283"/>
              <w:jc w:val="right"/>
              <w:rPr/>
            </w:pPr>
            <w:hyperlink w:anchor="page_19">
              <w:r>
                <w:rPr>
                  <w:rStyle w:val="InternetLink"/>
                </w:rPr>
                <w:t>S-14</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20">
              <w:r>
                <w:rPr>
                  <w:rStyle w:val="InternetLink"/>
                </w:rPr>
                <w:t>TRADING PRICE AND VOLUME</w:t>
              </w:r>
            </w:hyperlink>
          </w:p>
        </w:tc>
        <w:tc>
          <w:tcPr>
            <w:tcW w:w="476" w:type="dxa"/>
            <w:tcBorders/>
            <w:shd w:fill="EEEEEE" w:val="clear"/>
            <w:vAlign w:val="center"/>
          </w:tcPr>
          <w:p>
            <w:pPr>
              <w:pStyle w:val="TableContents"/>
              <w:bidi w:val="0"/>
              <w:spacing w:before="0" w:after="283"/>
              <w:jc w:val="right"/>
              <w:rPr/>
            </w:pPr>
            <w:hyperlink w:anchor="page_20">
              <w:r>
                <w:rPr>
                  <w:rStyle w:val="InternetLink"/>
                </w:rPr>
                <w:t>S-15</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22">
              <w:r>
                <w:rPr>
                  <w:rStyle w:val="InternetLink"/>
                </w:rPr>
                <w:t>PRIOR SALES</w:t>
              </w:r>
            </w:hyperlink>
          </w:p>
        </w:tc>
        <w:tc>
          <w:tcPr>
            <w:tcW w:w="476" w:type="dxa"/>
            <w:tcBorders/>
            <w:shd w:fill="EEEEEE" w:val="clear"/>
            <w:vAlign w:val="center"/>
          </w:tcPr>
          <w:p>
            <w:pPr>
              <w:pStyle w:val="TableContents"/>
              <w:bidi w:val="0"/>
              <w:spacing w:before="0" w:after="283"/>
              <w:jc w:val="right"/>
              <w:rPr/>
            </w:pPr>
            <w:hyperlink w:anchor="page_22">
              <w:r>
                <w:rPr>
                  <w:rStyle w:val="InternetLink"/>
                </w:rPr>
                <w:t>S-17</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24">
              <w:r>
                <w:rPr>
                  <w:rStyle w:val="InternetLink"/>
                </w:rPr>
                <w:t>RISK FACTORS</w:t>
              </w:r>
            </w:hyperlink>
          </w:p>
        </w:tc>
        <w:tc>
          <w:tcPr>
            <w:tcW w:w="476" w:type="dxa"/>
            <w:tcBorders/>
            <w:shd w:fill="EEEEEE" w:val="clear"/>
            <w:vAlign w:val="center"/>
          </w:tcPr>
          <w:p>
            <w:pPr>
              <w:pStyle w:val="TableContents"/>
              <w:bidi w:val="0"/>
              <w:spacing w:before="0" w:after="283"/>
              <w:jc w:val="right"/>
              <w:rPr/>
            </w:pPr>
            <w:hyperlink w:anchor="page_24">
              <w:r>
                <w:rPr>
                  <w:rStyle w:val="InternetLink"/>
                </w:rPr>
                <w:t>S-19</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27">
              <w:r>
                <w:rPr>
                  <w:rStyle w:val="InternetLink"/>
                </w:rPr>
                <w:t>CERTAIN CANADIAN INCOME TAX CONSIDERATIONS</w:t>
              </w:r>
            </w:hyperlink>
          </w:p>
        </w:tc>
        <w:tc>
          <w:tcPr>
            <w:tcW w:w="476" w:type="dxa"/>
            <w:tcBorders/>
            <w:shd w:fill="EEEEEE" w:val="clear"/>
            <w:vAlign w:val="center"/>
          </w:tcPr>
          <w:p>
            <w:pPr>
              <w:pStyle w:val="TableContents"/>
              <w:bidi w:val="0"/>
              <w:spacing w:before="0" w:after="283"/>
              <w:jc w:val="right"/>
              <w:rPr/>
            </w:pPr>
            <w:hyperlink w:anchor="page_27">
              <w:r>
                <w:rPr>
                  <w:rStyle w:val="InternetLink"/>
                </w:rPr>
                <w:t>S-22</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31">
              <w:r>
                <w:rPr>
                  <w:rStyle w:val="InternetLink"/>
                </w:rPr>
                <w:t>CERTAIN UNITED STATES FEDERAL INCOME TAX CONSIDERATIONS TO U.S. HOLDERS</w:t>
              </w:r>
            </w:hyperlink>
          </w:p>
        </w:tc>
        <w:tc>
          <w:tcPr>
            <w:tcW w:w="476" w:type="dxa"/>
            <w:tcBorders/>
            <w:shd w:fill="EEEEEE" w:val="clear"/>
            <w:vAlign w:val="center"/>
          </w:tcPr>
          <w:p>
            <w:pPr>
              <w:pStyle w:val="TableContents"/>
              <w:bidi w:val="0"/>
              <w:spacing w:before="0" w:after="283"/>
              <w:jc w:val="right"/>
              <w:rPr/>
            </w:pPr>
            <w:hyperlink w:anchor="page_31">
              <w:r>
                <w:rPr>
                  <w:rStyle w:val="InternetLink"/>
                </w:rPr>
                <w:t>S-26</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40">
              <w:r>
                <w:rPr>
                  <w:rStyle w:val="InternetLink"/>
                </w:rPr>
                <w:t>EXPERTS</w:t>
              </w:r>
            </w:hyperlink>
          </w:p>
        </w:tc>
        <w:tc>
          <w:tcPr>
            <w:tcW w:w="476" w:type="dxa"/>
            <w:tcBorders/>
            <w:shd w:fill="EEEEEE" w:val="clear"/>
            <w:vAlign w:val="center"/>
          </w:tcPr>
          <w:p>
            <w:pPr>
              <w:pStyle w:val="TableContents"/>
              <w:bidi w:val="0"/>
              <w:spacing w:before="0" w:after="283"/>
              <w:jc w:val="right"/>
              <w:rPr/>
            </w:pPr>
            <w:hyperlink w:anchor="page_40">
              <w:r>
                <w:rPr>
                  <w:rStyle w:val="InternetLink"/>
                </w:rPr>
                <w:t>S-35</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41">
              <w:r>
                <w:rPr>
                  <w:rStyle w:val="InternetLink"/>
                </w:rPr>
                <w:t>AUDITORS, TRANSFER AGENT AND REGISTRAR</w:t>
              </w:r>
            </w:hyperlink>
          </w:p>
        </w:tc>
        <w:tc>
          <w:tcPr>
            <w:tcW w:w="476" w:type="dxa"/>
            <w:tcBorders/>
            <w:shd w:fill="EEEEEE" w:val="clear"/>
            <w:vAlign w:val="center"/>
          </w:tcPr>
          <w:p>
            <w:pPr>
              <w:pStyle w:val="TableContents"/>
              <w:bidi w:val="0"/>
              <w:spacing w:before="0" w:after="283"/>
              <w:jc w:val="right"/>
              <w:rPr/>
            </w:pPr>
            <w:hyperlink w:anchor="page_41">
              <w:r>
                <w:rPr>
                  <w:rStyle w:val="InternetLink"/>
                </w:rPr>
                <w:t>S-36</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41">
              <w:r>
                <w:rPr>
                  <w:rStyle w:val="InternetLink"/>
                </w:rPr>
                <w:t>ADDITIONAL INFORMATION</w:t>
              </w:r>
            </w:hyperlink>
          </w:p>
        </w:tc>
        <w:tc>
          <w:tcPr>
            <w:tcW w:w="476" w:type="dxa"/>
            <w:tcBorders/>
            <w:shd w:fill="EEEEEE" w:val="clear"/>
            <w:vAlign w:val="center"/>
          </w:tcPr>
          <w:p>
            <w:pPr>
              <w:pStyle w:val="TableContents"/>
              <w:bidi w:val="0"/>
              <w:spacing w:before="0" w:after="283"/>
              <w:jc w:val="right"/>
              <w:rPr/>
            </w:pPr>
            <w:hyperlink w:anchor="page_41">
              <w:r>
                <w:rPr>
                  <w:rStyle w:val="InternetLink"/>
                </w:rPr>
                <w:t>S-36</w:t>
              </w:r>
            </w:hyperlink>
          </w:p>
        </w:tc>
      </w:tr>
      <w:tr>
        <w:trPr/>
        <w:tc>
          <w:tcPr>
            <w:tcW w:w="9729" w:type="dxa"/>
            <w:tcBorders/>
            <w:vAlign w:val="center"/>
          </w:tcPr>
          <w:p>
            <w:pPr>
              <w:pStyle w:val="TableContents"/>
              <w:bidi w:val="0"/>
              <w:spacing w:before="0" w:after="283"/>
              <w:jc w:val="left"/>
              <w:rPr/>
            </w:pPr>
            <w:r>
              <w:rPr/>
              <w:t> </w:t>
            </w:r>
          </w:p>
        </w:tc>
        <w:tc>
          <w:tcPr>
            <w:tcW w:w="476" w:type="dxa"/>
            <w:tcBorders/>
            <w:vAlign w:val="center"/>
          </w:tcPr>
          <w:p>
            <w:pPr>
              <w:pStyle w:val="TableContents"/>
              <w:bidi w:val="0"/>
              <w:spacing w:before="0" w:after="283"/>
              <w:jc w:val="right"/>
              <w:rPr/>
            </w:pPr>
            <w:r>
              <w:rPr/>
              <w:t> </w:t>
            </w:r>
          </w:p>
        </w:tc>
      </w:tr>
      <w:tr>
        <w:trPr/>
        <w:tc>
          <w:tcPr>
            <w:tcW w:w="9729" w:type="dxa"/>
            <w:tcBorders/>
            <w:shd w:fill="EEEEEE" w:val="clear"/>
            <w:vAlign w:val="center"/>
          </w:tcPr>
          <w:p>
            <w:pPr>
              <w:pStyle w:val="TableContents"/>
              <w:bidi w:val="0"/>
              <w:spacing w:before="0" w:after="283"/>
              <w:jc w:val="left"/>
              <w:rPr/>
            </w:pPr>
            <w:hyperlink w:anchor="page_41">
              <w:r>
                <w:rPr>
                  <w:rStyle w:val="InternetLink"/>
                </w:rPr>
                <w:t>ENFORCEABILITY OF CIVIL LIABILITIES BY U.S. INVESTORS</w:t>
              </w:r>
            </w:hyperlink>
          </w:p>
        </w:tc>
        <w:tc>
          <w:tcPr>
            <w:tcW w:w="476" w:type="dxa"/>
            <w:tcBorders/>
            <w:shd w:fill="EEEEEE" w:val="clear"/>
            <w:vAlign w:val="center"/>
          </w:tcPr>
          <w:p>
            <w:pPr>
              <w:pStyle w:val="TableContents"/>
              <w:bidi w:val="0"/>
              <w:spacing w:before="0" w:after="283"/>
              <w:jc w:val="right"/>
              <w:rPr/>
            </w:pPr>
            <w:hyperlink w:anchor="page_41">
              <w:r>
                <w:rPr>
                  <w:rStyle w:val="InternetLink"/>
                </w:rPr>
                <w:t>S-36</w:t>
              </w:r>
            </w:hyperlink>
          </w:p>
        </w:tc>
      </w:tr>
    </w:tbl>
    <w:p>
      <w:pPr>
        <w:pStyle w:val="TextBody"/>
        <w:bidi w:val="0"/>
        <w:jc w:val="both"/>
        <w:rPr>
          <w:b/>
        </w:rPr>
      </w:pPr>
      <w:r>
        <w:rPr>
          <w:b/>
        </w:rPr>
        <w:t>Base Shelf Prospectus</w:t>
      </w:r>
    </w:p>
    <w:tbl>
      <w:tblPr>
        <w:tblW w:w="9430" w:type="dxa"/>
        <w:jc w:val="left"/>
        <w:tblInd w:w="0" w:type="dxa"/>
        <w:tblLayout w:type="fixed"/>
        <w:tblCellMar>
          <w:top w:w="0" w:type="dxa"/>
          <w:left w:w="0" w:type="dxa"/>
          <w:bottom w:w="0" w:type="dxa"/>
          <w:right w:w="0" w:type="dxa"/>
        </w:tblCellMar>
      </w:tblPr>
      <w:tblGrid>
        <w:gridCol w:w="9155"/>
        <w:gridCol w:w="275"/>
      </w:tblGrid>
      <w:tr>
        <w:trPr/>
        <w:tc>
          <w:tcPr>
            <w:tcW w:w="9155" w:type="dxa"/>
            <w:tcBorders/>
            <w:shd w:fill="EEEEEE" w:val="clear"/>
            <w:vAlign w:val="center"/>
          </w:tcPr>
          <w:p>
            <w:pPr>
              <w:pStyle w:val="TableContents"/>
              <w:bidi w:val="0"/>
              <w:spacing w:before="0" w:after="283"/>
              <w:jc w:val="left"/>
              <w:rPr/>
            </w:pPr>
            <w:r>
              <w:rPr/>
              <w:t>ABOUT THIS PROSPECTUS</w:t>
            </w:r>
          </w:p>
        </w:tc>
        <w:tc>
          <w:tcPr>
            <w:tcW w:w="275" w:type="dxa"/>
            <w:tcBorders/>
            <w:shd w:fill="EEEEEE" w:val="clear"/>
            <w:vAlign w:val="center"/>
          </w:tcPr>
          <w:p>
            <w:pPr>
              <w:pStyle w:val="TableContents"/>
              <w:bidi w:val="0"/>
              <w:spacing w:before="0" w:after="283"/>
              <w:jc w:val="right"/>
              <w:rPr/>
            </w:pPr>
            <w:r>
              <w:rPr/>
              <w:t>1</w:t>
            </w:r>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48">
              <w:r>
                <w:rPr>
                  <w:rStyle w:val="InternetLink"/>
                </w:rPr>
                <w:t>CAUTION REGARDING FORWARD LOOKING INFORMATION AND STATEMENTS</w:t>
              </w:r>
            </w:hyperlink>
          </w:p>
        </w:tc>
        <w:tc>
          <w:tcPr>
            <w:tcW w:w="275" w:type="dxa"/>
            <w:tcBorders/>
            <w:shd w:fill="EEEEEE" w:val="clear"/>
            <w:vAlign w:val="center"/>
          </w:tcPr>
          <w:p>
            <w:pPr>
              <w:pStyle w:val="TableContents"/>
              <w:bidi w:val="0"/>
              <w:spacing w:before="0" w:after="283"/>
              <w:jc w:val="right"/>
              <w:rPr/>
            </w:pPr>
            <w:hyperlink w:anchor="page_48">
              <w:r>
                <w:rPr>
                  <w:rStyle w:val="InternetLink"/>
                </w:rPr>
                <w:t>1</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50">
              <w:r>
                <w:rPr>
                  <w:rStyle w:val="InternetLink"/>
                </w:rPr>
                <w:t>TRADEMARKS AND SERVICE MARKS</w:t>
              </w:r>
            </w:hyperlink>
          </w:p>
        </w:tc>
        <w:tc>
          <w:tcPr>
            <w:tcW w:w="275" w:type="dxa"/>
            <w:tcBorders/>
            <w:shd w:fill="EEEEEE" w:val="clear"/>
            <w:vAlign w:val="center"/>
          </w:tcPr>
          <w:p>
            <w:pPr>
              <w:pStyle w:val="TableContents"/>
              <w:bidi w:val="0"/>
              <w:spacing w:before="0" w:after="283"/>
              <w:jc w:val="right"/>
              <w:rPr/>
            </w:pPr>
            <w:hyperlink w:anchor="page_50">
              <w:r>
                <w:rPr>
                  <w:rStyle w:val="InternetLink"/>
                </w:rPr>
                <w:t>3</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9155" w:type="dxa"/>
            <w:tcBorders/>
            <w:shd w:fill="EEEEEE" w:val="clear"/>
            <w:vAlign w:val="center"/>
          </w:tcPr>
          <w:p>
            <w:pPr>
              <w:pStyle w:val="TableContents"/>
              <w:bidi w:val="0"/>
              <w:spacing w:before="0" w:after="283"/>
              <w:jc w:val="left"/>
              <w:rPr/>
            </w:pPr>
            <w:hyperlink w:anchor="page_50">
              <w:r>
                <w:rPr>
                  <w:rStyle w:val="InternetLink"/>
                </w:rPr>
                <w:t>MARKETING MATERIALS</w:t>
              </w:r>
            </w:hyperlink>
          </w:p>
        </w:tc>
        <w:tc>
          <w:tcPr>
            <w:tcW w:w="275" w:type="dxa"/>
            <w:tcBorders/>
            <w:shd w:fill="EEEEEE" w:val="clear"/>
            <w:vAlign w:val="center"/>
          </w:tcPr>
          <w:p>
            <w:pPr>
              <w:pStyle w:val="TableContents"/>
              <w:bidi w:val="0"/>
              <w:spacing w:before="0" w:after="283"/>
              <w:jc w:val="right"/>
              <w:rPr/>
            </w:pPr>
            <w:hyperlink w:anchor="page_50">
              <w:r>
                <w:rPr>
                  <w:rStyle w:val="InternetLink"/>
                </w:rPr>
                <w:t>3</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9155" w:type="dxa"/>
            <w:tcBorders/>
            <w:shd w:fill="EEEEEE" w:val="clear"/>
            <w:vAlign w:val="center"/>
          </w:tcPr>
          <w:p>
            <w:pPr>
              <w:pStyle w:val="TableContents"/>
              <w:bidi w:val="0"/>
              <w:spacing w:before="0" w:after="283"/>
              <w:jc w:val="left"/>
              <w:rPr/>
            </w:pPr>
            <w:hyperlink w:anchor="page_51">
              <w:r>
                <w:rPr>
                  <w:rStyle w:val="InternetLink"/>
                </w:rPr>
                <w:t>MARKET AND INDUSTRY DATA</w:t>
              </w:r>
            </w:hyperlink>
          </w:p>
        </w:tc>
        <w:tc>
          <w:tcPr>
            <w:tcW w:w="275" w:type="dxa"/>
            <w:tcBorders/>
            <w:shd w:fill="EEEEEE" w:val="clear"/>
            <w:vAlign w:val="center"/>
          </w:tcPr>
          <w:p>
            <w:pPr>
              <w:pStyle w:val="TableContents"/>
              <w:bidi w:val="0"/>
              <w:spacing w:before="0" w:after="283"/>
              <w:jc w:val="right"/>
              <w:rPr/>
            </w:pPr>
            <w:hyperlink w:anchor="page_51">
              <w:r>
                <w:rPr>
                  <w:rStyle w:val="InternetLink"/>
                </w:rPr>
                <w:t>4</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9155" w:type="dxa"/>
            <w:tcBorders/>
            <w:shd w:fill="EEEEEE" w:val="clear"/>
            <w:vAlign w:val="center"/>
          </w:tcPr>
          <w:p>
            <w:pPr>
              <w:pStyle w:val="TableContents"/>
              <w:bidi w:val="0"/>
              <w:spacing w:before="0" w:after="283"/>
              <w:jc w:val="left"/>
              <w:rPr/>
            </w:pPr>
            <w:hyperlink w:anchor="page_51">
              <w:r>
                <w:rPr>
                  <w:rStyle w:val="InternetLink"/>
                </w:rPr>
                <w:t>DOCUMENTS INCORPORATED BY REFERENCE</w:t>
              </w:r>
            </w:hyperlink>
          </w:p>
        </w:tc>
        <w:tc>
          <w:tcPr>
            <w:tcW w:w="275" w:type="dxa"/>
            <w:tcBorders/>
            <w:shd w:fill="EEEEEE" w:val="clear"/>
            <w:vAlign w:val="center"/>
          </w:tcPr>
          <w:p>
            <w:pPr>
              <w:pStyle w:val="TableContents"/>
              <w:bidi w:val="0"/>
              <w:spacing w:before="0" w:after="283"/>
              <w:jc w:val="right"/>
              <w:rPr/>
            </w:pPr>
            <w:hyperlink w:anchor="page_51">
              <w:r>
                <w:rPr>
                  <w:rStyle w:val="InternetLink"/>
                </w:rPr>
                <w:t>4</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9155" w:type="dxa"/>
            <w:tcBorders/>
            <w:shd w:fill="EEEEEE" w:val="clear"/>
            <w:vAlign w:val="center"/>
          </w:tcPr>
          <w:p>
            <w:pPr>
              <w:pStyle w:val="TableContents"/>
              <w:bidi w:val="0"/>
              <w:spacing w:before="0" w:after="283"/>
              <w:jc w:val="left"/>
              <w:rPr/>
            </w:pPr>
            <w:hyperlink w:anchor="page_52">
              <w:r>
                <w:rPr>
                  <w:rStyle w:val="InternetLink"/>
                </w:rPr>
                <w:t>THE CORPORATION</w:t>
              </w:r>
            </w:hyperlink>
          </w:p>
        </w:tc>
        <w:tc>
          <w:tcPr>
            <w:tcW w:w="275" w:type="dxa"/>
            <w:tcBorders/>
            <w:shd w:fill="EEEEEE" w:val="clear"/>
            <w:vAlign w:val="center"/>
          </w:tcPr>
          <w:p>
            <w:pPr>
              <w:pStyle w:val="TableContents"/>
              <w:bidi w:val="0"/>
              <w:spacing w:before="0" w:after="283"/>
              <w:jc w:val="right"/>
              <w:rPr/>
            </w:pPr>
            <w:hyperlink w:anchor="page_52">
              <w:r>
                <w:rPr>
                  <w:rStyle w:val="InternetLink"/>
                </w:rPr>
                <w:t>5</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9155" w:type="dxa"/>
            <w:tcBorders/>
            <w:shd w:fill="EEEEEE" w:val="clear"/>
            <w:vAlign w:val="center"/>
          </w:tcPr>
          <w:p>
            <w:pPr>
              <w:pStyle w:val="TableContents"/>
              <w:bidi w:val="0"/>
              <w:spacing w:before="0" w:after="283"/>
              <w:jc w:val="left"/>
              <w:rPr/>
            </w:pPr>
            <w:hyperlink w:anchor="page_55">
              <w:r>
                <w:rPr>
                  <w:rStyle w:val="InternetLink"/>
                </w:rPr>
                <w:t>REGULATORY OVERVIEW</w:t>
              </w:r>
            </w:hyperlink>
          </w:p>
        </w:tc>
        <w:tc>
          <w:tcPr>
            <w:tcW w:w="275" w:type="dxa"/>
            <w:tcBorders/>
            <w:shd w:fill="EEEEEE" w:val="clear"/>
            <w:vAlign w:val="center"/>
          </w:tcPr>
          <w:p>
            <w:pPr>
              <w:pStyle w:val="TableContents"/>
              <w:bidi w:val="0"/>
              <w:spacing w:before="0" w:after="283"/>
              <w:jc w:val="right"/>
              <w:rPr/>
            </w:pPr>
            <w:hyperlink w:anchor="page_55">
              <w:r>
                <w:rPr>
                  <w:rStyle w:val="InternetLink"/>
                </w:rPr>
                <w:t>8</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9155" w:type="dxa"/>
            <w:tcBorders/>
            <w:shd w:fill="EEEEEE" w:val="clear"/>
            <w:vAlign w:val="center"/>
          </w:tcPr>
          <w:p>
            <w:pPr>
              <w:pStyle w:val="TableContents"/>
              <w:bidi w:val="0"/>
              <w:spacing w:before="0" w:after="283"/>
              <w:jc w:val="left"/>
              <w:rPr/>
            </w:pPr>
            <w:hyperlink w:anchor="page_67">
              <w:r>
                <w:rPr>
                  <w:rStyle w:val="InternetLink"/>
                </w:rPr>
                <w:t>COMPLIANCE PROGRAM</w:t>
              </w:r>
            </w:hyperlink>
          </w:p>
        </w:tc>
        <w:tc>
          <w:tcPr>
            <w:tcW w:w="275" w:type="dxa"/>
            <w:tcBorders/>
            <w:shd w:fill="EEEEEE" w:val="clear"/>
            <w:vAlign w:val="center"/>
          </w:tcPr>
          <w:p>
            <w:pPr>
              <w:pStyle w:val="TableContents"/>
              <w:bidi w:val="0"/>
              <w:spacing w:before="0" w:after="283"/>
              <w:jc w:val="right"/>
              <w:rPr/>
            </w:pPr>
            <w:hyperlink w:anchor="page_67">
              <w:r>
                <w:rPr>
                  <w:rStyle w:val="InternetLink"/>
                </w:rPr>
                <w:t>20</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9155" w:type="dxa"/>
            <w:tcBorders/>
            <w:shd w:fill="EEEEEE" w:val="clear"/>
            <w:vAlign w:val="center"/>
          </w:tcPr>
          <w:p>
            <w:pPr>
              <w:pStyle w:val="TableContents"/>
              <w:bidi w:val="0"/>
              <w:spacing w:before="0" w:after="283"/>
              <w:jc w:val="left"/>
              <w:rPr/>
            </w:pPr>
            <w:hyperlink w:anchor="page_68">
              <w:r>
                <w:rPr>
                  <w:rStyle w:val="InternetLink"/>
                </w:rPr>
                <w:t>CONSOLIDATED CAPITALIZATION</w:t>
              </w:r>
            </w:hyperlink>
          </w:p>
        </w:tc>
        <w:tc>
          <w:tcPr>
            <w:tcW w:w="275" w:type="dxa"/>
            <w:tcBorders/>
            <w:shd w:fill="EEEEEE" w:val="clear"/>
            <w:vAlign w:val="center"/>
          </w:tcPr>
          <w:p>
            <w:pPr>
              <w:pStyle w:val="TableContents"/>
              <w:bidi w:val="0"/>
              <w:spacing w:before="0" w:after="283"/>
              <w:jc w:val="right"/>
              <w:rPr/>
            </w:pPr>
            <w:hyperlink w:anchor="page_68">
              <w:r>
                <w:rPr>
                  <w:rStyle w:val="InternetLink"/>
                </w:rPr>
                <w:t>21</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68">
              <w:r>
                <w:rPr>
                  <w:rStyle w:val="InternetLink"/>
                </w:rPr>
                <w:t>USE OF PROCEEDS</w:t>
              </w:r>
            </w:hyperlink>
          </w:p>
        </w:tc>
        <w:tc>
          <w:tcPr>
            <w:tcW w:w="275" w:type="dxa"/>
            <w:tcBorders/>
            <w:shd w:fill="EEEEEE" w:val="clear"/>
            <w:vAlign w:val="center"/>
          </w:tcPr>
          <w:p>
            <w:pPr>
              <w:pStyle w:val="TableContents"/>
              <w:bidi w:val="0"/>
              <w:spacing w:before="0" w:after="283"/>
              <w:jc w:val="right"/>
              <w:rPr/>
            </w:pPr>
            <w:hyperlink w:anchor="page_68">
              <w:r>
                <w:rPr>
                  <w:rStyle w:val="InternetLink"/>
                </w:rPr>
                <w:t>21</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70">
              <w:r>
                <w:rPr>
                  <w:rStyle w:val="InternetLink"/>
                </w:rPr>
                <w:t>DIVIDEND POLICY</w:t>
              </w:r>
            </w:hyperlink>
          </w:p>
        </w:tc>
        <w:tc>
          <w:tcPr>
            <w:tcW w:w="275" w:type="dxa"/>
            <w:tcBorders/>
            <w:shd w:fill="EEEEEE" w:val="clear"/>
            <w:vAlign w:val="center"/>
          </w:tcPr>
          <w:p>
            <w:pPr>
              <w:pStyle w:val="TableContents"/>
              <w:bidi w:val="0"/>
              <w:spacing w:before="0" w:after="283"/>
              <w:jc w:val="right"/>
              <w:rPr/>
            </w:pPr>
            <w:hyperlink w:anchor="page_70">
              <w:r>
                <w:rPr>
                  <w:rStyle w:val="InternetLink"/>
                </w:rPr>
                <w:t>23</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70">
              <w:r>
                <w:rPr>
                  <w:rStyle w:val="InternetLink"/>
                </w:rPr>
                <w:t>DESCRIPTION OF SECURITIES BEING DISTRIBUTED</w:t>
              </w:r>
            </w:hyperlink>
          </w:p>
        </w:tc>
        <w:tc>
          <w:tcPr>
            <w:tcW w:w="275" w:type="dxa"/>
            <w:tcBorders/>
            <w:shd w:fill="EEEEEE" w:val="clear"/>
            <w:vAlign w:val="center"/>
          </w:tcPr>
          <w:p>
            <w:pPr>
              <w:pStyle w:val="TableContents"/>
              <w:bidi w:val="0"/>
              <w:spacing w:before="0" w:after="283"/>
              <w:jc w:val="right"/>
              <w:rPr/>
            </w:pPr>
            <w:hyperlink w:anchor="page_70">
              <w:r>
                <w:rPr>
                  <w:rStyle w:val="InternetLink"/>
                </w:rPr>
                <w:t>23</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74">
              <w:r>
                <w:rPr>
                  <w:rStyle w:val="InternetLink"/>
                </w:rPr>
                <w:t>PLAN OF DISTRIBUTION</w:t>
              </w:r>
            </w:hyperlink>
          </w:p>
        </w:tc>
        <w:tc>
          <w:tcPr>
            <w:tcW w:w="275" w:type="dxa"/>
            <w:tcBorders/>
            <w:shd w:fill="EEEEEE" w:val="clear"/>
            <w:vAlign w:val="center"/>
          </w:tcPr>
          <w:p>
            <w:pPr>
              <w:pStyle w:val="TableContents"/>
              <w:bidi w:val="0"/>
              <w:spacing w:before="0" w:after="283"/>
              <w:jc w:val="right"/>
              <w:rPr/>
            </w:pPr>
            <w:hyperlink w:anchor="page_74">
              <w:r>
                <w:rPr>
                  <w:rStyle w:val="InternetLink"/>
                </w:rPr>
                <w:t>27</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75">
              <w:r>
                <w:rPr>
                  <w:rStyle w:val="InternetLink"/>
                </w:rPr>
                <w:t>RISK FACTORS</w:t>
              </w:r>
            </w:hyperlink>
          </w:p>
        </w:tc>
        <w:tc>
          <w:tcPr>
            <w:tcW w:w="275" w:type="dxa"/>
            <w:tcBorders/>
            <w:shd w:fill="EEEEEE" w:val="clear"/>
            <w:vAlign w:val="center"/>
          </w:tcPr>
          <w:p>
            <w:pPr>
              <w:pStyle w:val="TableContents"/>
              <w:bidi w:val="0"/>
              <w:spacing w:before="0" w:after="283"/>
              <w:jc w:val="right"/>
              <w:rPr/>
            </w:pPr>
            <w:hyperlink w:anchor="page_75">
              <w:r>
                <w:rPr>
                  <w:rStyle w:val="InternetLink"/>
                </w:rPr>
                <w:t>28</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80">
              <w:r>
                <w:rPr>
                  <w:rStyle w:val="InternetLink"/>
                </w:rPr>
                <w:t>CERTAIN FEDERAL INCOME TAX CONSIDERATIONS</w:t>
              </w:r>
            </w:hyperlink>
          </w:p>
        </w:tc>
        <w:tc>
          <w:tcPr>
            <w:tcW w:w="275" w:type="dxa"/>
            <w:tcBorders/>
            <w:shd w:fill="EEEEEE" w:val="clear"/>
            <w:vAlign w:val="center"/>
          </w:tcPr>
          <w:p>
            <w:pPr>
              <w:pStyle w:val="TableContents"/>
              <w:bidi w:val="0"/>
              <w:spacing w:before="0" w:after="283"/>
              <w:jc w:val="right"/>
              <w:rPr/>
            </w:pPr>
            <w:hyperlink w:anchor="page_80">
              <w:r>
                <w:rPr>
                  <w:rStyle w:val="InternetLink"/>
                </w:rPr>
                <w:t>33</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80">
              <w:r>
                <w:rPr>
                  <w:rStyle w:val="InternetLink"/>
                </w:rPr>
                <w:t>LEGAL MATTERS</w:t>
              </w:r>
            </w:hyperlink>
          </w:p>
        </w:tc>
        <w:tc>
          <w:tcPr>
            <w:tcW w:w="275" w:type="dxa"/>
            <w:tcBorders/>
            <w:shd w:fill="EEEEEE" w:val="clear"/>
            <w:vAlign w:val="center"/>
          </w:tcPr>
          <w:p>
            <w:pPr>
              <w:pStyle w:val="TableContents"/>
              <w:bidi w:val="0"/>
              <w:spacing w:before="0" w:after="283"/>
              <w:jc w:val="right"/>
              <w:rPr/>
            </w:pPr>
            <w:hyperlink w:anchor="page_80">
              <w:r>
                <w:rPr>
                  <w:rStyle w:val="InternetLink"/>
                </w:rPr>
                <w:t>33</w:t>
              </w:r>
            </w:hyperlink>
          </w:p>
        </w:tc>
      </w:tr>
      <w:tr>
        <w:trPr/>
        <w:tc>
          <w:tcPr>
            <w:tcW w:w="915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155" w:type="dxa"/>
            <w:tcBorders/>
            <w:shd w:fill="EEEEEE" w:val="clear"/>
            <w:vAlign w:val="center"/>
          </w:tcPr>
          <w:p>
            <w:pPr>
              <w:pStyle w:val="TableContents"/>
              <w:bidi w:val="0"/>
              <w:spacing w:before="0" w:after="283"/>
              <w:jc w:val="left"/>
              <w:rPr/>
            </w:pPr>
            <w:hyperlink w:anchor="page_80">
              <w:r>
                <w:rPr>
                  <w:rStyle w:val="InternetLink"/>
                </w:rPr>
                <w:t>AUDITORS, TRANSFER AGENT AND REGISTRAR</w:t>
              </w:r>
            </w:hyperlink>
          </w:p>
        </w:tc>
        <w:tc>
          <w:tcPr>
            <w:tcW w:w="275" w:type="dxa"/>
            <w:tcBorders/>
            <w:shd w:fill="EEEEEE" w:val="clear"/>
            <w:vAlign w:val="center"/>
          </w:tcPr>
          <w:p>
            <w:pPr>
              <w:pStyle w:val="TableContents"/>
              <w:bidi w:val="0"/>
              <w:spacing w:before="0" w:after="283"/>
              <w:jc w:val="right"/>
              <w:rPr/>
            </w:pPr>
            <w:hyperlink w:anchor="page_80">
              <w:r>
                <w:rPr>
                  <w:rStyle w:val="InternetLink"/>
                </w:rPr>
                <w:t>33</w:t>
              </w:r>
            </w:hyperlink>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v</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10" w:name="page_6"/>
      <w:bookmarkEnd w:id="10"/>
      <w:r>
        <w:rPr>
          <w:b/>
        </w:rPr>
        <w:t>ABOUT THIS PROSPECTUS</w:t>
      </w:r>
    </w:p>
    <w:p>
      <w:pPr>
        <w:pStyle w:val="TextBody"/>
        <w:bidi w:val="0"/>
        <w:jc w:val="both"/>
        <w:rPr/>
      </w:pPr>
      <w:r>
        <w:rPr/>
        <w:t>This document consists of two parts. The first part is this Prospectus Supplement, which describes certain terms of the Units that the Corporation is offering and also adds to and updates certain information contained in the Base Shelf Prospectus and the documents incorporated by reference therein. The second part, the Base Shelf Prospectus, gives more general information, some of which may not apply to the Units offered hereunder. Defined terms or abbreviations used in this Prospectus Supplement that are not defined herein have the meanings ascribed thereto in the Base Shelf Prospectus. Investors should rely only on the information contained or incorporated by reference in this Prospectus Supplement and the Base Shelf Prospectus. The Corporation has not, and the Underwriter has not, authorized anyone to provide investors with different or additional information. The Corporation is not, and the Underwriter is not, making an offer to sell Units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pStyle w:val="TextBody"/>
        <w:bidi w:val="0"/>
        <w:jc w:val="both"/>
        <w:rPr/>
      </w:pPr>
      <w:r>
        <w:rPr/>
        <w:t>The Corporation filed the Base Shelf Prospectus with the securities commissions in all Canadian provinces and territories (the "</w:t>
      </w:r>
      <w:r>
        <w:rPr>
          <w:b/>
        </w:rPr>
        <w:t>Canadian Qualifying Jurisdictions</w:t>
      </w:r>
      <w:r>
        <w:rPr/>
        <w:t xml:space="preserve">") in order to qualify the offering of the securities described in the Base Shelf Prospectus in accordance with National Instrument 44-102 </w:t>
      </w:r>
      <w:r>
        <w:rPr>
          <w:i/>
        </w:rPr>
        <w:t>Shelf Distributions</w:t>
      </w:r>
      <w:r>
        <w:rPr/>
        <w:t xml:space="preserve">. The Ontario Securities Commission issued a receipt dated August 17, 2023 in respect of the final Base Shelf Prospectus as the principal regulatory authority under Multilateral Instrument 11-102 </w:t>
      </w:r>
      <w:r>
        <w:rPr>
          <w:i/>
        </w:rPr>
        <w:t>Passport System</w:t>
      </w:r>
      <w:r>
        <w:rPr/>
        <w:t xml:space="preserve">, and each of the other commissions in the Canadian Qualifying Jurisdictions is deemed to have issued a receipt under National Policy 11-202 </w:t>
      </w:r>
      <w:r>
        <w:rPr>
          <w:i/>
        </w:rPr>
        <w:t>Process for Prospectus Review in Multiple Jurisdictions</w:t>
      </w:r>
      <w:r>
        <w:rPr/>
        <w:t>.</w:t>
      </w:r>
    </w:p>
    <w:p>
      <w:pPr>
        <w:pStyle w:val="TextBody"/>
        <w:bidi w:val="0"/>
        <w:jc w:val="both"/>
        <w:rPr/>
      </w:pPr>
      <w:r>
        <w:rPr/>
        <w:t>The Base Shelf Prospectus also forms part of the Registration Statement on Form F-10 that the Corporation filed with the SEC on June 16, 2023, as amended August 17, 2023 under the Securities Act utilizing the MJDS. The Registration Statement became effective under the Securities Act on August 17, 2023. The Registration Statement incorporates the Base Shelf Prospectus with certain modifications and deletions permitted by Form F-10. This Prospectus Supplement is being filed by the Corporation, with certain modifications and deletions permitted by Form F-10, with the SEC in accordance with the instructions to Form F-10.</w:t>
      </w:r>
    </w:p>
    <w:p>
      <w:pPr>
        <w:pStyle w:val="TextBody"/>
        <w:bidi w:val="0"/>
        <w:jc w:val="both"/>
        <w:rPr/>
      </w:pPr>
      <w:r>
        <w:rPr/>
        <w:t>Unless otherwise indicated or the context otherwise requires, all references in this Prospectus Supplement to "</w:t>
      </w:r>
      <w:r>
        <w:rPr>
          <w:b/>
        </w:rPr>
        <w:t>Cybin</w:t>
      </w:r>
      <w:r>
        <w:rPr/>
        <w:t>" or the "</w:t>
      </w:r>
      <w:r>
        <w:rPr>
          <w:b/>
        </w:rPr>
        <w:t>Corporation</w:t>
      </w:r>
      <w:r>
        <w:rPr/>
        <w:t>", except as otherwise indicated or as the context otherwise indicates, mean Cybin Inc. and its subsidiaries and associated corporations</w:t>
      </w:r>
      <w:r>
        <w:rPr>
          <w:i/>
        </w:rPr>
        <w:t>.</w:t>
      </w:r>
    </w:p>
    <w:p>
      <w:pPr>
        <w:pStyle w:val="TextBody"/>
        <w:bidi w:val="0"/>
        <w:jc w:val="both"/>
        <w:rPr/>
      </w:pPr>
      <w:r>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i/>
        </w:rPr>
        <w:t>Documents Incorporated by Reference</w:t>
      </w:r>
      <w:r>
        <w:rPr/>
        <w:t>".</w:t>
      </w:r>
    </w:p>
    <w:p>
      <w:pPr>
        <w:pStyle w:val="TextBody"/>
        <w:bidi w:val="0"/>
        <w:jc w:val="center"/>
        <w:rPr>
          <w:b/>
        </w:rPr>
      </w:pPr>
      <w:r>
        <w:rPr>
          <w:b/>
        </w:rPr>
        <w:t>CAUTIONARY STATEMENT REGARDING FORWARD-LOOKING INFORMATION</w:t>
      </w:r>
    </w:p>
    <w:p>
      <w:pPr>
        <w:pStyle w:val="TextBody"/>
        <w:bidi w:val="0"/>
        <w:jc w:val="both"/>
        <w:rPr/>
      </w:pPr>
      <w:r>
        <w:rPr/>
        <w:t>Certain statements contained in this Prospectus Supplement, and in certain documents incorporated by reference herein, constitute "forward-looking information" and "forward-looking statements," within the meaning of applicable securities laws.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pStyle w:val="TextBody"/>
        <w:bidi w:val="0"/>
        <w:jc w:val="both"/>
        <w:rPr/>
      </w:pPr>
      <w:r>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i/>
        </w:rPr>
        <w:t>"Risk Factors"</w:t>
      </w:r>
      <w:r>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and in documents incorporated by reference 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and the Corporation assumes no obligation to update or revise them to reflect subsequent information, events or circumstances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1" w:name="page_7"/>
      <w:bookmarkEnd w:id="11"/>
      <w:r>
        <w:rPr/>
        <w:t>The forward-looking statements in this Prospectus Supplement and in documents incorporated by reference 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pStyle w:val="TextBody"/>
        <w:bidi w:val="0"/>
        <w:jc w:val="both"/>
        <w:rPr/>
      </w:pPr>
      <w:r>
        <w:rPr/>
        <w:t xml:space="preserve">Some of the risks which could affect future results and could cause results to differ materially from those expressed in the forward-looking statements contained herein include: completion of the Offering and receipt of all regulatory and stock exchange approvals; listing of the Unit Shares and Warrant Shares issuable under the Offering; the net proceeds, if any, from sales under this Prospectus Supplement; the Corporation's use of proceeds and business objectives and milestones and the anticipated timing of execution, see </w:t>
      </w:r>
      <w:r>
        <w:rPr>
          <w:i/>
        </w:rPr>
        <w:t>"Use of Proceeds"</w:t>
      </w:r>
      <w:r>
        <w:rPr/>
        <w:t>; effects of the coronavirus "COVID-19"; limited operating history; achieving publicly announced milestones; speculative nature of investment risk; early stage of the industry and product development; regulatory risks and uncertainties;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Securities is highly speculative; completion of the Offering; negative operating cash flow and going concern; discretion in the use of proceeds; need for additional financing; potential dilution; trading market; significant sales of Common Shares; positive return not guaranteed; the Corporation's expectation that it will be a "passive foreign investment company"; and speculative nature of Warrants.</w:t>
      </w:r>
    </w:p>
    <w:p>
      <w:pPr>
        <w:pStyle w:val="TextBody"/>
        <w:bidi w:val="0"/>
        <w:jc w:val="both"/>
        <w:rPr/>
      </w:pPr>
      <w:r>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pStyle w:val="TextBody"/>
        <w:numPr>
          <w:ilvl w:val="0"/>
          <w:numId w:val="2"/>
        </w:numPr>
        <w:tabs>
          <w:tab w:val="clear" w:pos="1134"/>
          <w:tab w:val="left" w:pos="709" w:leader="none"/>
        </w:tabs>
        <w:bidi w:val="0"/>
        <w:spacing w:before="0" w:after="0"/>
        <w:ind w:left="709" w:hanging="283"/>
        <w:jc w:val="left"/>
        <w:rPr/>
      </w:pPr>
      <w:r>
        <w:rPr/>
        <w:t xml:space="preserve">substantial fluctuation of losses from quarter to quarter and year to year due to numerous external risk factors, and anticipation that the Corporation will continue to incur significant losses in the future; </w:t>
      </w:r>
    </w:p>
    <w:p>
      <w:pPr>
        <w:pStyle w:val="TextBody"/>
        <w:numPr>
          <w:ilvl w:val="0"/>
          <w:numId w:val="2"/>
        </w:numPr>
        <w:tabs>
          <w:tab w:val="clear" w:pos="1134"/>
          <w:tab w:val="left" w:pos="709" w:leader="none"/>
        </w:tabs>
        <w:bidi w:val="0"/>
        <w:spacing w:before="0" w:after="0"/>
        <w:ind w:left="709" w:hanging="283"/>
        <w:jc w:val="left"/>
        <w:rPr/>
      </w:pPr>
      <w:r>
        <w:rPr/>
        <w:t xml:space="preserve">uncertainty as to the Corporation's ability to raise additional funding to support operations; </w:t>
      </w:r>
    </w:p>
    <w:p>
      <w:pPr>
        <w:pStyle w:val="TextBody"/>
        <w:numPr>
          <w:ilvl w:val="0"/>
          <w:numId w:val="2"/>
        </w:numPr>
        <w:tabs>
          <w:tab w:val="clear" w:pos="1134"/>
          <w:tab w:val="left" w:pos="709" w:leader="none"/>
        </w:tabs>
        <w:bidi w:val="0"/>
        <w:spacing w:before="0" w:after="0"/>
        <w:ind w:left="709" w:hanging="283"/>
        <w:jc w:val="left"/>
        <w:rPr/>
      </w:pPr>
      <w:r>
        <w:rPr/>
        <w:t xml:space="preserve">the Corporation's ability to access additional funding; </w:t>
      </w:r>
    </w:p>
    <w:p>
      <w:pPr>
        <w:pStyle w:val="TextBody"/>
        <w:numPr>
          <w:ilvl w:val="0"/>
          <w:numId w:val="2"/>
        </w:numPr>
        <w:tabs>
          <w:tab w:val="clear" w:pos="1134"/>
          <w:tab w:val="left" w:pos="709" w:leader="none"/>
        </w:tabs>
        <w:bidi w:val="0"/>
        <w:spacing w:before="0" w:after="0"/>
        <w:ind w:left="709" w:hanging="283"/>
        <w:jc w:val="left"/>
        <w:rPr/>
      </w:pPr>
      <w:r>
        <w:rPr/>
        <w:t xml:space="preserve">the fluctuation of foreign exchange rates; </w:t>
      </w:r>
    </w:p>
    <w:p>
      <w:pPr>
        <w:pStyle w:val="TextBody"/>
        <w:numPr>
          <w:ilvl w:val="0"/>
          <w:numId w:val="2"/>
        </w:numPr>
        <w:tabs>
          <w:tab w:val="clear" w:pos="1134"/>
          <w:tab w:val="left" w:pos="709" w:leader="none"/>
        </w:tabs>
        <w:bidi w:val="0"/>
        <w:spacing w:before="0" w:after="0"/>
        <w:ind w:left="709" w:hanging="283"/>
        <w:jc w:val="left"/>
        <w:rPr/>
      </w:pPr>
      <w:r>
        <w:rPr/>
        <w:t xml:space="preserve">the duration of COVID-19 and the extent of its economic and social impact; </w:t>
      </w:r>
    </w:p>
    <w:p>
      <w:pPr>
        <w:pStyle w:val="TextBody"/>
        <w:numPr>
          <w:ilvl w:val="0"/>
          <w:numId w:val="2"/>
        </w:numPr>
        <w:tabs>
          <w:tab w:val="clear" w:pos="1134"/>
          <w:tab w:val="left" w:pos="709" w:leader="none"/>
        </w:tabs>
        <w:bidi w:val="0"/>
        <w:spacing w:before="0" w:after="0"/>
        <w:ind w:left="709" w:hanging="283"/>
        <w:jc w:val="left"/>
        <w:rPr/>
      </w:pPr>
      <w:r>
        <w:rPr/>
        <w:t xml:space="preserve">the risks associated with the development of the Corporation's product candidates which are at early stages of development; </w:t>
      </w:r>
    </w:p>
    <w:p>
      <w:pPr>
        <w:pStyle w:val="TextBody"/>
        <w:numPr>
          <w:ilvl w:val="0"/>
          <w:numId w:val="2"/>
        </w:numPr>
        <w:tabs>
          <w:tab w:val="clear" w:pos="1134"/>
          <w:tab w:val="left" w:pos="709" w:leader="none"/>
        </w:tabs>
        <w:bidi w:val="0"/>
        <w:spacing w:before="0" w:after="0"/>
        <w:ind w:left="709" w:hanging="283"/>
        <w:jc w:val="left"/>
        <w:rPr/>
      </w:pPr>
      <w:r>
        <w:rPr/>
        <w:t xml:space="preserve">reliance upon industry publications as the Corporation's primary sources for third-party industry data and forecasts; </w:t>
      </w:r>
    </w:p>
    <w:p>
      <w:pPr>
        <w:pStyle w:val="TextBody"/>
        <w:numPr>
          <w:ilvl w:val="0"/>
          <w:numId w:val="2"/>
        </w:numPr>
        <w:tabs>
          <w:tab w:val="clear" w:pos="1134"/>
          <w:tab w:val="left" w:pos="709" w:leader="none"/>
        </w:tabs>
        <w:bidi w:val="0"/>
        <w:ind w:left="709" w:hanging="283"/>
        <w:jc w:val="left"/>
        <w:rPr/>
      </w:pPr>
      <w:r>
        <w:rPr/>
        <w:t xml:space="preserve">reliance on third parties to plan, conduct and monitor the Corporation's preclinical studies and clinical trials;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3"/>
        </w:numPr>
        <w:tabs>
          <w:tab w:val="clear" w:pos="1134"/>
          <w:tab w:val="left" w:pos="709" w:leader="none"/>
        </w:tabs>
        <w:bidi w:val="0"/>
        <w:spacing w:before="0" w:after="0"/>
        <w:ind w:left="709" w:hanging="283"/>
        <w:jc w:val="left"/>
        <w:rPr/>
      </w:pPr>
      <w:bookmarkStart w:id="12" w:name="page_8"/>
      <w:bookmarkEnd w:id="12"/>
      <w:r>
        <w:rPr/>
        <w:t xml:space="preserve">reliance on third party contract manufacturers to deliver quality clinical and preclinical materials; </w:t>
      </w:r>
    </w:p>
    <w:p>
      <w:pPr>
        <w:pStyle w:val="TextBody"/>
        <w:numPr>
          <w:ilvl w:val="0"/>
          <w:numId w:val="3"/>
        </w:numPr>
        <w:tabs>
          <w:tab w:val="clear" w:pos="1134"/>
          <w:tab w:val="left" w:pos="709" w:leader="none"/>
        </w:tabs>
        <w:bidi w:val="0"/>
        <w:spacing w:before="0" w:after="0"/>
        <w:ind w:left="709" w:hanging="283"/>
        <w:jc w:val="left"/>
        <w:rPr/>
      </w:pPr>
      <w:r>
        <w:rPr/>
        <w:t xml:space="preserve">the Corporation's product candidates may fail to demonstrate safety and efficacy to the satisfaction of regulatory authorities or may not otherwise produce positive results; </w:t>
      </w:r>
    </w:p>
    <w:p>
      <w:pPr>
        <w:pStyle w:val="TextBody"/>
        <w:numPr>
          <w:ilvl w:val="0"/>
          <w:numId w:val="3"/>
        </w:numPr>
        <w:tabs>
          <w:tab w:val="clear" w:pos="1134"/>
          <w:tab w:val="left" w:pos="709" w:leader="none"/>
        </w:tabs>
        <w:bidi w:val="0"/>
        <w:spacing w:before="0" w:after="0"/>
        <w:ind w:left="709" w:hanging="283"/>
        <w:jc w:val="left"/>
        <w:rPr/>
      </w:pPr>
      <w:r>
        <w:rPr/>
        <w:t xml:space="preserve">risks related to filing investigational new drug applications to commence clinical trials and to continue clinical trials if approved; </w:t>
      </w:r>
    </w:p>
    <w:p>
      <w:pPr>
        <w:pStyle w:val="TextBody"/>
        <w:numPr>
          <w:ilvl w:val="0"/>
          <w:numId w:val="3"/>
        </w:numPr>
        <w:tabs>
          <w:tab w:val="clear" w:pos="1134"/>
          <w:tab w:val="left" w:pos="709" w:leader="none"/>
        </w:tabs>
        <w:bidi w:val="0"/>
        <w:spacing w:before="0" w:after="0"/>
        <w:ind w:left="709" w:hanging="283"/>
        <w:jc w:val="left"/>
        <w:rPr/>
      </w:pPr>
      <w:r>
        <w:rPr/>
        <w:t xml:space="preserve">the risks of delays and inability to complete clinical trials due to difficulties enrolling patients; </w:t>
      </w:r>
    </w:p>
    <w:p>
      <w:pPr>
        <w:pStyle w:val="TextBody"/>
        <w:numPr>
          <w:ilvl w:val="0"/>
          <w:numId w:val="3"/>
        </w:numPr>
        <w:tabs>
          <w:tab w:val="clear" w:pos="1134"/>
          <w:tab w:val="left" w:pos="709" w:leader="none"/>
        </w:tabs>
        <w:bidi w:val="0"/>
        <w:spacing w:before="0" w:after="0"/>
        <w:ind w:left="709" w:hanging="283"/>
        <w:jc w:val="left"/>
        <w:rPr/>
      </w:pPr>
      <w:r>
        <w:rPr/>
        <w:t xml:space="preserve">competition from other biotechnology and pharmaceutical companies; </w:t>
      </w:r>
    </w:p>
    <w:p>
      <w:pPr>
        <w:pStyle w:val="TextBody"/>
        <w:numPr>
          <w:ilvl w:val="0"/>
          <w:numId w:val="3"/>
        </w:numPr>
        <w:tabs>
          <w:tab w:val="clear" w:pos="1134"/>
          <w:tab w:val="left" w:pos="709" w:leader="none"/>
        </w:tabs>
        <w:bidi w:val="0"/>
        <w:spacing w:before="0" w:after="0"/>
        <w:ind w:left="709" w:hanging="283"/>
        <w:jc w:val="left"/>
        <w:rPr/>
      </w:pPr>
      <w:r>
        <w:rPr/>
        <w:t xml:space="preserve">the Corporation's reliance on the capabilities and experience of the Corporation's key executives and scientists and the resulting loss of any of these individuals; </w:t>
      </w:r>
    </w:p>
    <w:p>
      <w:pPr>
        <w:pStyle w:val="TextBody"/>
        <w:numPr>
          <w:ilvl w:val="0"/>
          <w:numId w:val="3"/>
        </w:numPr>
        <w:tabs>
          <w:tab w:val="clear" w:pos="1134"/>
          <w:tab w:val="left" w:pos="709" w:leader="none"/>
        </w:tabs>
        <w:bidi w:val="0"/>
        <w:spacing w:before="0" w:after="0"/>
        <w:ind w:left="709" w:hanging="283"/>
        <w:jc w:val="left"/>
        <w:rPr/>
      </w:pPr>
      <w:r>
        <w:rPr/>
        <w:t xml:space="preserve">the Corporation's ability to fully realize the benefits of acquisitions; </w:t>
      </w:r>
    </w:p>
    <w:p>
      <w:pPr>
        <w:pStyle w:val="TextBody"/>
        <w:numPr>
          <w:ilvl w:val="0"/>
          <w:numId w:val="3"/>
        </w:numPr>
        <w:tabs>
          <w:tab w:val="clear" w:pos="1134"/>
          <w:tab w:val="left" w:pos="709" w:leader="none"/>
        </w:tabs>
        <w:bidi w:val="0"/>
        <w:spacing w:before="0" w:after="0"/>
        <w:ind w:left="709" w:hanging="283"/>
        <w:jc w:val="left"/>
        <w:rPr/>
      </w:pPr>
      <w:r>
        <w:rPr/>
        <w:t xml:space="preserve">the Corporation's ability to adequately protect the Corporation's intellectual property and trade secrets; </w:t>
      </w:r>
    </w:p>
    <w:p>
      <w:pPr>
        <w:pStyle w:val="TextBody"/>
        <w:numPr>
          <w:ilvl w:val="0"/>
          <w:numId w:val="3"/>
        </w:numPr>
        <w:tabs>
          <w:tab w:val="clear" w:pos="1134"/>
          <w:tab w:val="left" w:pos="709" w:leader="none"/>
        </w:tabs>
        <w:bidi w:val="0"/>
        <w:spacing w:before="0" w:after="0"/>
        <w:ind w:left="709" w:hanging="283"/>
        <w:jc w:val="left"/>
        <w:rPr/>
      </w:pPr>
      <w:r>
        <w:rPr/>
        <w:t xml:space="preserve">the risk of patent-related or other litigation; and </w:t>
      </w:r>
    </w:p>
    <w:p>
      <w:pPr>
        <w:pStyle w:val="TextBody"/>
        <w:numPr>
          <w:ilvl w:val="0"/>
          <w:numId w:val="3"/>
        </w:numPr>
        <w:tabs>
          <w:tab w:val="clear" w:pos="1134"/>
          <w:tab w:val="left" w:pos="709" w:leader="none"/>
        </w:tabs>
        <w:bidi w:val="0"/>
        <w:ind w:left="709" w:hanging="283"/>
        <w:jc w:val="left"/>
        <w:rPr/>
      </w:pPr>
      <w:r>
        <w:rPr/>
        <w:t xml:space="preserve">the risk of unforeseen changes to the laws or regulations in the United States, the United Kingdom, Canada, the Netherlands, Ireland and other jurisdictions in which the Corporation operates. </w:t>
      </w:r>
    </w:p>
    <w:p>
      <w:pPr>
        <w:pStyle w:val="TextBody"/>
        <w:bidi w:val="0"/>
        <w:jc w:val="both"/>
        <w:rPr/>
      </w:pPr>
      <w:r>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pStyle w:val="TextBody"/>
        <w:bidi w:val="0"/>
        <w:jc w:val="both"/>
        <w:rPr/>
      </w:pPr>
      <w:r>
        <w:rPr/>
        <w:t xml:space="preserve">In addition to the factors set out above and those identified under the heading </w:t>
      </w:r>
      <w:r>
        <w:rPr>
          <w:i/>
        </w:rPr>
        <w:t>"Risk Factors"</w:t>
      </w:r>
      <w:r>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pStyle w:val="TextBody"/>
        <w:bidi w:val="0"/>
        <w:jc w:val="both"/>
        <w:rPr>
          <w:b/>
        </w:rPr>
      </w:pPr>
      <w:r>
        <w:rPr>
          <w:b/>
        </w:rPr>
        <w:t>Many of these factors are beyond the Corporation's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Corporation's behalf, are expressly qualified in their entirety by the cautionary statements. Except as required by law, the Corporation undertakes no obligation to update any forward-looking statement.</w:t>
      </w:r>
    </w:p>
    <w:p>
      <w:pPr>
        <w:pStyle w:val="TextBody"/>
        <w:bidi w:val="0"/>
        <w:jc w:val="both"/>
        <w:rPr/>
      </w:pPr>
      <w:r>
        <w:rPr>
          <w:b/>
        </w:rPr>
        <w:t xml:space="preserve">The forward-looking statements contained in this Prospectus Supplement and the documents incorporated by reference herein are expressly qualified in their entirety by the foregoing cautionary statement. </w:t>
      </w:r>
      <w:r>
        <w:rPr/>
        <w:t>Investors should read this entire 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ssecurities of the Corporation.</w:t>
      </w:r>
    </w:p>
    <w:p>
      <w:pPr>
        <w:pStyle w:val="TextBody"/>
        <w:bidi w:val="0"/>
        <w:jc w:val="center"/>
        <w:rPr>
          <w:b/>
        </w:rPr>
      </w:pPr>
      <w:r>
        <w:rPr>
          <w:b/>
        </w:rPr>
        <w:t>DOCUMENTS INCORPORATED BY REFERENCE</w:t>
      </w:r>
    </w:p>
    <w:p>
      <w:pPr>
        <w:pStyle w:val="TextBody"/>
        <w:bidi w:val="0"/>
        <w:jc w:val="both"/>
        <w:rPr>
          <w:b/>
        </w:rPr>
      </w:pPr>
      <w:r>
        <w:rPr>
          <w:b/>
        </w:rPr>
        <w:t>This Prospectus Supplement is deemed to be incorporated by reference in the Base Shelf Prospectus solely for the purpose of the Offering.</w:t>
      </w:r>
    </w:p>
    <w:p>
      <w:pPr>
        <w:pStyle w:val="TextBody"/>
        <w:bidi w:val="0"/>
        <w:jc w:val="both"/>
        <w:rPr/>
      </w:pPr>
      <w:r>
        <w:rPr/>
        <w:t>As at the date hereof, the following documents of the Corporation filed with the securities commissions or similar authorities in Canada are incorporated by reference in this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720" w:right="0" w:hanging="0"/>
        <w:jc w:val="both"/>
        <w:rPr/>
      </w:pPr>
      <w:bookmarkStart w:id="13" w:name="page_9"/>
      <w:bookmarkEnd w:id="13"/>
      <w:r>
        <w:rPr/>
        <w:t>1. annual information form of the Corporation dated June 27, 2023 (the "</w:t>
      </w:r>
      <w:r>
        <w:rPr>
          <w:b/>
        </w:rPr>
        <w:t>Annual Information Form</w:t>
      </w:r>
      <w:r>
        <w:rPr/>
        <w:t>") for the year ended March 31, 2023;</w:t>
      </w:r>
    </w:p>
    <w:p>
      <w:pPr>
        <w:pStyle w:val="TextBody"/>
        <w:bidi w:val="0"/>
        <w:ind w:left="720" w:right="0" w:hanging="0"/>
        <w:jc w:val="both"/>
        <w:rPr/>
      </w:pPr>
      <w:r>
        <w:rPr/>
        <w:t>2. audited consolidated financial statements of the Corporation and the notes thereto as at and for the fiscal years ended March 31, 2023 and 2022, together with the auditor's report thereon;</w:t>
      </w:r>
    </w:p>
    <w:p>
      <w:pPr>
        <w:pStyle w:val="TextBody"/>
        <w:bidi w:val="0"/>
        <w:ind w:left="720" w:right="0" w:hanging="0"/>
        <w:jc w:val="both"/>
        <w:rPr/>
      </w:pPr>
      <w:r>
        <w:rPr/>
        <w:t>3. management's discussion and analysis of the Corporation for the year ended March 31, 2023;</w:t>
      </w:r>
    </w:p>
    <w:p>
      <w:pPr>
        <w:pStyle w:val="TextBody"/>
        <w:bidi w:val="0"/>
        <w:ind w:left="720" w:right="0" w:hanging="0"/>
        <w:jc w:val="both"/>
        <w:rPr/>
      </w:pPr>
      <w:r>
        <w:rPr/>
        <w:t>4. unaudited interim condensed consolidated financial statements of the Corporation and the notes thereto for the three months ended June 30, 2023 (the "</w:t>
      </w:r>
      <w:r>
        <w:rPr>
          <w:b/>
        </w:rPr>
        <w:t>Interim Financial Statements</w:t>
      </w:r>
      <w:r>
        <w:rPr/>
        <w:t>");</w:t>
      </w:r>
    </w:p>
    <w:p>
      <w:pPr>
        <w:pStyle w:val="TextBody"/>
        <w:bidi w:val="0"/>
        <w:ind w:left="720" w:right="0" w:hanging="0"/>
        <w:jc w:val="both"/>
        <w:rPr/>
      </w:pPr>
      <w:r>
        <w:rPr/>
        <w:t>5. management's discussion and analysis of the Corporation for the three months ended June 30, 2023 (the "</w:t>
      </w:r>
      <w:r>
        <w:rPr>
          <w:b/>
        </w:rPr>
        <w:t>Interim MD&amp;A</w:t>
      </w:r>
      <w:r>
        <w:rPr/>
        <w:t>");</w:t>
      </w:r>
    </w:p>
    <w:p>
      <w:pPr>
        <w:pStyle w:val="TextBody"/>
        <w:bidi w:val="0"/>
        <w:ind w:left="720" w:right="0" w:hanging="0"/>
        <w:jc w:val="both"/>
        <w:rPr/>
      </w:pPr>
      <w:r>
        <w:rPr/>
        <w:t>6. management information circular of the Corporation dated September 13, 2023 relating to an annual and special meeting of shareholders of the Corporation held on October 12, 2023;</w:t>
      </w:r>
    </w:p>
    <w:p>
      <w:pPr>
        <w:pStyle w:val="TextBody"/>
        <w:bidi w:val="0"/>
        <w:ind w:left="720" w:right="0" w:hanging="0"/>
        <w:jc w:val="both"/>
        <w:rPr/>
      </w:pPr>
      <w:r>
        <w:rPr/>
        <w:t>7. material change report dated May 31, 2023 relating to the sale of up to US$30,000,000 of Common Shares to Lincoln Park Capital Fund, LLC ("</w:t>
      </w:r>
      <w:r>
        <w:rPr>
          <w:b/>
        </w:rPr>
        <w:t>LPC</w:t>
      </w:r>
      <w:r>
        <w:rPr/>
        <w:t>") pursuant to the terms of the purchase agreement entered into between LPC and the Corporation on May 30, 2023 (the "</w:t>
      </w:r>
      <w:r>
        <w:rPr>
          <w:b/>
        </w:rPr>
        <w:t>Purchase Agreement</w:t>
      </w:r>
      <w:r>
        <w:rPr/>
        <w:t>");</w:t>
      </w:r>
    </w:p>
    <w:p>
      <w:pPr>
        <w:pStyle w:val="TextBody"/>
        <w:bidi w:val="0"/>
        <w:ind w:left="720" w:right="0" w:hanging="0"/>
        <w:jc w:val="both"/>
        <w:rPr/>
      </w:pPr>
      <w:r>
        <w:rPr/>
        <w:t>8. material change report dated August 8, 2023 relating to the public offering (the "</w:t>
      </w:r>
      <w:r>
        <w:rPr>
          <w:b/>
        </w:rPr>
        <w:t>August 2023 Unit Offering</w:t>
      </w:r>
      <w:r>
        <w:rPr/>
        <w:t>") of 24,264,706 units of the Corporation (the "</w:t>
      </w:r>
      <w:r>
        <w:rPr>
          <w:b/>
        </w:rPr>
        <w:t>Units</w:t>
      </w:r>
      <w:r>
        <w:rPr/>
        <w:t>") at a price of US$0.34 per Unit for gross proceeds of US$8,250,000 pursuant to a prospectus supplement dated August 1, 2023 (the "</w:t>
      </w:r>
      <w:r>
        <w:rPr>
          <w:b/>
        </w:rPr>
        <w:t>August Supplement</w:t>
      </w:r>
      <w:r>
        <w:rPr/>
        <w:t>") to the Corporation's short form base shelf prospectus dated July 5, 2021;</w:t>
      </w:r>
    </w:p>
    <w:p>
      <w:pPr>
        <w:pStyle w:val="TextBody"/>
        <w:bidi w:val="0"/>
        <w:ind w:left="720" w:right="0" w:hanging="0"/>
        <w:jc w:val="both"/>
        <w:rPr/>
      </w:pPr>
      <w:r>
        <w:rPr/>
        <w:t>9. material change report dated August 23, 2023 relating to the renewal of the Corporation's previously established at-the-market equity program (the "</w:t>
      </w:r>
      <w:r>
        <w:rPr>
          <w:b/>
        </w:rPr>
        <w:t>2023 ATM Program</w:t>
      </w:r>
      <w:r>
        <w:rPr/>
        <w:t>") that allows the Corporation to issue and sell up to US$35,000,000 of Common Shares to the public from time to time, pursuant to a prospectus supplement dated August 23, 2023 to the Base Shelf Prospectus;</w:t>
      </w:r>
    </w:p>
    <w:p>
      <w:pPr>
        <w:pStyle w:val="TextBody"/>
        <w:bidi w:val="0"/>
        <w:ind w:left="720" w:right="0" w:hanging="0"/>
        <w:jc w:val="both"/>
        <w:rPr/>
      </w:pPr>
      <w:r>
        <w:rPr/>
        <w:t>10. material change report dated August 23, 2023 with respect to the requalification of the Purchase Agreement pursuant to a prospectus supplement dated August 23, 2023 to the Base Shelf Prospectus;</w:t>
      </w:r>
    </w:p>
    <w:p>
      <w:pPr>
        <w:pStyle w:val="TextBody"/>
        <w:bidi w:val="0"/>
        <w:ind w:left="720" w:right="0" w:hanging="0"/>
        <w:jc w:val="both"/>
        <w:rPr/>
      </w:pPr>
      <w:r>
        <w:rPr/>
        <w:t>11. material change report dated September 7, 2023 with respect to the acquisition of Small Pharma Inc. ("</w:t>
      </w:r>
      <w:r>
        <w:rPr>
          <w:b/>
        </w:rPr>
        <w:t>Small Pharma</w:t>
      </w:r>
      <w:r>
        <w:rPr/>
        <w:t>") by the Corporation pursuant to the terms of a definitive agreement (the "</w:t>
      </w:r>
      <w:r>
        <w:rPr>
          <w:b/>
        </w:rPr>
        <w:t>Arrangement Agreement</w:t>
      </w:r>
      <w:r>
        <w:rPr/>
        <w:t>") under which the Corporation will acquire all of the issued and outstanding common shares of Small Pharma pursuant to a court-approved plan of arrangement (the "</w:t>
      </w:r>
      <w:r>
        <w:rPr>
          <w:b/>
        </w:rPr>
        <w:t>Arrangement</w:t>
      </w:r>
      <w:r>
        <w:rPr/>
        <w:t>");</w:t>
      </w:r>
    </w:p>
    <w:p>
      <w:pPr>
        <w:pStyle w:val="TextBody"/>
        <w:bidi w:val="0"/>
        <w:ind w:left="720" w:right="0" w:hanging="0"/>
        <w:jc w:val="both"/>
        <w:rPr/>
      </w:pPr>
      <w:r>
        <w:rPr/>
        <w:t>12. material change report dated October 25, 2023 with respect the closing of the Arrangement with Small Pharma; and</w:t>
      </w:r>
    </w:p>
    <w:p>
      <w:pPr>
        <w:pStyle w:val="TextBody"/>
        <w:bidi w:val="0"/>
        <w:ind w:left="720" w:right="0" w:hanging="0"/>
        <w:jc w:val="both"/>
        <w:rPr/>
      </w:pPr>
      <w:r>
        <w:rPr/>
        <w:t>13. business acquisition report dated October 27, 2023 relating to the Arrangement.</w:t>
      </w:r>
    </w:p>
    <w:p>
      <w:pPr>
        <w:pStyle w:val="TextBody"/>
        <w:bidi w:val="0"/>
        <w:jc w:val="both"/>
        <w:rPr/>
      </w:pPr>
      <w:r>
        <w:rPr/>
        <w:t xml:space="preserve">Any document of the type referred to in Section 11.1 of Form 44-101F1 - </w:t>
      </w:r>
      <w:r>
        <w:rPr>
          <w:i/>
        </w:rPr>
        <w:t>Short Form Prospectus Distributions</w:t>
      </w:r>
      <w:r>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w:t>
      </w:r>
    </w:p>
    <w:p>
      <w:pPr>
        <w:pStyle w:val="TextBody"/>
        <w:bidi w:val="0"/>
        <w:jc w:val="both"/>
        <w:rPr/>
      </w:pPr>
      <w:r>
        <w:rPr/>
        <w:t>In addition, to the extent any such document is included in any report on Form 6-K furnished to the SEC or in any report on Form 40-F or 20-F, as applicable, (or any respective successor form) filed with the SEC subsequent to the date of this Prospectus Supplement, such document shall be deemed to be incorporated by reference as exhibits to the Registration Statement of which this Prospectus Supplement forms a part (in the case of any report on Form 6-K, if and to the extent expressly set forth in such report). In addition, any other report on Form 6-K and the exhibits thereto filed or furnished by the Corporation with the SEC, and any other reports filed, under the United States Securities Exchange Act of 1934, as amended (the "</w:t>
      </w:r>
      <w:r>
        <w:rPr>
          <w:b/>
        </w:rPr>
        <w:t>Exchange Act</w:t>
      </w:r>
      <w:r>
        <w:rPr/>
        <w:t>") from the date of this Prospectus Supplement shall be deemed to be incorporated by reference as exhibits to the Registration Statement of which this Prospectus Supplement forms a part, but only if and to the extent expressly so provided in any such report. </w:t>
      </w:r>
    </w:p>
    <w:p>
      <w:pPr>
        <w:pStyle w:val="TextBody"/>
        <w:bidi w:val="0"/>
        <w:jc w:val="both"/>
        <w:rPr/>
      </w:pPr>
      <w:r>
        <w:rPr/>
        <w:t xml:space="preserve">Copies of the documents incorporated by reference herein will be available electronically on the Corporation's SEDAR+ profile, which can be accessed at </w:t>
      </w:r>
      <w:r>
        <w:rPr>
          <w:color w:val="0563C1"/>
          <w:u w:val="single"/>
        </w:rPr>
        <w:t>www.sedar.com</w:t>
      </w:r>
      <w:r>
        <w:rPr/>
        <w:t xml:space="preserve">, and from the Corporation's EDGAR profile at </w:t>
      </w:r>
      <w:r>
        <w:rPr>
          <w:color w:val="0563C1"/>
          <w:u w:val="single"/>
        </w:rPr>
        <w:t>www.sec.gov/edgar</w:t>
      </w:r>
      <w:r>
        <w:rPr/>
        <w:t>. The Corporation's filings through SEDAR+ and EDGAR are not incorporated by reference in the Prospectus except as specifically set out herein.</w:t>
      </w:r>
    </w:p>
    <w:p>
      <w:pPr>
        <w:pStyle w:val="TextBody"/>
        <w:bidi w:val="0"/>
        <w:jc w:val="both"/>
        <w:rPr>
          <w:b/>
        </w:rPr>
      </w:pPr>
      <w:r>
        <w:rPr>
          <w:b/>
        </w:rPr>
        <w:t>Any statement contained in this Prospectus Supplement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14" w:name="page_10"/>
      <w:bookmarkEnd w:id="14"/>
      <w:r>
        <w:rPr>
          <w:b/>
        </w:rPr>
        <w:t>DOCUMENTS FILED AS PART OF THE REGISTRATION STATEMENT</w:t>
      </w:r>
    </w:p>
    <w:p>
      <w:pPr>
        <w:pStyle w:val="TextBody"/>
        <w:bidi w:val="0"/>
        <w:jc w:val="both"/>
        <w:rPr/>
      </w:pPr>
      <w:r>
        <w:rPr/>
        <w:t xml:space="preserve">The following documents have been or will be filed with the SEC as part of Registration Statement: (i) the documents set out under the heading "Documents Incorporated by Reference" in this Prospectus Supplement and the Base Shelf Prospectus; (ii) the consents of the Corporation's auditor and legal counsels; (iii) powers of attorney from certain of the Corporation's directors and officers (included on the signature page of the Registration Statement); and (iv) the Underwriting Agreement described in this Prospectus Supplement. </w:t>
      </w:r>
    </w:p>
    <w:p>
      <w:pPr>
        <w:pStyle w:val="TextBody"/>
        <w:bidi w:val="0"/>
        <w:jc w:val="center"/>
        <w:rPr>
          <w:b/>
        </w:rPr>
      </w:pPr>
      <w:r>
        <w:rPr>
          <w:b/>
        </w:rPr>
        <w:t>CURRENCY AND EXCHANGE RATE INFORMATION</w:t>
      </w:r>
    </w:p>
    <w:p>
      <w:pPr>
        <w:pStyle w:val="TextBody"/>
        <w:bidi w:val="0"/>
        <w:jc w:val="both"/>
        <w:rPr/>
      </w:pPr>
      <w:r>
        <w:rPr/>
        <w:t>In this Prospectus Supplement, unless otherwise indicated, all dollar amounts and references to "US$" are to U.S. dollars and references to "C$" and "$" are to Canadian dollars. This Prospectus Supplement contains translations of some Canadian dollar amounts into U.S. dollars solely for convenience.</w:t>
      </w:r>
    </w:p>
    <w:p>
      <w:pPr>
        <w:pStyle w:val="TextBody"/>
        <w:bidi w:val="0"/>
        <w:jc w:val="both"/>
        <w:rPr/>
      </w:pPr>
      <w:r>
        <w:rPr/>
        <w:t>The following table sets forth, for the periods indicated, the high, low, average and period-end rates of exchange for US$1.00, expressed in Canadian dollars, posted by the Bank of Canada:</w:t>
      </w:r>
    </w:p>
    <w:tbl>
      <w:tblPr>
        <w:tblW w:w="6190" w:type="dxa"/>
        <w:jc w:val="left"/>
        <w:tblInd w:w="0" w:type="dxa"/>
        <w:tblLayout w:type="fixed"/>
        <w:tblCellMar>
          <w:top w:w="0" w:type="dxa"/>
          <w:left w:w="0" w:type="dxa"/>
          <w:bottom w:w="0" w:type="dxa"/>
          <w:right w:w="0" w:type="dxa"/>
        </w:tblCellMar>
      </w:tblPr>
      <w:tblGrid>
        <w:gridCol w:w="2855"/>
        <w:gridCol w:w="60"/>
        <w:gridCol w:w="3275"/>
      </w:tblGrid>
      <w:tr>
        <w:trPr/>
        <w:tc>
          <w:tcPr>
            <w:tcW w:w="28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center"/>
              <w:rPr/>
            </w:pPr>
            <w:r>
              <w:rPr/>
              <w:t> </w:t>
            </w:r>
          </w:p>
        </w:tc>
        <w:tc>
          <w:tcPr>
            <w:tcW w:w="3275" w:type="dxa"/>
            <w:tcBorders>
              <w:bottom w:val="single" w:sz="6" w:space="0" w:color="000000"/>
            </w:tcBorders>
            <w:tcMar>
              <w:bottom w:w="28" w:type="dxa"/>
            </w:tcMar>
            <w:vAlign w:val="center"/>
          </w:tcPr>
          <w:p>
            <w:pPr>
              <w:pStyle w:val="TableContents"/>
              <w:bidi w:val="0"/>
              <w:spacing w:before="0" w:after="283"/>
              <w:jc w:val="center"/>
              <w:rPr>
                <w:b/>
              </w:rPr>
            </w:pPr>
            <w:r>
              <w:rPr>
                <w:b/>
              </w:rPr>
              <w:t>Year Ended December 31, 2022</w:t>
            </w:r>
          </w:p>
        </w:tc>
      </w:tr>
      <w:tr>
        <w:trPr/>
        <w:tc>
          <w:tcPr>
            <w:tcW w:w="2855" w:type="dxa"/>
            <w:tcBorders/>
            <w:shd w:fill="E6EFFF" w:val="clear"/>
            <w:vAlign w:val="center"/>
          </w:tcPr>
          <w:p>
            <w:pPr>
              <w:pStyle w:val="TableContents"/>
              <w:bidi w:val="0"/>
              <w:spacing w:before="0" w:after="283"/>
              <w:jc w:val="left"/>
              <w:rPr/>
            </w:pPr>
            <w:r>
              <w:rPr/>
              <w:t>Highest rate during the period</w:t>
            </w:r>
          </w:p>
        </w:tc>
        <w:tc>
          <w:tcPr>
            <w:tcW w:w="60" w:type="dxa"/>
            <w:tcBorders/>
            <w:shd w:fill="E6EFFF" w:val="clear"/>
            <w:vAlign w:val="center"/>
          </w:tcPr>
          <w:p>
            <w:pPr>
              <w:pStyle w:val="TableContents"/>
              <w:bidi w:val="0"/>
              <w:spacing w:before="0" w:after="283"/>
              <w:jc w:val="center"/>
              <w:rPr/>
            </w:pPr>
            <w:r>
              <w:rPr/>
              <w:t> </w:t>
            </w:r>
          </w:p>
        </w:tc>
        <w:tc>
          <w:tcPr>
            <w:tcW w:w="3275" w:type="dxa"/>
            <w:tcBorders>
              <w:top w:val="single" w:sz="6" w:space="0" w:color="000000"/>
            </w:tcBorders>
            <w:shd w:fill="E6EFFF" w:val="clear"/>
            <w:tcMar>
              <w:top w:w="28" w:type="dxa"/>
            </w:tcMar>
            <w:vAlign w:val="center"/>
          </w:tcPr>
          <w:p>
            <w:pPr>
              <w:pStyle w:val="TableContents"/>
              <w:bidi w:val="0"/>
              <w:spacing w:before="0" w:after="283"/>
              <w:jc w:val="center"/>
              <w:rPr/>
            </w:pPr>
            <w:r>
              <w:rPr/>
              <w:t>C$1.3856</w:t>
            </w:r>
          </w:p>
        </w:tc>
      </w:tr>
      <w:tr>
        <w:trPr/>
        <w:tc>
          <w:tcPr>
            <w:tcW w:w="2855" w:type="dxa"/>
            <w:tcBorders/>
            <w:vAlign w:val="center"/>
          </w:tcPr>
          <w:p>
            <w:pPr>
              <w:pStyle w:val="TableContents"/>
              <w:bidi w:val="0"/>
              <w:spacing w:before="0" w:after="283"/>
              <w:jc w:val="left"/>
              <w:rPr/>
            </w:pPr>
            <w:r>
              <w:rPr/>
              <w:t>Lowest rate during the period</w:t>
            </w:r>
          </w:p>
        </w:tc>
        <w:tc>
          <w:tcPr>
            <w:tcW w:w="60"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pPr>
            <w:r>
              <w:rPr/>
              <w:t>C$1.2540</w:t>
            </w:r>
          </w:p>
        </w:tc>
      </w:tr>
      <w:tr>
        <w:trPr/>
        <w:tc>
          <w:tcPr>
            <w:tcW w:w="2855" w:type="dxa"/>
            <w:tcBorders/>
            <w:shd w:fill="E6EFFF" w:val="clear"/>
            <w:vAlign w:val="center"/>
          </w:tcPr>
          <w:p>
            <w:pPr>
              <w:pStyle w:val="TableContents"/>
              <w:bidi w:val="0"/>
              <w:spacing w:before="0" w:after="283"/>
              <w:jc w:val="left"/>
              <w:rPr/>
            </w:pPr>
            <w:r>
              <w:rPr/>
              <w:t>Average rate for the period</w:t>
            </w:r>
          </w:p>
        </w:tc>
        <w:tc>
          <w:tcPr>
            <w:tcW w:w="60" w:type="dxa"/>
            <w:tcBorders/>
            <w:shd w:fill="E6EFFF" w:val="clear"/>
            <w:vAlign w:val="center"/>
          </w:tcPr>
          <w:p>
            <w:pPr>
              <w:pStyle w:val="TableContents"/>
              <w:bidi w:val="0"/>
              <w:spacing w:before="0" w:after="283"/>
              <w:jc w:val="center"/>
              <w:rPr/>
            </w:pPr>
            <w:r>
              <w:rPr/>
              <w:t> </w:t>
            </w:r>
          </w:p>
        </w:tc>
        <w:tc>
          <w:tcPr>
            <w:tcW w:w="3275" w:type="dxa"/>
            <w:tcBorders/>
            <w:shd w:fill="E6EFFF" w:val="clear"/>
            <w:vAlign w:val="center"/>
          </w:tcPr>
          <w:p>
            <w:pPr>
              <w:pStyle w:val="TableContents"/>
              <w:bidi w:val="0"/>
              <w:spacing w:before="0" w:after="283"/>
              <w:jc w:val="center"/>
              <w:rPr/>
            </w:pPr>
            <w:r>
              <w:rPr/>
              <w:t>C$1.3283</w:t>
            </w:r>
          </w:p>
        </w:tc>
      </w:tr>
      <w:tr>
        <w:trPr/>
        <w:tc>
          <w:tcPr>
            <w:tcW w:w="2855" w:type="dxa"/>
            <w:tcBorders/>
            <w:vAlign w:val="center"/>
          </w:tcPr>
          <w:p>
            <w:pPr>
              <w:pStyle w:val="TableContents"/>
              <w:bidi w:val="0"/>
              <w:spacing w:before="0" w:after="283"/>
              <w:jc w:val="left"/>
              <w:rPr/>
            </w:pPr>
            <w:r>
              <w:rPr/>
              <w:t>Rate at the end of the period</w:t>
            </w:r>
          </w:p>
        </w:tc>
        <w:tc>
          <w:tcPr>
            <w:tcW w:w="60" w:type="dxa"/>
            <w:tcBorders/>
            <w:vAlign w:val="center"/>
          </w:tcPr>
          <w:p>
            <w:pPr>
              <w:pStyle w:val="TableContents"/>
              <w:bidi w:val="0"/>
              <w:spacing w:before="0" w:after="283"/>
              <w:jc w:val="center"/>
              <w:rPr/>
            </w:pPr>
            <w:r>
              <w:rPr/>
              <w:t> </w:t>
            </w:r>
          </w:p>
        </w:tc>
        <w:tc>
          <w:tcPr>
            <w:tcW w:w="3275" w:type="dxa"/>
            <w:tcBorders/>
            <w:vAlign w:val="center"/>
          </w:tcPr>
          <w:p>
            <w:pPr>
              <w:pStyle w:val="TableContents"/>
              <w:bidi w:val="0"/>
              <w:spacing w:before="0" w:after="283"/>
              <w:jc w:val="center"/>
              <w:rPr/>
            </w:pPr>
            <w:r>
              <w:rPr/>
              <w:t>C$1.3544</w:t>
            </w:r>
          </w:p>
        </w:tc>
      </w:tr>
    </w:tbl>
    <w:p>
      <w:pPr>
        <w:pStyle w:val="TextBody"/>
        <w:bidi w:val="0"/>
        <w:jc w:val="both"/>
        <w:rPr/>
      </w:pPr>
      <w:r>
        <w:rPr/>
        <w:t>On November 9, 2023, the daily average exchange rate posted by the Bank of Canada for conversion of U.S. dollars into Canadian dollars was US$1.00 = C$1.3781 (the "</w:t>
      </w:r>
      <w:r>
        <w:rPr>
          <w:b/>
        </w:rPr>
        <w:t>2023 Rate</w:t>
      </w:r>
      <w:r>
        <w:rPr/>
        <w:t>"). Unless otherwise indicated, currency translation in this Prospectus Supplement reflects the 2023 Rate.</w:t>
      </w:r>
    </w:p>
    <w:p>
      <w:pPr>
        <w:pStyle w:val="TextBody"/>
        <w:bidi w:val="0"/>
        <w:jc w:val="center"/>
        <w:rPr>
          <w:b/>
        </w:rPr>
      </w:pPr>
      <w:r>
        <w:rPr>
          <w:b/>
        </w:rPr>
        <w:t>THE CORPORATION</w:t>
      </w:r>
    </w:p>
    <w:p>
      <w:pPr>
        <w:pStyle w:val="TextBody"/>
        <w:bidi w:val="0"/>
        <w:jc w:val="both"/>
        <w:rPr>
          <w:i/>
        </w:rPr>
      </w:pPr>
      <w:r>
        <w:rPr>
          <w:i/>
        </w:rPr>
        <w:t>This summary does not contain all the information that may be important to an investor in deciding whether to invest in the Securities. An investor should read the entire Prospectus, including the section entitled "Risk Factors", the applicable Prospectus Supplement, and the documents incorporated by reference herein, including the Annual Information Form, before making such decision.</w:t>
      </w:r>
    </w:p>
    <w:p>
      <w:pPr>
        <w:pStyle w:val="TextBody"/>
        <w:bidi w:val="0"/>
        <w:jc w:val="both"/>
        <w:rPr>
          <w:b/>
        </w:rPr>
      </w:pPr>
      <w:r>
        <w:rPr>
          <w:b/>
        </w:rPr>
        <w:t>Summary of the Business</w:t>
      </w:r>
    </w:p>
    <w:p>
      <w:pPr>
        <w:pStyle w:val="TextBody"/>
        <w:bidi w:val="0"/>
        <w:jc w:val="both"/>
        <w:rPr/>
      </w:pPr>
      <w:r>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hyperlink w:anchor="_ftn1">
        <w:bookmarkStart w:id="15" w:name="_ftnref1"/>
        <w:bookmarkEnd w:id="15"/>
        <w:r>
          <w:rPr>
            <w:rStyle w:val="InternetLink"/>
            <w:strike w:val="false"/>
            <w:dstrike w:val="false"/>
            <w:color w:val="000000"/>
            <w:position w:val="8"/>
            <w:sz w:val="19"/>
            <w:u w:val="none"/>
            <w:effect w:val="none"/>
          </w:rPr>
          <w:t>1</w:t>
        </w:r>
      </w:hyperlink>
      <w:r>
        <w:rPr/>
        <w:t> </w:t>
      </w:r>
    </w:p>
    <w:p>
      <w:pPr>
        <w:pStyle w:val="TextBody"/>
        <w:bidi w:val="0"/>
        <w:jc w:val="both"/>
        <w:rPr/>
      </w:pPr>
      <w:r>
        <w:rPr/>
        <w:t>The Corporation's research and development work focuses on a three-pillar strategy that leverages the Corporation's core competencies in preclinical innovation and clinical development. This strategy supports the creation of intellectual property focused on developing the Corporation's platform technology, the progression of clinical development programs including CYB003, a deuterated psilocybin analog, CYB004, a deuterated version of N, N-dimethyltryptamine, CYB005, phenethylamine derivatives, and an expansive list of preclinical molecules to facilitate future drug development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1">
        <w:r>
          <w:rPr>
            <w:rStyle w:val="InternetLink"/>
            <w:strike w:val="false"/>
            <w:dstrike w:val="false"/>
            <w:color w:val="000000"/>
            <w:position w:val="8"/>
            <w:sz w:val="19"/>
            <w:u w:val="none"/>
            <w:effect w:val="none"/>
          </w:rPr>
          <w:t>1</w:t>
        </w:r>
      </w:hyperlink>
      <w:r>
        <w:rPr/>
        <w:t xml:space="preserve"> 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S-5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6" w:name="page_11"/>
      <w:bookmarkEnd w:id="16"/>
      <w:r>
        <w:rPr/>
        <w:t>On October 23, 2023, the Corporation completed the Arrangement pursuant to which Small Pharma became a wholly-owned subsidiary of the Corporation. Prior to the Arrangement, Small Pharma was a biotechnology company focused on developing short-duration psychedelic-assisted therapies for the treatment of mental health conditions. Small Pharma initiated programs across its "First-generation" and "Second-generation" psychedelics portfolio. First-generation psychedelics refer to the well-known classic psychedelics which includes psilocybin, dimethyltryptamine ("</w:t>
      </w:r>
      <w:r>
        <w:rPr>
          <w:b/>
        </w:rPr>
        <w:t>DMT</w:t>
      </w:r>
      <w:r>
        <w:rPr/>
        <w:t>"), and Lysergic acid diethylamide. Second-generation psychedelics refer to those that have been chemically modified with the aim to optimize their therapeutic benefit. Small Pharma focused on the development of its pharmaceutical psychedelic assets with the inclusion of supportive therapy, anticipating this treatment paradigm to be important for optimizing beneficial patient outcomes.</w:t>
      </w:r>
    </w:p>
    <w:p>
      <w:pPr>
        <w:pStyle w:val="TextBody"/>
        <w:bidi w:val="0"/>
        <w:jc w:val="both"/>
        <w:rPr/>
      </w:pPr>
      <w:r>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pStyle w:val="TextBody"/>
        <w:bidi w:val="0"/>
        <w:jc w:val="both"/>
        <w:rPr/>
      </w:pPr>
      <w:r>
        <w:rPr/>
        <w:t>As a result of the Arrangement, the Corporation now currently has 33 granted patents and over 170 pending patent applications.</w:t>
      </w:r>
    </w:p>
    <w:p>
      <w:pPr>
        <w:pStyle w:val="TextBody"/>
        <w:bidi w:val="0"/>
        <w:jc w:val="both"/>
        <w:rPr>
          <w:b/>
          <w:i/>
        </w:rPr>
      </w:pPr>
      <w:r>
        <w:rPr>
          <w:b/>
          <w:i/>
        </w:rPr>
        <w:t xml:space="preserve">Advancement of Mental Healthcare </w:t>
      </w:r>
    </w:p>
    <w:p>
      <w:pPr>
        <w:pStyle w:val="TextBody"/>
        <w:bidi w:val="0"/>
        <w:jc w:val="both"/>
        <w:rPr/>
      </w:pPr>
      <w:r>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pStyle w:val="TextBody"/>
        <w:bidi w:val="0"/>
        <w:jc w:val="both"/>
        <w:rPr/>
      </w:pPr>
      <w:r>
        <w:rPr/>
        <w:t>Across its extensive research and development programs, the Corporation is evaluating a wide array of novel, synthetic psychedelic active pharmaceutical ingredients intended to be delivered through innovative drug delivery systems including via inhalation, via intravenous, and intramuscular, or subcutaneous administration</w:t>
      </w:r>
      <w:hyperlink w:anchor="_ftn2">
        <w:bookmarkStart w:id="17" w:name="_ftnref2"/>
        <w:bookmarkEnd w:id="17"/>
        <w:r>
          <w:rPr>
            <w:rStyle w:val="InternetLink"/>
            <w:strike w:val="false"/>
            <w:dstrike w:val="false"/>
            <w:color w:val="000000"/>
            <w:position w:val="8"/>
            <w:sz w:val="19"/>
            <w:u w:val="none"/>
            <w:effect w:val="none"/>
          </w:rPr>
          <w:t>2</w:t>
        </w:r>
      </w:hyperlink>
      <w:r>
        <w:rPr>
          <w:position w:val="8"/>
          <w:sz w:val="19"/>
        </w:rPr>
        <w:t>.</w:t>
      </w:r>
      <w:r>
        <w:rPr/>
        <w:t>     </w:t>
      </w:r>
    </w:p>
    <w:p>
      <w:pPr>
        <w:pStyle w:val="TextBody"/>
        <w:bidi w:val="0"/>
        <w:jc w:val="both"/>
        <w:rPr/>
      </w:pPr>
      <w:r>
        <w:rPr/>
        <w:t>The Corporation intends to apply for regulatory approval for therapies targeting indications such as major depressive disorder ("</w:t>
      </w:r>
      <w:r>
        <w:rPr>
          <w:b/>
        </w:rPr>
        <w:t>MDD</w:t>
      </w:r>
      <w:r>
        <w:rPr/>
        <w:t>"), alcohol use disorder, generalized anxiety disorder and potentially other various mental health conditions</w:t>
      </w:r>
      <w:hyperlink w:anchor="_ftn3">
        <w:bookmarkStart w:id="18" w:name="_ftnref3"/>
        <w:bookmarkEnd w:id="18"/>
        <w:r>
          <w:rPr>
            <w:rStyle w:val="InternetLink"/>
            <w:strike w:val="false"/>
            <w:dstrike w:val="false"/>
            <w:color w:val="000000"/>
            <w:position w:val="8"/>
            <w:sz w:val="19"/>
            <w:u w:val="none"/>
            <w:effect w:val="none"/>
          </w:rPr>
          <w:t>3</w:t>
        </w:r>
      </w:hyperlink>
      <w:r>
        <w:rPr/>
        <w:t>. The Corporation is also developing compounds that may have the potential to address neuroinflammation</w:t>
      </w:r>
      <w:hyperlink w:anchor="_ftn4">
        <w:bookmarkStart w:id="19" w:name="_ftnref4"/>
        <w:bookmarkEnd w:id="19"/>
        <w:r>
          <w:rPr>
            <w:rStyle w:val="InternetLink"/>
            <w:strike w:val="false"/>
            <w:dstrike w:val="false"/>
            <w:color w:val="000000"/>
            <w:position w:val="8"/>
            <w:sz w:val="19"/>
            <w:u w:val="none"/>
            <w:effect w:val="none"/>
          </w:rPr>
          <w:t>4</w:t>
        </w:r>
      </w:hyperlink>
      <w:r>
        <w:rPr/>
        <w:t>, central nervous system disorders, and psychiatric disorders</w:t>
      </w:r>
      <w:hyperlink w:anchor="_ftn5">
        <w:bookmarkStart w:id="20" w:name="_ftnref5"/>
        <w:bookmarkEnd w:id="20"/>
        <w:r>
          <w:rPr>
            <w:rStyle w:val="InternetLink"/>
            <w:strike w:val="false"/>
            <w:dstrike w:val="false"/>
            <w:color w:val="000000"/>
            <w:position w:val="8"/>
            <w:sz w:val="19"/>
            <w:u w:val="none"/>
            <w:effect w:val="none"/>
          </w:rPr>
          <w:t>5</w:t>
        </w:r>
      </w:hyperlink>
      <w:r>
        <w:rPr/>
        <w:t>.</w:t>
      </w:r>
    </w:p>
    <w:p>
      <w:pPr>
        <w:pStyle w:val="TextBody"/>
        <w:bidi w:val="0"/>
        <w:jc w:val="both"/>
        <w:rPr/>
      </w:pPr>
      <w:r>
        <w:rPr/>
        <w:t>For additional information in respect of the Corporation and its operation, please see the Interim MD&amp;A incorporated by reference into this Prospectus Supplement.</w:t>
      </w:r>
    </w:p>
    <w:p>
      <w:pPr>
        <w:pStyle w:val="TextBody"/>
        <w:bidi w:val="0"/>
        <w:jc w:val="both"/>
        <w:rPr>
          <w:b/>
        </w:rPr>
      </w:pPr>
      <w:r>
        <w:rPr>
          <w:b/>
        </w:rPr>
        <w:t xml:space="preserve">Recent Developments </w:t>
      </w:r>
    </w:p>
    <w:p>
      <w:pPr>
        <w:pStyle w:val="TextBody"/>
        <w:bidi w:val="0"/>
        <w:jc w:val="both"/>
        <w:rPr/>
      </w:pPr>
      <w:r>
        <w:rPr/>
        <w:t>Other than as set forth below and generally in this Prospectus Supplement, the Base Shelf Prospectus or the documents incorporated by reference herein, there have been no material developments in the business of the Corporation since August 11, 2023, the date of the Corporation's most recently issued Interim Financial Statements and Interim MD&amp;A.</w:t>
      </w:r>
    </w:p>
    <w:p>
      <w:pPr>
        <w:pStyle w:val="TextBody"/>
        <w:bidi w:val="0"/>
        <w:jc w:val="both"/>
        <w:rPr/>
      </w:pPr>
      <w:r>
        <w:rPr/>
        <w:t>On August 15, 2023, the Corporation announced that the U.S. Patent and Trademark Office ("</w:t>
      </w:r>
      <w:r>
        <w:rPr>
          <w:b/>
        </w:rPr>
        <w:t>USPTO</w:t>
      </w:r>
      <w:r>
        <w:rPr/>
        <w:t>") had granted U.S. patent 11,724,985, to a deuterated psilocybin analog in the Corporation's CYB003 investigational drug program. The patent, which is expected to provide exclusivity until 2041, includes composition of matter claims to deuterated tryptamines in support of the Corporation's clinical-stage programs, CYB003, a proprietary deuterated psilocybin analog being developed for the potential treatment of MDD (the "</w:t>
      </w:r>
      <w:r>
        <w:rPr>
          <w:b/>
        </w:rPr>
        <w:t>Deuterated Psilocybin Analog Program</w:t>
      </w:r>
      <w:r>
        <w:rPr/>
        <w:t>"), and CYB004, a proprietary deuterated DMT (the "</w:t>
      </w:r>
      <w:r>
        <w:rPr>
          <w:b/>
        </w:rPr>
        <w:t>Deuterated Dimethyltryptamine Program</w:t>
      </w:r>
      <w:r>
        <w:rPr/>
        <w:t>"), in addition to other of the Corporation's preclinical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2">
        <w:r>
          <w:rPr>
            <w:rStyle w:val="InternetLink"/>
            <w:strike w:val="false"/>
            <w:dstrike w:val="false"/>
            <w:color w:val="000000"/>
            <w:position w:val="8"/>
            <w:sz w:val="19"/>
            <w:u w:val="none"/>
            <w:effect w:val="none"/>
          </w:rPr>
          <w:t>2</w:t>
        </w:r>
      </w:hyperlink>
      <w:r>
        <w:rPr/>
        <w:t xml:space="preserve"> See footnote 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3">
        <w:r>
          <w:rPr>
            <w:rStyle w:val="InternetLink"/>
            <w:strike w:val="false"/>
            <w:dstrike w:val="false"/>
            <w:color w:val="000000"/>
            <w:position w:val="8"/>
            <w:sz w:val="19"/>
            <w:u w:val="none"/>
            <w:effect w:val="none"/>
          </w:rPr>
          <w:t>3</w:t>
        </w:r>
      </w:hyperlink>
      <w:r>
        <w:rPr/>
        <w:t xml:space="preserve"> See footnote 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4">
        <w:r>
          <w:rPr>
            <w:rStyle w:val="InternetLink"/>
            <w:strike w:val="false"/>
            <w:dstrike w:val="false"/>
            <w:color w:val="000000"/>
            <w:position w:val="8"/>
            <w:sz w:val="19"/>
            <w:u w:val="none"/>
            <w:effect w:val="none"/>
          </w:rPr>
          <w:t>4</w:t>
        </w:r>
      </w:hyperlink>
      <w:r>
        <w:rPr/>
        <w:t xml:space="preserve"> See footnote 1</w:t>
      </w:r>
      <w:r>
        <w:rPr>
          <w:b/>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5">
        <w:r>
          <w:rPr>
            <w:rStyle w:val="InternetLink"/>
            <w:strike w:val="false"/>
            <w:dstrike w:val="false"/>
            <w:color w:val="000000"/>
            <w:position w:val="8"/>
            <w:sz w:val="19"/>
            <w:u w:val="none"/>
            <w:effect w:val="none"/>
          </w:rPr>
          <w:t>5</w:t>
        </w:r>
      </w:hyperlink>
      <w:r>
        <w:rPr/>
        <w:t xml:space="preserve"> See footnote 1</w:t>
      </w:r>
      <w:r>
        <w:rPr>
          <w:b/>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S-6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1" w:name="page_12"/>
      <w:bookmarkEnd w:id="21"/>
      <w:r>
        <w:rPr/>
        <w:t>On August 17, 2023, the Corporation announced that it had initiated preparations for good manufacturing practices production of a capsule formulation of CYB003 as part of its Deuterated Psilocybin Analog Program in development for the potential treatment of MDD.</w:t>
      </w:r>
    </w:p>
    <w:p>
      <w:pPr>
        <w:pStyle w:val="TextBody"/>
        <w:bidi w:val="0"/>
        <w:jc w:val="both"/>
        <w:rPr/>
      </w:pPr>
      <w:r>
        <w:rPr/>
        <w:t>On August 23, 2023, the Corporation announced the filing of a prospectus supplement under the Base Shelf Prospectus to renew its previously established the 2023 ATM Program that allows the Corporation to issue and sell up to US$35,000,000 of Common Shares from treasury to the public, from time to time. Distributions of Common Shares under the 2023 ATM Program will be made pursuant to the terms and conditions of an at-the-market equity distribution agreement (the "</w:t>
      </w:r>
      <w:r>
        <w:rPr>
          <w:b/>
        </w:rPr>
        <w:t>Distribution Agreement</w:t>
      </w:r>
      <w:r>
        <w:rPr/>
        <w:t>") dated August 23, 2023 among the Corporation, Cantor Fitzgerald Canada Corporation and Cantor Fitzgerald &amp; Co. The 2023 ATM Program is effective until the earlier of the issuance and sale of all of the Common Shares issuable pursuant to the 2023 ATM Program and September 17, 2025, unless earlier terminated in accordance with the terms of the Distribution Agreement.</w:t>
      </w:r>
    </w:p>
    <w:p>
      <w:pPr>
        <w:pStyle w:val="TextBody"/>
        <w:bidi w:val="0"/>
        <w:jc w:val="both"/>
        <w:rPr/>
      </w:pPr>
      <w:r>
        <w:rPr/>
        <w:t>On August 23, 2023, the Corporation also announced the filing of a prospectus supplement under the Base Shelf Prospectus, requalifying the Corporation's Purchase Agreement on the same terms as those entered into on May 30, 2023 with LPC. </w:t>
      </w:r>
    </w:p>
    <w:p>
      <w:pPr>
        <w:pStyle w:val="TextBody"/>
        <w:bidi w:val="0"/>
        <w:jc w:val="both"/>
        <w:rPr/>
      </w:pPr>
      <w:r>
        <w:rPr/>
        <w:t>On September 5, 2023, the Corporation announced that the USPTO had granted U.S. patent 11,746,088, covering composition of matter for deuterated tryptamine compounds and pharmaceutical compositions thereof, with exclusivity until 2041. The newly granted U.S. patent covers deuterated 5-methoxy-dimethyltryptamine analogs in the Corporation's pre-clinical deuterated tryptamine portfolio and further strengthens the Corporation's leadership position in the development of potential best-in-class deuterated tryptamine-based therapeutics for the treatment of mental health conditions.</w:t>
      </w:r>
    </w:p>
    <w:p>
      <w:pPr>
        <w:pStyle w:val="TextBody"/>
        <w:bidi w:val="0"/>
        <w:jc w:val="both"/>
        <w:rPr/>
      </w:pPr>
      <w:r>
        <w:rPr/>
        <w:t>On September 21, 2023, the Corporation announced that it had completed enrollment in its Phase 2a study under its Deuterated Psilocybin Analog Program (CYB003). All participants in the final cohort received at least one dose (placebo or 16mg of CYB003) with several second doses already administered, and no serious adverse events observed in participants. To date, CYB003 has demonstrated a favorable safety and tolerability profile at all doses evaluated in the five completed cohorts (1mg, 3mg, 8mg, 10mg, and 12mg).</w:t>
      </w:r>
    </w:p>
    <w:p>
      <w:pPr>
        <w:pStyle w:val="TextBody"/>
        <w:bidi w:val="0"/>
        <w:jc w:val="both"/>
        <w:rPr/>
      </w:pPr>
      <w:r>
        <w:rPr/>
        <w:t>On September 26, 2023, the Corporation announced an agreement with Fluence, a leading continuing education organization in psychedelic therapy, to support the streamlining and scaling of the Corporation's EMBARK facilitator training program in preparation for a multi-site, global Phase 3 trial under its Deuterated Psilocybin Analog Program (CYB003). This streamlined model of psychedelic facilitation training, known as EMBARK for Clinical Trials, is designed for individuals with existing experience, knowledge, and skills in psychedelic facilitation. Under the terms of the agreement, Fluence will support the Corporation in the selection and training of facilitators for the planned Phase 3 trial. Fluence will also create supplemental video content and provide asynchronous and synchronous training in service of augmenting and verifying facilitator competencies.</w:t>
      </w:r>
    </w:p>
    <w:p>
      <w:pPr>
        <w:pStyle w:val="TextBody"/>
        <w:bidi w:val="0"/>
        <w:jc w:val="both"/>
        <w:rPr/>
      </w:pPr>
      <w:r>
        <w:rPr/>
        <w:t>On October 3, 2023, the Corporation announced that it had completed dosing in Cohort 6 of its Phase 2a study under its Deuterated Psilocybin Analog Program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pStyle w:val="TextBody"/>
        <w:bidi w:val="0"/>
        <w:jc w:val="both"/>
        <w:rPr/>
      </w:pPr>
      <w:r>
        <w:rPr/>
        <w:t>On October 25, 2023, the Corporation announced that the USPTO had issued two patent grants that offer protection for its Deuterated Dimethyltryptamine Program (CYB004). The granted patents protecting the Corporation's Deuterated Dimethyltryptamine Program (CYB004) are (i) United States patent no. 11,771,681, which provides composition of matter protection for certain deuterated analogs of DMT, and (ii) United States patent no. 11,773,062, which provides protection for the medical use and the novel, efficient and scalable synthesis of certain analogs of DMT.</w:t>
      </w:r>
    </w:p>
    <w:p>
      <w:pPr>
        <w:pStyle w:val="TextBody"/>
        <w:bidi w:val="0"/>
        <w:jc w:val="both"/>
        <w:rPr/>
      </w:pPr>
      <w:r>
        <w:rPr/>
        <w:t>On October 26, 2023, the Corporation announced that the European Patent Office ("</w:t>
      </w:r>
      <w:r>
        <w:rPr>
          <w:b/>
        </w:rPr>
        <w:t>EP</w:t>
      </w:r>
      <w:r>
        <w:rPr/>
        <w:t>") had granted a patent protecting the Corporation's Deuterated Psilocybin Analog Program (CYB003) and Deuterated Dimethyltryptamine Program (CYB004). EP patent no. 4,031,529 provides composition of matter protection for certain deuterated tryptamine compounds, including deuterated psilocybin analogs within the Deuterated Psilocybin Analog Program (CYB003) and deuterated analogs of DMT within the Deuterated Dimethyltryptamine Program (CYB004), as well as their medical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2" w:name="page_13"/>
      <w:bookmarkEnd w:id="22"/>
      <w:r>
        <w:rPr/>
        <w:t>On October 31, 2023, the Corporation announced Phase 2a interim results for its Deuterated Psilocybin Analog Program (CYB003), demonstrating a rapid, robust and statistically significant reduction in symptoms of depression three weeks following a single 12mg dose compared to placebo. At the 3-week primary efficacy endpoint, the reduction in MDD symptoms, defined as change from baseline in the Montgomery-Asberg Depression Rating Scale ("</w:t>
      </w:r>
      <w:r>
        <w:rPr>
          <w:b/>
        </w:rPr>
        <w:t>MADRS</w:t>
      </w:r>
      <w:r>
        <w:rPr/>
        <w:t>") total score, was superior in participants assigned to CYB003 compared to the participants who received placebo by 14.08 points (p=0.0005, Cohen's d=2.15).</w:t>
      </w:r>
    </w:p>
    <w:p>
      <w:pPr>
        <w:pStyle w:val="TextBody"/>
        <w:bidi w:val="0"/>
        <w:jc w:val="both"/>
        <w:rPr/>
      </w:pPr>
      <w:r>
        <w:rPr/>
        <w:t>On November 10, 2023, the Corporation issued a notice of suspension of the Purchase Agreement to LPC in the context of announcing the Offering. The Corporation sold a total of US$465,273 under the Purchase Agreement prior to the suspension of sales. No further Common Shares will be sold to LPC pursuant to the August Supplement or the Base Shelf Prospectus, unless such documents are amended to qualify further sales under the Purchase Agreement or sales under the Purchase Agreement are otherwise qualified and all necessary regulatory approvals are obtained.</w:t>
      </w:r>
    </w:p>
    <w:p>
      <w:pPr>
        <w:pStyle w:val="TextBody"/>
        <w:bidi w:val="0"/>
        <w:jc w:val="both"/>
        <w:rPr>
          <w:i/>
        </w:rPr>
      </w:pPr>
      <w:r>
        <w:rPr>
          <w:i/>
        </w:rPr>
        <w:t>Small Pharma Acquisition</w:t>
      </w:r>
    </w:p>
    <w:p>
      <w:pPr>
        <w:pStyle w:val="TextBody"/>
        <w:bidi w:val="0"/>
        <w:jc w:val="both"/>
        <w:rPr/>
      </w:pPr>
      <w:r>
        <w:rPr/>
        <w:t>On August 28, 2023, the Corporation entered into the Arrangement Agreement with Small Pharma pursuant to which the Corporation agreed to acquire all of the issued and outstanding shares of Small Pharma (each, a "</w:t>
      </w:r>
      <w:r>
        <w:rPr>
          <w:b/>
        </w:rPr>
        <w:t>Small Pharma Share</w:t>
      </w:r>
      <w:r>
        <w:rPr/>
        <w:t xml:space="preserve">") in an all-equity business combination transaction to be completed by way of a plan of arrangement under the </w:t>
      </w:r>
      <w:r>
        <w:rPr>
          <w:i/>
        </w:rPr>
        <w:t xml:space="preserve">Business Corporations Act </w:t>
      </w:r>
      <w:r>
        <w:rPr/>
        <w:t>(British Columbia).</w:t>
      </w:r>
    </w:p>
    <w:p>
      <w:pPr>
        <w:pStyle w:val="TextBody"/>
        <w:bidi w:val="0"/>
        <w:jc w:val="both"/>
        <w:rPr/>
      </w:pPr>
      <w:r>
        <w:rPr/>
        <w:t>On September 13, 2023, Small Pharma was granted an interim order (the "</w:t>
      </w:r>
      <w:r>
        <w:rPr>
          <w:b/>
        </w:rPr>
        <w:t>Interim Order</w:t>
      </w:r>
      <w:r>
        <w:rPr/>
        <w:t>") by the Supreme Court of British Columbia (the "</w:t>
      </w:r>
      <w:r>
        <w:rPr>
          <w:b/>
        </w:rPr>
        <w:t>Court</w:t>
      </w:r>
      <w:r>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pStyle w:val="TextBody"/>
        <w:bidi w:val="0"/>
        <w:jc w:val="both"/>
        <w:rPr/>
      </w:pPr>
      <w:r>
        <w:rPr/>
        <w:t>On September 21, 2023, the Corporation announced the date for its annual and special meeting of shareholders (the "</w:t>
      </w:r>
      <w:r>
        <w:rPr>
          <w:b/>
        </w:rPr>
        <w:t>Special Meeting</w:t>
      </w:r>
      <w:r>
        <w:rPr/>
        <w:t>") to be held on October 12, 2023 in connection with, among other things, the Arrangement. At the Special Meeting, shareholders of the Corporation passed an ordinary resolution approving the issuance by the Corporation of up to such number of Common Shares as may be required to be issued pursuant to the Arrangement in accordance with the terms of the Arrangement Agreement.</w:t>
      </w:r>
    </w:p>
    <w:p>
      <w:pPr>
        <w:pStyle w:val="TextBody"/>
        <w:bidi w:val="0"/>
        <w:jc w:val="both"/>
        <w:rPr/>
      </w:pPr>
      <w:r>
        <w:rPr/>
        <w:t>On October 23, 2023, the Corporation announced the completion of the Arrangement. As a result of the Arrangement, Small Pharma shareholders received 0.2409 of a Common Share in exchange for each Small Pharma Share held immediately prior to closing of the Arrangement. In aggregate, the Corporation issued 80,945,300 Common Shares pursuant to the Arrangement to former Small Pharma shareholders as consideration for their Small Pharma Shares. Small Pharma is now a wholly-owned subsidiary of the Corporation, and the Small Pharma Shares were delisted from the TSX Venture Exchange on October 25, 2023.</w:t>
      </w:r>
    </w:p>
    <w:p>
      <w:pPr>
        <w:pStyle w:val="TextBody"/>
        <w:bidi w:val="0"/>
        <w:jc w:val="both"/>
        <w:rPr/>
      </w:pPr>
      <w:r>
        <w:rPr/>
        <w:t>Effective October 23, 2023, in connection with the Arrangement, George Tziras, the former Chief Executive Officer of Small Pharma, was appointed to the Board of Directors and will also serve as the Corporation's Chief Business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23" w:name="page_14"/>
      <w:bookmarkEnd w:id="23"/>
      <w:r>
        <w:rPr>
          <w:b/>
        </w:rPr>
        <w:t>Intercorporate Relationships</w:t>
      </w:r>
    </w:p>
    <w:p>
      <w:pPr>
        <w:pStyle w:val="TextBody"/>
        <w:bidi w:val="0"/>
        <w:jc w:val="both"/>
        <w:rPr/>
      </w:pPr>
      <w:r>
        <w:rPr/>
        <w:t>As at the date of this Prospectus Supplement, the Corporation's corporate structure includes the following material wholly-owned subsidiaries:</w:t>
      </w:r>
    </w:p>
    <w:p>
      <w:pPr>
        <w:pStyle w:val="TextBody"/>
        <w:bidi w:val="0"/>
        <w:jc w:val="center"/>
        <w:rPr/>
      </w:pPr>
      <w:r>
        <w:rPr/>
        <w:drawing>
          <wp:inline distT="0" distB="0" distL="0" distR="0">
            <wp:extent cx="5334000" cy="3752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334000" cy="3752850"/>
                    </a:xfrm>
                    <a:prstGeom prst="rect">
                      <a:avLst/>
                    </a:prstGeom>
                  </pic:spPr>
                </pic:pic>
              </a:graphicData>
            </a:graphic>
          </wp:inline>
        </w:drawing>
      </w:r>
    </w:p>
    <w:p>
      <w:pPr>
        <w:pStyle w:val="TextBody"/>
        <w:bidi w:val="0"/>
        <w:ind w:left="993" w:right="0" w:hanging="0"/>
        <w:jc w:val="both"/>
        <w:rPr>
          <w:b/>
        </w:rPr>
      </w:pPr>
      <w:r>
        <w:rPr>
          <w:b/>
        </w:rPr>
        <w:t xml:space="preserve">Note: </w:t>
      </w:r>
    </w:p>
    <w:p>
      <w:pPr>
        <w:pStyle w:val="TextBody"/>
        <w:bidi w:val="0"/>
        <w:ind w:left="1560" w:right="0" w:hanging="0"/>
        <w:jc w:val="both"/>
        <w:rPr/>
      </w:pPr>
      <w:r>
        <w:rPr/>
        <w:t>(1) The shareholders of Adelia Therapeutics Inc. ("</w:t>
      </w:r>
      <w:r>
        <w:rPr>
          <w:b/>
        </w:rPr>
        <w:t>Adelia</w:t>
      </w:r>
      <w:r>
        <w:rPr/>
        <w:t>") hold certain non-voting securities of Cybin U.S. issued in connection with the acquisition of Adelia on December 14, 2020 (the "</w:t>
      </w:r>
      <w:r>
        <w:rPr>
          <w:b/>
        </w:rPr>
        <w:t>Adelia Transaction</w:t>
      </w:r>
      <w:r>
        <w:rPr/>
        <w:t>"). For additional information in respect of the Adelia Transaction, please see the Annual Information Form incorporated by reference in this Prospectus Supplement.</w:t>
      </w:r>
    </w:p>
    <w:p>
      <w:pPr>
        <w:pStyle w:val="TextBody"/>
        <w:bidi w:val="0"/>
        <w:jc w:val="center"/>
        <w:rPr>
          <w:b/>
        </w:rPr>
      </w:pPr>
      <w:r>
        <w:rPr>
          <w:b/>
        </w:rPr>
        <w:t>DESCRIPTION OF SECURITIES BEING DISTRIBUTED</w:t>
      </w:r>
    </w:p>
    <w:p>
      <w:pPr>
        <w:pStyle w:val="TextBody"/>
        <w:bidi w:val="0"/>
        <w:jc w:val="both"/>
        <w:rPr>
          <w:b/>
        </w:rPr>
      </w:pPr>
      <w:r>
        <w:rPr>
          <w:b/>
        </w:rPr>
        <w:t>Units</w:t>
      </w:r>
    </w:p>
    <w:p>
      <w:pPr>
        <w:pStyle w:val="TextBody"/>
        <w:bidi w:val="0"/>
        <w:jc w:val="both"/>
        <w:rPr/>
      </w:pPr>
      <w:r>
        <w:rPr/>
        <w:t>The Offering consists of 66,666,667 Units at a price of US$0.45 per Unit. Each Unit will consist of one Unit Share and one Warrant. The Units Shares and Warrant Shares comprising the Units and Warrants, respectively, will have the same rights and entitlements as the Common Shares set forth below.</w:t>
      </w:r>
    </w:p>
    <w:p>
      <w:pPr>
        <w:pStyle w:val="TextBody"/>
        <w:bidi w:val="0"/>
        <w:jc w:val="both"/>
        <w:rPr>
          <w:b/>
        </w:rPr>
      </w:pPr>
      <w:r>
        <w:rPr>
          <w:b/>
        </w:rPr>
        <w:t>Common Shares</w:t>
      </w:r>
    </w:p>
    <w:p>
      <w:pPr>
        <w:pStyle w:val="TextBody"/>
        <w:bidi w:val="0"/>
        <w:jc w:val="both"/>
        <w:rPr/>
      </w:pPr>
      <w:r>
        <w:rPr/>
        <w:t>The Corporation is authorized to issue an unlimited number of Common Shares and an unlimited number of preferred shares. As at November 9, 2023, the Corporation had 339,242,044 Common Shares and nil preferred shares issued and outstanding.</w:t>
      </w:r>
    </w:p>
    <w:p>
      <w:pPr>
        <w:pStyle w:val="TextBody"/>
        <w:bidi w:val="0"/>
        <w:jc w:val="both"/>
        <w:rPr/>
      </w:pPr>
      <w:r>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4" w:name="page_15"/>
      <w:bookmarkEnd w:id="24"/>
      <w:r>
        <w:rPr/>
        <w:t>Common Shares may be sold separately or together with certain other Securities under this Prospectus Supplement. Common Shares may also be issuable on conversion, exchange, exercise or maturity of certain other Securities qualified for issuance under this Prospectus Supplement.</w:t>
      </w:r>
    </w:p>
    <w:p>
      <w:pPr>
        <w:pStyle w:val="TextBody"/>
        <w:bidi w:val="0"/>
        <w:jc w:val="both"/>
        <w:rPr>
          <w:b/>
        </w:rPr>
      </w:pPr>
      <w:r>
        <w:rPr>
          <w:b/>
        </w:rPr>
        <w:t>Warrants</w:t>
      </w:r>
    </w:p>
    <w:p>
      <w:pPr>
        <w:pStyle w:val="TextBody"/>
        <w:bidi w:val="0"/>
        <w:jc w:val="both"/>
        <w:rPr/>
      </w:pPr>
      <w:r>
        <w:rPr/>
        <w:t>The Warrants will not be issued under a warrant indenture and will be represented and governed by the provisions of stand-alone warrant certificates. The following is a brief summary of the material terms of the Warrants. This summary does not purport to be complete and is qualified in all respects by the provisions contained in the form of certificate representing and governing the Warrants.</w:t>
      </w:r>
    </w:p>
    <w:p>
      <w:pPr>
        <w:pStyle w:val="TextBody"/>
        <w:bidi w:val="0"/>
        <w:jc w:val="both"/>
        <w:rPr/>
      </w:pPr>
      <w:r>
        <w:rPr/>
        <w:t>Each Warrant will entitle the holder thereof to acquire, subject to adjustment in certain circumstances, one Warrant Share at the Warrant Exercise Price at any time on or after the six (6) month anniversary of the Closing Date (the "</w:t>
      </w:r>
      <w:r>
        <w:rPr>
          <w:b/>
        </w:rPr>
        <w:t>Initial Exercise Date</w:t>
      </w:r>
      <w:r>
        <w:rPr/>
        <w:t>") until the Warrant Expiry Date. From the Initial Exercise Date until the Warrant Expiry Date, upon any consecutive twenty (20) day trading period that the Common Shares on the NYSE American (or such other principal exchange or market on which the Common Shares are listed and posted for trading) trade at a volume-weighted average price that is equal to or greater than US$1.50 per Common Share for each of such trading day with aggregate trading volume during the same period of at least 40 million Common Shares, the Corporation shall have the right, but not the obligation, to accelerate the Warrant Expiry Date of the Warrants to the date that is thirty (30) days following the delivery of a notice to the holders of the Warrants, pursuant to the terms of the Warrant Certificate.</w:t>
      </w:r>
    </w:p>
    <w:p>
      <w:pPr>
        <w:pStyle w:val="TextBody"/>
        <w:bidi w:val="0"/>
        <w:jc w:val="both"/>
        <w:rPr/>
      </w:pPr>
      <w:r>
        <w:rPr/>
        <w:t>Unless otherwise specified in the applicable Warrant, the holder will not have the right to exercise any portion of the Warrant if the holder (together with its affiliates) would beneficially own in excess of 4.99% of the number of Common Shares outstanding immediately after giving effect to the exercise, as such percentage ownership is determined in accordance with the terms of the Warrants. By written notice to the Corporation and subject to certain conditions, the holder may increase or decrease the foregoing percentage to any other percentage not in excess of 9.99%.</w:t>
      </w:r>
    </w:p>
    <w:p>
      <w:pPr>
        <w:pStyle w:val="TextBody"/>
        <w:bidi w:val="0"/>
        <w:jc w:val="both"/>
        <w:rPr/>
      </w:pPr>
      <w:r>
        <w:rPr/>
        <w:t>If at any time during the exercise period of the Warrant, a prospectus or registration statement covering the Warrant Shares issuable upon exercise of the Warrant that are the subject of such exercise notice is not available for the sale of such Warrant Shares, then in lieu of making the cash payment otherwise contemplated to be made to the Corporation upon such exercise in payment of the aggregate exercise price, the Warrant may be exercised by an election of the holder to receive upon such exercise the "net number" of Warrant Shares determined according to a formula set forth in the warrant certificate.</w:t>
      </w:r>
    </w:p>
    <w:p>
      <w:pPr>
        <w:pStyle w:val="TextBody"/>
        <w:bidi w:val="0"/>
        <w:jc w:val="both"/>
        <w:rPr/>
      </w:pPr>
      <w:r>
        <w:rPr/>
        <w:t>Subject to applicable laws, the Warrants may be transferred at the option of the holders upon surrender of the warrant certificates to the Corporation.</w:t>
      </w:r>
    </w:p>
    <w:p>
      <w:pPr>
        <w:pStyle w:val="TextBody"/>
        <w:bidi w:val="0"/>
        <w:jc w:val="both"/>
        <w:rPr/>
      </w:pPr>
      <w:r>
        <w:rPr/>
        <w:t>The Warrant Certificate provides for certain adjustments in the number of Warrant Shares issuable upon the exercise of the Warrants and/or the exercise price per Warrant Share upon the occurrence of certain events, including, but not limited to:</w:t>
      </w:r>
    </w:p>
    <w:p>
      <w:pPr>
        <w:pStyle w:val="TextBody"/>
        <w:numPr>
          <w:ilvl w:val="0"/>
          <w:numId w:val="4"/>
        </w:numPr>
        <w:pBdr/>
        <w:tabs>
          <w:tab w:val="clear" w:pos="1134"/>
          <w:tab w:val="left" w:pos="1306" w:leader="none"/>
        </w:tabs>
        <w:bidi w:val="0"/>
        <w:spacing w:before="0" w:after="0"/>
        <w:ind w:left="1306" w:right="0" w:hanging="283"/>
        <w:jc w:val="both"/>
        <w:rPr/>
      </w:pPr>
      <w:r>
        <w:rPr/>
        <w:t xml:space="preserve">stock dividends; </w:t>
      </w:r>
    </w:p>
    <w:p>
      <w:pPr>
        <w:pStyle w:val="TextBody"/>
        <w:numPr>
          <w:ilvl w:val="0"/>
          <w:numId w:val="4"/>
        </w:numPr>
        <w:pBdr/>
        <w:tabs>
          <w:tab w:val="clear" w:pos="1134"/>
          <w:tab w:val="left" w:pos="1306" w:leader="none"/>
        </w:tabs>
        <w:bidi w:val="0"/>
        <w:spacing w:before="0" w:after="0"/>
        <w:ind w:left="1306" w:right="0" w:hanging="283"/>
        <w:jc w:val="both"/>
        <w:rPr/>
      </w:pPr>
      <w:r>
        <w:rPr/>
        <w:t xml:space="preserve">subdivision of the Common Shars into a larger number of shares; </w:t>
      </w:r>
    </w:p>
    <w:p>
      <w:pPr>
        <w:pStyle w:val="TextBody"/>
        <w:numPr>
          <w:ilvl w:val="0"/>
          <w:numId w:val="4"/>
        </w:numPr>
        <w:pBdr/>
        <w:tabs>
          <w:tab w:val="clear" w:pos="1134"/>
          <w:tab w:val="left" w:pos="1306" w:leader="none"/>
        </w:tabs>
        <w:bidi w:val="0"/>
        <w:spacing w:before="0" w:after="0"/>
        <w:ind w:left="1306" w:right="0" w:hanging="283"/>
        <w:jc w:val="both"/>
        <w:rPr/>
      </w:pPr>
      <w:r>
        <w:rPr/>
        <w:t xml:space="preserve">combines (including by way of reverse stock split) outstanding Common Shares into a smaller number of shares; </w:t>
      </w:r>
    </w:p>
    <w:p>
      <w:pPr>
        <w:pStyle w:val="TextBody"/>
        <w:numPr>
          <w:ilvl w:val="0"/>
          <w:numId w:val="4"/>
        </w:numPr>
        <w:pBdr/>
        <w:tabs>
          <w:tab w:val="clear" w:pos="1134"/>
          <w:tab w:val="left" w:pos="1306" w:leader="none"/>
        </w:tabs>
        <w:bidi w:val="0"/>
        <w:spacing w:before="0" w:after="0"/>
        <w:ind w:left="1306" w:right="0" w:hanging="283"/>
        <w:jc w:val="both"/>
        <w:rPr/>
      </w:pPr>
      <w:r>
        <w:rPr/>
        <w:t xml:space="preserve">issues by reclassification of Common Shares any shares in the capital of the Company; </w:t>
      </w:r>
    </w:p>
    <w:p>
      <w:pPr>
        <w:pStyle w:val="TextBody"/>
        <w:numPr>
          <w:ilvl w:val="0"/>
          <w:numId w:val="4"/>
        </w:numPr>
        <w:pBdr/>
        <w:tabs>
          <w:tab w:val="clear" w:pos="1134"/>
          <w:tab w:val="left" w:pos="1306" w:leader="none"/>
        </w:tabs>
        <w:bidi w:val="0"/>
        <w:spacing w:before="0" w:after="0"/>
        <w:ind w:left="1306" w:right="0" w:hanging="283"/>
        <w:jc w:val="both"/>
        <w:rPr/>
      </w:pPr>
      <w:r>
        <w:rPr/>
        <w:t xml:space="preserve">subsequent rights offerings; and </w:t>
      </w:r>
    </w:p>
    <w:p>
      <w:pPr>
        <w:pStyle w:val="TextBody"/>
        <w:numPr>
          <w:ilvl w:val="0"/>
          <w:numId w:val="4"/>
        </w:numPr>
        <w:pBdr/>
        <w:tabs>
          <w:tab w:val="clear" w:pos="1134"/>
          <w:tab w:val="left" w:pos="1306" w:leader="none"/>
        </w:tabs>
        <w:bidi w:val="0"/>
        <w:ind w:left="1306" w:right="0" w:hanging="283"/>
        <w:jc w:val="both"/>
        <w:rPr/>
      </w:pPr>
      <w:r>
        <w:rPr/>
        <w:t xml:space="preserve">pro-rata distributions. </w:t>
      </w:r>
    </w:p>
    <w:p>
      <w:pPr>
        <w:pStyle w:val="TextBody"/>
        <w:bidi w:val="0"/>
        <w:jc w:val="both"/>
        <w:rPr/>
      </w:pPr>
      <w:r>
        <w:rPr/>
        <w:t>The Warrant Certificate provides for adjustments in the class and/or number of securities issuable upon exercise of the Warrants and/or exercise price per security in the event of the following events: (a) the Corporation, directly or indirectly, in one or more related transactions effects any merger or consolidation of the Corporation with or into another corporation or other entity, (b) the Corporation, directly or indirectly, effects any sale, lease, license, assignment, transfer, conveyance or other disposition of all or substantially all of its assets in one or a series of related transactions, (c) any, direct or indirect, purchase offer, tender offer or exchange offer (whether by the Corporation or another corporation or entity) is completed pursuant to which holders of Common Shares are permitted to sell, tender or exchange their shares for other securities, cash or property and has been accepted by the holders of 50% or more of the outstanding Common Shares, (d) the Corporation,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or (e) the Company, directly or indirectly, in one or more related transactions consummates a stock or share purchase agreement or other business combination (including, without limitation, a reorganization, recapitalization, spin-off, merger or scheme of arrangement) with another corporation or entity whereby such other corporation or entity or group acquires more than 50% of the outstanding Common Shares (not including any Common Shares held by the other corporation or entity making or party to, or associated or affiliated with the other corporation or entity making or party to, such stock or share purchase agreement or other business combination) (each, a "Fundamental Transaction"), in which case each holder of a Warrant which is thereafter exercised will receive, in lieu of Common Shares, the kind and number or amount of other securities or property which such holder would have been entitled to receive as a result of such event if such holder had exercised the Warrants prior to the event.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5" w:name="page_16"/>
      <w:bookmarkEnd w:id="25"/>
      <w:r>
        <w:rPr/>
        <w:t>The Corporation also covenants in the Warrant Certificate that, during the period in which the Warrants are exercisable, it will give notice to holders of Warrants of certain stated events, including events that would result in an adjustment to the exercise price for the Warrants or the number of Warrant Shares issuable upon exercise of the Warrants, at least five (5) days prior to the record date or effective date, as the case may be, of such events.</w:t>
      </w:r>
    </w:p>
    <w:p>
      <w:pPr>
        <w:pStyle w:val="TextBody"/>
        <w:bidi w:val="0"/>
        <w:jc w:val="both"/>
        <w:rPr/>
      </w:pPr>
      <w:r>
        <w:rPr/>
        <w:t>No fractional Common Shares will be issuable to any holder of Warrants upon the exercise thereof. As to any fraction of a Common Share which the holder would otherwise be entitled to purchase upon such exercise, the Corporation shall, at its election, either pay a cash adjustment in respect of such fraction in an amount equal to such fraction multiplied by the Warrant Exercise Price or round up to the next whole Common Share. The holding of Warrants will not make the holder thereof a shareholder of the Corporation or entitle such holder to any right or interest in respect of the Warrants except as expressly provided in the Warrant Certificate. Holders of Warrants will not have any voting or pre-emptive rights or any other rights of a holder of Common Shares.</w:t>
      </w:r>
    </w:p>
    <w:p>
      <w:pPr>
        <w:pStyle w:val="TextBody"/>
        <w:bidi w:val="0"/>
        <w:jc w:val="both"/>
        <w:rPr/>
      </w:pPr>
      <w:r>
        <w:rPr/>
        <w:t>In no event may the exercise price of or the number of Warrant Shares subject to any Warrant be amended, nor may the right to exercise that Warrant be waived, without the written consent of the holder of that Warrant.</w:t>
      </w:r>
    </w:p>
    <w:p>
      <w:pPr>
        <w:pStyle w:val="TextBody"/>
        <w:bidi w:val="0"/>
        <w:jc w:val="center"/>
        <w:rPr>
          <w:b/>
        </w:rPr>
      </w:pPr>
      <w:r>
        <w:rPr>
          <w:b/>
        </w:rPr>
        <w:t>USE OF PROCEEDS</w:t>
      </w:r>
    </w:p>
    <w:p>
      <w:pPr>
        <w:pStyle w:val="TextBody"/>
        <w:bidi w:val="0"/>
        <w:jc w:val="both"/>
        <w:rPr/>
      </w:pPr>
      <w:r>
        <w:rPr/>
        <w:t>The net proceeds to the Corporation from the Offering (after deducting the Underwriter's Fee of US$1,529,999.98 and estimated expenses of this Offering of US$400,000) will be approximately US$28,070,000.17 (assuming a total of 13,333,335 Units are sold to purchasers on the President's List).</w:t>
      </w:r>
    </w:p>
    <w:p>
      <w:pPr>
        <w:pStyle w:val="TextBody"/>
        <w:bidi w:val="0"/>
        <w:jc w:val="both"/>
        <w:rPr/>
      </w:pPr>
      <w:r>
        <w:rPr/>
        <w:t>The Corporation intends to use the net proceeds from the Offering as follows:</w:t>
      </w:r>
    </w:p>
    <w:tbl>
      <w:tblPr>
        <w:tblW w:w="6999" w:type="dxa"/>
        <w:jc w:val="left"/>
        <w:tblInd w:w="0" w:type="dxa"/>
        <w:tblLayout w:type="fixed"/>
        <w:tblCellMar>
          <w:top w:w="0" w:type="dxa"/>
          <w:left w:w="0" w:type="dxa"/>
          <w:bottom w:w="28" w:type="dxa"/>
          <w:right w:w="0" w:type="dxa"/>
        </w:tblCellMar>
      </w:tblPr>
      <w:tblGrid>
        <w:gridCol w:w="86"/>
        <w:gridCol w:w="4943"/>
        <w:gridCol w:w="60"/>
        <w:gridCol w:w="1835"/>
        <w:gridCol w:w="75"/>
      </w:tblGrid>
      <w:tr>
        <w:trPr/>
        <w:tc>
          <w:tcPr>
            <w:tcW w:w="5029" w:type="dxa"/>
            <w:gridSpan w:val="2"/>
            <w:tcBorders>
              <w:bottom w:val="single" w:sz="6" w:space="0" w:color="000000"/>
            </w:tcBorders>
            <w:vAlign w:val="center"/>
          </w:tcPr>
          <w:p>
            <w:pPr>
              <w:pStyle w:val="TableContents"/>
              <w:bidi w:val="0"/>
              <w:spacing w:before="0" w:after="0"/>
              <w:jc w:val="left"/>
              <w:rPr>
                <w:b/>
              </w:rPr>
            </w:pPr>
            <w:r>
              <w:rPr>
                <w:b/>
              </w:rPr>
              <w:t>Proceeds</w:t>
            </w:r>
          </w:p>
        </w:tc>
        <w:tc>
          <w:tcPr>
            <w:tcW w:w="60" w:type="dxa"/>
            <w:tcBorders>
              <w:bottom w:val="single" w:sz="6" w:space="0" w:color="000000"/>
            </w:tcBorders>
            <w:vAlign w:val="center"/>
          </w:tcPr>
          <w:p>
            <w:pPr>
              <w:pStyle w:val="TableContents"/>
              <w:bidi w:val="0"/>
              <w:spacing w:before="0" w:after="283"/>
              <w:jc w:val="right"/>
              <w:rPr/>
            </w:pPr>
            <w:r>
              <w:rPr/>
              <w:t> </w:t>
            </w:r>
          </w:p>
        </w:tc>
        <w:tc>
          <w:tcPr>
            <w:tcW w:w="1835" w:type="dxa"/>
            <w:tcBorders>
              <w:bottom w:val="single" w:sz="6" w:space="0" w:color="000000"/>
            </w:tcBorders>
            <w:vAlign w:val="center"/>
          </w:tcPr>
          <w:p>
            <w:pPr>
              <w:pStyle w:val="TableContents"/>
              <w:bidi w:val="0"/>
              <w:spacing w:before="0" w:after="283"/>
              <w:jc w:val="center"/>
              <w:rPr>
                <w:b/>
              </w:rPr>
            </w:pPr>
            <w:r>
              <w:rPr>
                <w:b/>
              </w:rPr>
              <w:t>Offering Amount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5029" w:type="dxa"/>
            <w:gridSpan w:val="2"/>
            <w:tcBorders/>
            <w:shd w:fill="E6EFFF" w:val="clear"/>
            <w:tcMar>
              <w:bottom w:w="0" w:type="dxa"/>
            </w:tcMar>
            <w:vAlign w:val="center"/>
          </w:tcPr>
          <w:p>
            <w:pPr>
              <w:pStyle w:val="TableContents"/>
              <w:bidi w:val="0"/>
              <w:spacing w:before="0" w:after="0"/>
              <w:jc w:val="left"/>
              <w:rPr/>
            </w:pPr>
            <w:r>
              <w:rPr/>
              <w:t>Offering</w:t>
            </w:r>
          </w:p>
        </w:tc>
        <w:tc>
          <w:tcPr>
            <w:tcW w:w="60" w:type="dxa"/>
            <w:tcBorders>
              <w:top w:val="single" w:sz="6" w:space="0" w:color="000000"/>
            </w:tcBorders>
            <w:shd w:fill="E6EFFF" w:val="clear"/>
            <w:tcMar>
              <w:top w:w="28" w:type="dxa"/>
              <w:bottom w:w="0" w:type="dxa"/>
            </w:tcMar>
            <w:vAlign w:val="center"/>
          </w:tcPr>
          <w:p>
            <w:pPr>
              <w:pStyle w:val="TableContents"/>
              <w:bidi w:val="0"/>
              <w:spacing w:before="0" w:after="283"/>
              <w:jc w:val="right"/>
              <w:rPr/>
            </w:pPr>
            <w:r>
              <w:rPr/>
              <w:t> </w:t>
            </w:r>
          </w:p>
        </w:tc>
        <w:tc>
          <w:tcPr>
            <w:tcW w:w="1835" w:type="dxa"/>
            <w:tcBorders>
              <w:top w:val="single" w:sz="6" w:space="0" w:color="000000"/>
            </w:tcBorders>
            <w:shd w:fill="E6EFFF" w:val="clear"/>
            <w:tcMar>
              <w:top w:w="28" w:type="dxa"/>
              <w:bottom w:w="0" w:type="dxa"/>
            </w:tcMar>
            <w:vAlign w:val="center"/>
          </w:tcPr>
          <w:p>
            <w:pPr>
              <w:pStyle w:val="TableContents"/>
              <w:bidi w:val="0"/>
              <w:spacing w:before="0" w:after="283"/>
              <w:jc w:val="center"/>
              <w:rPr/>
            </w:pPr>
            <w:r>
              <w:rPr/>
              <w:t>US$30,000,000.15</w:t>
            </w:r>
          </w:p>
        </w:tc>
        <w:tc>
          <w:tcPr>
            <w:tcW w:w="75" w:type="dxa"/>
            <w:tcBorders>
              <w:top w:val="single" w:sz="6" w:space="0" w:color="000000"/>
            </w:tcBorders>
            <w:shd w:fill="E6EFFF" w:val="clear"/>
            <w:tcMar>
              <w:top w:w="28" w:type="dxa"/>
              <w:bottom w:w="0" w:type="dxa"/>
            </w:tcMar>
            <w:vAlign w:val="center"/>
          </w:tcPr>
          <w:p>
            <w:pPr>
              <w:pStyle w:val="TableContents"/>
              <w:bidi w:val="0"/>
              <w:spacing w:before="0" w:after="283"/>
              <w:jc w:val="center"/>
              <w:rPr/>
            </w:pPr>
            <w:r>
              <w:rPr/>
              <w:t> </w:t>
            </w:r>
          </w:p>
        </w:tc>
      </w:tr>
      <w:tr>
        <w:trPr/>
        <w:tc>
          <w:tcPr>
            <w:tcW w:w="5029" w:type="dxa"/>
            <w:gridSpan w:val="2"/>
            <w:tcBorders/>
            <w:tcMar>
              <w:bottom w:w="0" w:type="dxa"/>
            </w:tcMar>
            <w:vAlign w:val="center"/>
          </w:tcPr>
          <w:p>
            <w:pPr>
              <w:pStyle w:val="TableContents"/>
              <w:bidi w:val="0"/>
              <w:spacing w:before="0" w:after="0"/>
              <w:jc w:val="left"/>
              <w:rPr/>
            </w:pPr>
            <w:r>
              <w:rPr/>
              <w:t>Underwriter's Fee</w:t>
            </w:r>
            <w:r>
              <w:rPr>
                <w:position w:val="8"/>
                <w:sz w:val="19"/>
              </w:rPr>
              <w:t>(1)</w:t>
            </w:r>
          </w:p>
        </w:tc>
        <w:tc>
          <w:tcPr>
            <w:tcW w:w="60" w:type="dxa"/>
            <w:tcBorders/>
            <w:tcMar>
              <w:bottom w:w="0" w:type="dxa"/>
            </w:tcMar>
            <w:vAlign w:val="center"/>
          </w:tcPr>
          <w:p>
            <w:pPr>
              <w:pStyle w:val="TableContents"/>
              <w:bidi w:val="0"/>
              <w:spacing w:before="0" w:after="283"/>
              <w:jc w:val="right"/>
              <w:rPr/>
            </w:pPr>
            <w:r>
              <w:rPr/>
              <w:t> </w:t>
            </w:r>
          </w:p>
        </w:tc>
        <w:tc>
          <w:tcPr>
            <w:tcW w:w="1835" w:type="dxa"/>
            <w:tcBorders/>
            <w:tcMar>
              <w:bottom w:w="0" w:type="dxa"/>
            </w:tcMar>
            <w:vAlign w:val="center"/>
          </w:tcPr>
          <w:p>
            <w:pPr>
              <w:pStyle w:val="TableContents"/>
              <w:bidi w:val="0"/>
              <w:spacing w:before="0" w:after="283"/>
              <w:jc w:val="center"/>
              <w:rPr/>
            </w:pPr>
            <w:r>
              <w:rPr/>
              <w:t>US$1,529,999.98</w:t>
            </w:r>
          </w:p>
        </w:tc>
        <w:tc>
          <w:tcPr>
            <w:tcW w:w="75" w:type="dxa"/>
            <w:tcBorders/>
            <w:tcMar>
              <w:bottom w:w="0" w:type="dxa"/>
            </w:tcMar>
            <w:vAlign w:val="center"/>
          </w:tcPr>
          <w:p>
            <w:pPr>
              <w:pStyle w:val="TableContents"/>
              <w:bidi w:val="0"/>
              <w:spacing w:before="0" w:after="283"/>
              <w:jc w:val="center"/>
              <w:rPr/>
            </w:pPr>
            <w:r>
              <w:rPr/>
              <w:t> </w:t>
            </w:r>
          </w:p>
        </w:tc>
      </w:tr>
      <w:tr>
        <w:trPr/>
        <w:tc>
          <w:tcPr>
            <w:tcW w:w="5029" w:type="dxa"/>
            <w:gridSpan w:val="2"/>
            <w:tcBorders/>
            <w:shd w:fill="E6EFFF" w:val="clear"/>
            <w:tcMar>
              <w:bottom w:w="0" w:type="dxa"/>
            </w:tcMar>
            <w:vAlign w:val="center"/>
          </w:tcPr>
          <w:p>
            <w:pPr>
              <w:pStyle w:val="TableContents"/>
              <w:bidi w:val="0"/>
              <w:spacing w:before="0" w:after="0"/>
              <w:jc w:val="left"/>
              <w:rPr/>
            </w:pPr>
            <w:r>
              <w:rPr/>
              <w:t>Estimated expenses of the Offering</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835" w:type="dxa"/>
            <w:tcBorders/>
            <w:shd w:fill="E6EFFF" w:val="clear"/>
            <w:tcMar>
              <w:bottom w:w="0" w:type="dxa"/>
            </w:tcMar>
            <w:vAlign w:val="center"/>
          </w:tcPr>
          <w:p>
            <w:pPr>
              <w:pStyle w:val="TableContents"/>
              <w:bidi w:val="0"/>
              <w:spacing w:before="0" w:after="283"/>
              <w:jc w:val="center"/>
              <w:rPr/>
            </w:pPr>
            <w:r>
              <w:rPr/>
              <w:t>US$400,000.00</w:t>
            </w:r>
          </w:p>
        </w:tc>
        <w:tc>
          <w:tcPr>
            <w:tcW w:w="75" w:type="dxa"/>
            <w:tcBorders/>
            <w:shd w:fill="E6EFFF" w:val="clear"/>
            <w:tcMar>
              <w:bottom w:w="0" w:type="dxa"/>
            </w:tcMar>
            <w:vAlign w:val="center"/>
          </w:tcPr>
          <w:p>
            <w:pPr>
              <w:pStyle w:val="TableContents"/>
              <w:bidi w:val="0"/>
              <w:spacing w:before="0" w:after="283"/>
              <w:jc w:val="center"/>
              <w:rPr/>
            </w:pPr>
            <w:r>
              <w:rPr/>
              <w:t> </w:t>
            </w:r>
          </w:p>
        </w:tc>
      </w:tr>
      <w:tr>
        <w:trPr/>
        <w:tc>
          <w:tcPr>
            <w:tcW w:w="5029" w:type="dxa"/>
            <w:gridSpan w:val="2"/>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right"/>
              <w:rPr/>
            </w:pPr>
            <w:r>
              <w:rPr/>
              <w:t> </w:t>
            </w:r>
          </w:p>
        </w:tc>
        <w:tc>
          <w:tcPr>
            <w:tcW w:w="1835"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center"/>
              <w:rPr/>
            </w:pPr>
            <w:r>
              <w:rPr/>
              <w:t> </w:t>
            </w:r>
          </w:p>
        </w:tc>
      </w:tr>
      <w:tr>
        <w:trPr/>
        <w:tc>
          <w:tcPr>
            <w:tcW w:w="5029" w:type="dxa"/>
            <w:gridSpan w:val="2"/>
            <w:tcBorders/>
            <w:shd w:fill="E6EFFF" w:val="clear"/>
            <w:tcMar>
              <w:bottom w:w="0" w:type="dxa"/>
            </w:tcMar>
            <w:vAlign w:val="center"/>
          </w:tcPr>
          <w:p>
            <w:pPr>
              <w:pStyle w:val="TableContents"/>
              <w:bidi w:val="0"/>
              <w:spacing w:before="0" w:after="0"/>
              <w:jc w:val="left"/>
              <w:rPr/>
            </w:pPr>
            <w:r>
              <w:rPr>
                <w:b/>
              </w:rPr>
              <w:t>Net Proceeds</w:t>
            </w:r>
            <w:r>
              <w:rPr/>
              <w:t xml:space="preserve"> </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835" w:type="dxa"/>
            <w:tcBorders/>
            <w:shd w:fill="E6EFFF" w:val="clear"/>
            <w:tcMar>
              <w:bottom w:w="0" w:type="dxa"/>
            </w:tcMar>
            <w:vAlign w:val="center"/>
          </w:tcPr>
          <w:p>
            <w:pPr>
              <w:pStyle w:val="TableContents"/>
              <w:bidi w:val="0"/>
              <w:spacing w:before="0" w:after="283"/>
              <w:jc w:val="center"/>
              <w:rPr/>
            </w:pPr>
            <w:r>
              <w:rPr/>
              <w:t>US$28,070,000.17</w:t>
            </w:r>
          </w:p>
        </w:tc>
        <w:tc>
          <w:tcPr>
            <w:tcW w:w="75" w:type="dxa"/>
            <w:tcBorders/>
            <w:shd w:fill="E6EFFF" w:val="clear"/>
            <w:tcMar>
              <w:bottom w:w="0" w:type="dxa"/>
            </w:tcMar>
            <w:vAlign w:val="center"/>
          </w:tcPr>
          <w:p>
            <w:pPr>
              <w:pStyle w:val="TableContents"/>
              <w:bidi w:val="0"/>
              <w:spacing w:before="0" w:after="283"/>
              <w:jc w:val="center"/>
              <w:rPr/>
            </w:pPr>
            <w:r>
              <w:rPr/>
              <w:t> </w:t>
            </w:r>
          </w:p>
        </w:tc>
      </w:tr>
      <w:tr>
        <w:trPr/>
        <w:tc>
          <w:tcPr>
            <w:tcW w:w="5029" w:type="dxa"/>
            <w:gridSpan w:val="2"/>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right"/>
              <w:rPr/>
            </w:pPr>
            <w:r>
              <w:rPr/>
              <w:t> </w:t>
            </w:r>
          </w:p>
        </w:tc>
        <w:tc>
          <w:tcPr>
            <w:tcW w:w="1835"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center"/>
              <w:rPr/>
            </w:pPr>
            <w:r>
              <w:rPr/>
              <w:t> </w:t>
            </w:r>
          </w:p>
        </w:tc>
      </w:tr>
      <w:tr>
        <w:trPr/>
        <w:tc>
          <w:tcPr>
            <w:tcW w:w="5029" w:type="dxa"/>
            <w:gridSpan w:val="2"/>
            <w:tcBorders>
              <w:bottom w:val="single" w:sz="6" w:space="0" w:color="000000"/>
            </w:tcBorders>
            <w:vAlign w:val="center"/>
          </w:tcPr>
          <w:p>
            <w:pPr>
              <w:pStyle w:val="TableContents"/>
              <w:bidi w:val="0"/>
              <w:spacing w:before="0" w:after="0"/>
              <w:jc w:val="left"/>
              <w:rPr>
                <w:b/>
              </w:rPr>
            </w:pPr>
            <w:r>
              <w:rPr>
                <w:b/>
              </w:rPr>
              <w:t>Use of Proceeds</w:t>
            </w:r>
          </w:p>
        </w:tc>
        <w:tc>
          <w:tcPr>
            <w:tcW w:w="60" w:type="dxa"/>
            <w:tcBorders>
              <w:bottom w:val="single" w:sz="6" w:space="0" w:color="000000"/>
            </w:tcBorders>
            <w:vAlign w:val="center"/>
          </w:tcPr>
          <w:p>
            <w:pPr>
              <w:pStyle w:val="TableContents"/>
              <w:bidi w:val="0"/>
              <w:spacing w:before="0" w:after="283"/>
              <w:jc w:val="right"/>
              <w:rPr/>
            </w:pPr>
            <w:r>
              <w:rPr/>
              <w:t> </w:t>
            </w:r>
          </w:p>
        </w:tc>
        <w:tc>
          <w:tcPr>
            <w:tcW w:w="1835" w:type="dxa"/>
            <w:tcBorders>
              <w:bottom w:val="single" w:sz="6" w:space="0" w:color="000000"/>
            </w:tcBorders>
            <w:vAlign w:val="center"/>
          </w:tcPr>
          <w:p>
            <w:pPr>
              <w:pStyle w:val="TableContents"/>
              <w:bidi w:val="0"/>
              <w:spacing w:before="0" w:after="283"/>
              <w:jc w:val="center"/>
              <w:rPr>
                <w:b/>
              </w:rPr>
            </w:pPr>
            <w:r>
              <w:rPr>
                <w:b/>
              </w:rPr>
              <w:t>Offering Amount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5029" w:type="dxa"/>
            <w:gridSpan w:val="2"/>
            <w:tcBorders/>
            <w:shd w:fill="E6EFFF" w:val="clear"/>
            <w:tcMar>
              <w:bottom w:w="0" w:type="dxa"/>
            </w:tcMar>
            <w:vAlign w:val="center"/>
          </w:tcPr>
          <w:p>
            <w:pPr>
              <w:pStyle w:val="TableContents"/>
              <w:bidi w:val="0"/>
              <w:spacing w:before="0" w:after="0"/>
              <w:jc w:val="left"/>
              <w:rPr/>
            </w:pPr>
            <w:r>
              <w:rPr/>
              <w:t>Deuterated Psilocybin Analog Program</w:t>
            </w:r>
            <w:r>
              <w:rPr>
                <w:position w:val="8"/>
                <w:sz w:val="19"/>
              </w:rPr>
              <w:t>(2)</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835" w:type="dxa"/>
            <w:tcBorders/>
            <w:shd w:fill="E6EFFF" w:val="clear"/>
            <w:tcMar>
              <w:bottom w:w="0" w:type="dxa"/>
            </w:tcMar>
            <w:vAlign w:val="center"/>
          </w:tcPr>
          <w:p>
            <w:pPr>
              <w:pStyle w:val="TableContents"/>
              <w:bidi w:val="0"/>
              <w:spacing w:before="0" w:after="283"/>
              <w:jc w:val="center"/>
              <w:rPr/>
            </w:pPr>
            <w:r>
              <w:rPr/>
              <w:t> </w:t>
            </w:r>
          </w:p>
        </w:tc>
        <w:tc>
          <w:tcPr>
            <w:tcW w:w="75" w:type="dxa"/>
            <w:tcBorders/>
            <w:shd w:fill="E6EFFF" w:val="clear"/>
            <w:tcMar>
              <w:bottom w:w="0" w:type="dxa"/>
            </w:tcMar>
            <w:vAlign w:val="center"/>
          </w:tcPr>
          <w:p>
            <w:pPr>
              <w:pStyle w:val="TableContents"/>
              <w:bidi w:val="0"/>
              <w:spacing w:before="0" w:after="283"/>
              <w:jc w:val="center"/>
              <w:rPr/>
            </w:pPr>
            <w:r>
              <w:rPr/>
              <w:t> </w:t>
            </w:r>
          </w:p>
        </w:tc>
      </w:tr>
      <w:tr>
        <w:trPr/>
        <w:tc>
          <w:tcPr>
            <w:tcW w:w="86" w:type="dxa"/>
            <w:tcBorders/>
            <w:tcMar>
              <w:bottom w:w="0" w:type="dxa"/>
            </w:tcMar>
            <w:vAlign w:val="center"/>
          </w:tcPr>
          <w:p>
            <w:pPr>
              <w:pStyle w:val="TableContents"/>
              <w:bidi w:val="0"/>
              <w:spacing w:before="0" w:after="283"/>
              <w:jc w:val="left"/>
              <w:rPr/>
            </w:pPr>
            <w:r>
              <w:rPr/>
              <w:t> </w:t>
            </w:r>
          </w:p>
        </w:tc>
        <w:tc>
          <w:tcPr>
            <w:tcW w:w="4943" w:type="dxa"/>
            <w:tcBorders/>
            <w:tcMar>
              <w:bottom w:w="0" w:type="dxa"/>
            </w:tcMar>
            <w:vAlign w:val="center"/>
          </w:tcPr>
          <w:p>
            <w:pPr>
              <w:pStyle w:val="TableContents"/>
              <w:bidi w:val="0"/>
              <w:spacing w:before="0" w:after="0"/>
              <w:jc w:val="left"/>
              <w:rPr/>
            </w:pPr>
            <w:r>
              <w:rPr/>
              <w:t>Initiate a Phase 3 Study of CYB003 in MDD</w:t>
            </w:r>
          </w:p>
        </w:tc>
        <w:tc>
          <w:tcPr>
            <w:tcW w:w="60" w:type="dxa"/>
            <w:tcBorders/>
            <w:tcMar>
              <w:bottom w:w="0" w:type="dxa"/>
            </w:tcMar>
            <w:vAlign w:val="center"/>
          </w:tcPr>
          <w:p>
            <w:pPr>
              <w:pStyle w:val="TableContents"/>
              <w:bidi w:val="0"/>
              <w:spacing w:before="0" w:after="283"/>
              <w:jc w:val="right"/>
              <w:rPr/>
            </w:pPr>
            <w:r>
              <w:rPr/>
              <w:t> </w:t>
            </w:r>
          </w:p>
        </w:tc>
        <w:tc>
          <w:tcPr>
            <w:tcW w:w="1835" w:type="dxa"/>
            <w:tcBorders/>
            <w:tcMar>
              <w:bottom w:w="0" w:type="dxa"/>
            </w:tcMar>
            <w:vAlign w:val="center"/>
          </w:tcPr>
          <w:p>
            <w:pPr>
              <w:pStyle w:val="TableContents"/>
              <w:bidi w:val="0"/>
              <w:spacing w:before="0" w:after="283"/>
              <w:jc w:val="center"/>
              <w:rPr/>
            </w:pPr>
            <w:r>
              <w:rPr/>
              <w:t>US$6,393,000</w:t>
            </w:r>
          </w:p>
        </w:tc>
        <w:tc>
          <w:tcPr>
            <w:tcW w:w="75" w:type="dxa"/>
            <w:tcBorders/>
            <w:tcMar>
              <w:bottom w:w="0" w:type="dxa"/>
            </w:tcMar>
            <w:vAlign w:val="center"/>
          </w:tcPr>
          <w:p>
            <w:pPr>
              <w:pStyle w:val="TableContents"/>
              <w:bidi w:val="0"/>
              <w:spacing w:before="0" w:after="283"/>
              <w:jc w:val="center"/>
              <w:rPr/>
            </w:pPr>
            <w:r>
              <w:rPr/>
              <w:t> </w:t>
            </w:r>
          </w:p>
        </w:tc>
      </w:tr>
      <w:tr>
        <w:trPr/>
        <w:tc>
          <w:tcPr>
            <w:tcW w:w="5029" w:type="dxa"/>
            <w:gridSpan w:val="2"/>
            <w:tcBorders/>
            <w:shd w:fill="E6EFFF" w:val="clear"/>
            <w:tcMar>
              <w:bottom w:w="0" w:type="dxa"/>
            </w:tcMar>
            <w:vAlign w:val="center"/>
          </w:tcPr>
          <w:p>
            <w:pPr>
              <w:pStyle w:val="TableContents"/>
              <w:bidi w:val="0"/>
              <w:spacing w:before="0" w:after="0"/>
              <w:jc w:val="left"/>
              <w:rPr/>
            </w:pPr>
            <w:r>
              <w:rPr/>
              <w:t>Deuterated Dimethyltryptamine Program</w:t>
            </w:r>
            <w:r>
              <w:rPr>
                <w:position w:val="8"/>
                <w:sz w:val="19"/>
              </w:rPr>
              <w:t>(3)</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835" w:type="dxa"/>
            <w:tcBorders/>
            <w:shd w:fill="E6EFFF" w:val="clear"/>
            <w:tcMar>
              <w:bottom w:w="0" w:type="dxa"/>
            </w:tcMar>
            <w:vAlign w:val="center"/>
          </w:tcPr>
          <w:p>
            <w:pPr>
              <w:pStyle w:val="TableContents"/>
              <w:bidi w:val="0"/>
              <w:spacing w:before="0" w:after="283"/>
              <w:jc w:val="center"/>
              <w:rPr/>
            </w:pPr>
            <w:r>
              <w:rPr/>
              <w:t> </w:t>
            </w:r>
          </w:p>
        </w:tc>
        <w:tc>
          <w:tcPr>
            <w:tcW w:w="75" w:type="dxa"/>
            <w:tcBorders/>
            <w:shd w:fill="E6EFFF" w:val="clear"/>
            <w:tcMar>
              <w:bottom w:w="0" w:type="dxa"/>
            </w:tcMar>
            <w:vAlign w:val="center"/>
          </w:tcPr>
          <w:p>
            <w:pPr>
              <w:pStyle w:val="TableContents"/>
              <w:bidi w:val="0"/>
              <w:spacing w:before="0" w:after="283"/>
              <w:jc w:val="center"/>
              <w:rPr/>
            </w:pPr>
            <w:r>
              <w:rPr/>
              <w:t> </w:t>
            </w:r>
          </w:p>
        </w:tc>
      </w:tr>
      <w:tr>
        <w:trPr/>
        <w:tc>
          <w:tcPr>
            <w:tcW w:w="86" w:type="dxa"/>
            <w:tcBorders/>
            <w:tcMar>
              <w:bottom w:w="0" w:type="dxa"/>
            </w:tcMar>
            <w:vAlign w:val="center"/>
          </w:tcPr>
          <w:p>
            <w:pPr>
              <w:pStyle w:val="TableContents"/>
              <w:bidi w:val="0"/>
              <w:spacing w:before="0" w:after="283"/>
              <w:jc w:val="left"/>
              <w:rPr/>
            </w:pPr>
            <w:r>
              <w:rPr/>
              <w:t> </w:t>
            </w:r>
          </w:p>
        </w:tc>
        <w:tc>
          <w:tcPr>
            <w:tcW w:w="4943" w:type="dxa"/>
            <w:tcBorders/>
            <w:tcMar>
              <w:bottom w:w="0" w:type="dxa"/>
            </w:tcMar>
            <w:vAlign w:val="center"/>
          </w:tcPr>
          <w:p>
            <w:pPr>
              <w:pStyle w:val="TableContents"/>
              <w:bidi w:val="0"/>
              <w:spacing w:before="0" w:after="0"/>
              <w:jc w:val="left"/>
              <w:rPr/>
            </w:pPr>
            <w:r>
              <w:rPr/>
              <w:t>Initiate a Phase 2 Proof-Of-Concept Study</w:t>
            </w:r>
          </w:p>
        </w:tc>
        <w:tc>
          <w:tcPr>
            <w:tcW w:w="60" w:type="dxa"/>
            <w:tcBorders/>
            <w:tcMar>
              <w:bottom w:w="0" w:type="dxa"/>
            </w:tcMar>
            <w:vAlign w:val="center"/>
          </w:tcPr>
          <w:p>
            <w:pPr>
              <w:pStyle w:val="TableContents"/>
              <w:bidi w:val="0"/>
              <w:spacing w:before="0" w:after="283"/>
              <w:jc w:val="right"/>
              <w:rPr/>
            </w:pPr>
            <w:r>
              <w:rPr/>
              <w:t> </w:t>
            </w:r>
          </w:p>
        </w:tc>
        <w:tc>
          <w:tcPr>
            <w:tcW w:w="1835" w:type="dxa"/>
            <w:tcBorders/>
            <w:tcMar>
              <w:bottom w:w="0" w:type="dxa"/>
            </w:tcMar>
            <w:vAlign w:val="center"/>
          </w:tcPr>
          <w:p>
            <w:pPr>
              <w:pStyle w:val="TableContents"/>
              <w:bidi w:val="0"/>
              <w:spacing w:before="0" w:after="283"/>
              <w:jc w:val="center"/>
              <w:rPr/>
            </w:pPr>
            <w:r>
              <w:rPr/>
              <w:t>US$597,000</w:t>
            </w:r>
          </w:p>
        </w:tc>
        <w:tc>
          <w:tcPr>
            <w:tcW w:w="75" w:type="dxa"/>
            <w:tcBorders/>
            <w:tcMar>
              <w:bottom w:w="0" w:type="dxa"/>
            </w:tcMar>
            <w:vAlign w:val="center"/>
          </w:tcPr>
          <w:p>
            <w:pPr>
              <w:pStyle w:val="TableContents"/>
              <w:bidi w:val="0"/>
              <w:spacing w:before="0" w:after="283"/>
              <w:jc w:val="center"/>
              <w:rPr/>
            </w:pPr>
            <w:r>
              <w:rPr/>
              <w:t> </w:t>
            </w:r>
          </w:p>
        </w:tc>
      </w:tr>
      <w:tr>
        <w:trPr/>
        <w:tc>
          <w:tcPr>
            <w:tcW w:w="86" w:type="dxa"/>
            <w:tcBorders/>
            <w:shd w:fill="E6EFFF" w:val="clear"/>
            <w:tcMar>
              <w:bottom w:w="0" w:type="dxa"/>
            </w:tcMar>
            <w:vAlign w:val="center"/>
          </w:tcPr>
          <w:p>
            <w:pPr>
              <w:pStyle w:val="TableContents"/>
              <w:bidi w:val="0"/>
              <w:spacing w:before="0" w:after="283"/>
              <w:jc w:val="left"/>
              <w:rPr/>
            </w:pPr>
            <w:r>
              <w:rPr/>
              <w:t> </w:t>
            </w:r>
          </w:p>
        </w:tc>
        <w:tc>
          <w:tcPr>
            <w:tcW w:w="4943" w:type="dxa"/>
            <w:tcBorders/>
            <w:shd w:fill="E6EFFF" w:val="clear"/>
            <w:tcMar>
              <w:bottom w:w="0" w:type="dxa"/>
            </w:tcMar>
            <w:vAlign w:val="center"/>
          </w:tcPr>
          <w:p>
            <w:pPr>
              <w:pStyle w:val="TableContents"/>
              <w:bidi w:val="0"/>
              <w:spacing w:before="0" w:after="0"/>
              <w:jc w:val="left"/>
              <w:rPr/>
            </w:pPr>
            <w:r>
              <w:rPr/>
              <w:t>Initiate a Subcutaneous Formulation Study</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835" w:type="dxa"/>
            <w:tcBorders/>
            <w:shd w:fill="E6EFFF" w:val="clear"/>
            <w:tcMar>
              <w:bottom w:w="0" w:type="dxa"/>
            </w:tcMar>
            <w:vAlign w:val="center"/>
          </w:tcPr>
          <w:p>
            <w:pPr>
              <w:pStyle w:val="TableContents"/>
              <w:bidi w:val="0"/>
              <w:spacing w:before="0" w:after="283"/>
              <w:jc w:val="center"/>
              <w:rPr/>
            </w:pPr>
            <w:r>
              <w:rPr/>
              <w:t>US$780,000</w:t>
            </w:r>
          </w:p>
        </w:tc>
        <w:tc>
          <w:tcPr>
            <w:tcW w:w="75" w:type="dxa"/>
            <w:tcBorders/>
            <w:shd w:fill="E6EFFF" w:val="clear"/>
            <w:tcMar>
              <w:bottom w:w="0" w:type="dxa"/>
            </w:tcMar>
            <w:vAlign w:val="center"/>
          </w:tcPr>
          <w:p>
            <w:pPr>
              <w:pStyle w:val="TableContents"/>
              <w:bidi w:val="0"/>
              <w:spacing w:before="0" w:after="283"/>
              <w:jc w:val="center"/>
              <w:rPr/>
            </w:pPr>
            <w:r>
              <w:rPr/>
              <w:t> </w:t>
            </w:r>
          </w:p>
        </w:tc>
      </w:tr>
      <w:tr>
        <w:trPr/>
        <w:tc>
          <w:tcPr>
            <w:tcW w:w="5029" w:type="dxa"/>
            <w:gridSpan w:val="2"/>
            <w:tcBorders/>
            <w:tcMar>
              <w:bottom w:w="0" w:type="dxa"/>
            </w:tcMar>
            <w:vAlign w:val="center"/>
          </w:tcPr>
          <w:p>
            <w:pPr>
              <w:pStyle w:val="TableContents"/>
              <w:bidi w:val="0"/>
              <w:spacing w:before="0" w:after="0"/>
              <w:jc w:val="left"/>
              <w:rPr/>
            </w:pPr>
            <w:r>
              <w:rPr/>
              <w:t>Phenethylamine Derivatives Program</w:t>
            </w:r>
          </w:p>
        </w:tc>
        <w:tc>
          <w:tcPr>
            <w:tcW w:w="60" w:type="dxa"/>
            <w:tcBorders/>
            <w:tcMar>
              <w:bottom w:w="0" w:type="dxa"/>
            </w:tcMar>
            <w:vAlign w:val="center"/>
          </w:tcPr>
          <w:p>
            <w:pPr>
              <w:pStyle w:val="TableContents"/>
              <w:bidi w:val="0"/>
              <w:spacing w:before="0" w:after="283"/>
              <w:jc w:val="right"/>
              <w:rPr/>
            </w:pPr>
            <w:r>
              <w:rPr/>
              <w:t> </w:t>
            </w:r>
          </w:p>
        </w:tc>
        <w:tc>
          <w:tcPr>
            <w:tcW w:w="1835" w:type="dxa"/>
            <w:tcBorders/>
            <w:tcMar>
              <w:bottom w:w="0" w:type="dxa"/>
            </w:tcMar>
            <w:vAlign w:val="center"/>
          </w:tcPr>
          <w:p>
            <w:pPr>
              <w:pStyle w:val="TableContents"/>
              <w:bidi w:val="0"/>
              <w:spacing w:before="0" w:after="283"/>
              <w:jc w:val="center"/>
              <w:rPr/>
            </w:pPr>
            <w:r>
              <w:rPr/>
              <w:t>-</w:t>
            </w:r>
          </w:p>
        </w:tc>
        <w:tc>
          <w:tcPr>
            <w:tcW w:w="75" w:type="dxa"/>
            <w:tcBorders/>
            <w:tcMar>
              <w:bottom w:w="0" w:type="dxa"/>
            </w:tcMar>
            <w:vAlign w:val="center"/>
          </w:tcPr>
          <w:p>
            <w:pPr>
              <w:pStyle w:val="TableContents"/>
              <w:bidi w:val="0"/>
              <w:spacing w:before="0" w:after="283"/>
              <w:jc w:val="center"/>
              <w:rPr/>
            </w:pPr>
            <w:r>
              <w:rPr/>
              <w:t> </w:t>
            </w:r>
          </w:p>
        </w:tc>
      </w:tr>
      <w:tr>
        <w:trPr/>
        <w:tc>
          <w:tcPr>
            <w:tcW w:w="5029" w:type="dxa"/>
            <w:gridSpan w:val="2"/>
            <w:tcBorders/>
            <w:shd w:fill="E6EFFF" w:val="clear"/>
            <w:tcMar>
              <w:bottom w:w="0" w:type="dxa"/>
            </w:tcMar>
            <w:vAlign w:val="center"/>
          </w:tcPr>
          <w:p>
            <w:pPr>
              <w:pStyle w:val="TableContents"/>
              <w:bidi w:val="0"/>
              <w:spacing w:before="0" w:after="0"/>
              <w:jc w:val="left"/>
              <w:rPr/>
            </w:pPr>
            <w:r>
              <w:rPr/>
              <w:t>Technology Programs</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835" w:type="dxa"/>
            <w:tcBorders/>
            <w:shd w:fill="E6EFFF" w:val="clear"/>
            <w:tcMar>
              <w:bottom w:w="0" w:type="dxa"/>
            </w:tcMar>
            <w:vAlign w:val="center"/>
          </w:tcPr>
          <w:p>
            <w:pPr>
              <w:pStyle w:val="TableContents"/>
              <w:bidi w:val="0"/>
              <w:spacing w:before="0" w:after="283"/>
              <w:jc w:val="center"/>
              <w:rPr/>
            </w:pPr>
            <w:r>
              <w:rPr/>
              <w:t>-</w:t>
            </w:r>
          </w:p>
        </w:tc>
        <w:tc>
          <w:tcPr>
            <w:tcW w:w="75" w:type="dxa"/>
            <w:tcBorders/>
            <w:shd w:fill="E6EFFF" w:val="clear"/>
            <w:tcMar>
              <w:bottom w:w="0" w:type="dxa"/>
            </w:tcMar>
            <w:vAlign w:val="center"/>
          </w:tcPr>
          <w:p>
            <w:pPr>
              <w:pStyle w:val="TableContents"/>
              <w:bidi w:val="0"/>
              <w:spacing w:before="0" w:after="283"/>
              <w:jc w:val="center"/>
              <w:rPr/>
            </w:pPr>
            <w:r>
              <w:rPr/>
              <w:t> </w:t>
            </w:r>
          </w:p>
        </w:tc>
      </w:tr>
      <w:tr>
        <w:trPr/>
        <w:tc>
          <w:tcPr>
            <w:tcW w:w="5029" w:type="dxa"/>
            <w:gridSpan w:val="2"/>
            <w:tcBorders/>
            <w:tcMar>
              <w:bottom w:w="0" w:type="dxa"/>
            </w:tcMar>
            <w:vAlign w:val="center"/>
          </w:tcPr>
          <w:p>
            <w:pPr>
              <w:pStyle w:val="TableContents"/>
              <w:bidi w:val="0"/>
              <w:spacing w:before="0" w:after="0"/>
              <w:jc w:val="left"/>
              <w:rPr/>
            </w:pPr>
            <w:r>
              <w:rPr/>
              <w:t>Working Capital, and General Corporate Purposes</w:t>
            </w:r>
            <w:r>
              <w:rPr>
                <w:position w:val="8"/>
                <w:sz w:val="19"/>
              </w:rPr>
              <w:t>(4)</w:t>
            </w:r>
          </w:p>
        </w:tc>
        <w:tc>
          <w:tcPr>
            <w:tcW w:w="60" w:type="dxa"/>
            <w:tcBorders/>
            <w:tcMar>
              <w:bottom w:w="0" w:type="dxa"/>
            </w:tcMar>
            <w:vAlign w:val="center"/>
          </w:tcPr>
          <w:p>
            <w:pPr>
              <w:pStyle w:val="TableContents"/>
              <w:bidi w:val="0"/>
              <w:spacing w:before="0" w:after="283"/>
              <w:jc w:val="right"/>
              <w:rPr/>
            </w:pPr>
            <w:r>
              <w:rPr/>
              <w:t> </w:t>
            </w:r>
          </w:p>
        </w:tc>
        <w:tc>
          <w:tcPr>
            <w:tcW w:w="1835" w:type="dxa"/>
            <w:tcBorders/>
            <w:tcMar>
              <w:bottom w:w="0" w:type="dxa"/>
            </w:tcMar>
            <w:vAlign w:val="center"/>
          </w:tcPr>
          <w:p>
            <w:pPr>
              <w:pStyle w:val="TableContents"/>
              <w:bidi w:val="0"/>
              <w:spacing w:before="0" w:after="283"/>
              <w:jc w:val="center"/>
              <w:rPr/>
            </w:pPr>
            <w:r>
              <w:rPr/>
              <w:t>US$20,300,000.17</w:t>
            </w:r>
          </w:p>
        </w:tc>
        <w:tc>
          <w:tcPr>
            <w:tcW w:w="75" w:type="dxa"/>
            <w:tcBorders/>
            <w:tcMar>
              <w:bottom w:w="0" w:type="dxa"/>
            </w:tcMar>
            <w:vAlign w:val="center"/>
          </w:tcPr>
          <w:p>
            <w:pPr>
              <w:pStyle w:val="TableContents"/>
              <w:bidi w:val="0"/>
              <w:spacing w:before="0" w:after="283"/>
              <w:jc w:val="center"/>
              <w:rPr/>
            </w:pPr>
            <w:r>
              <w:rPr/>
              <w:t> </w:t>
            </w:r>
          </w:p>
        </w:tc>
      </w:tr>
      <w:tr>
        <w:trPr/>
        <w:tc>
          <w:tcPr>
            <w:tcW w:w="5029" w:type="dxa"/>
            <w:gridSpan w:val="2"/>
            <w:tcBorders/>
            <w:shd w:fill="E6EFFF" w:val="clear"/>
            <w:tcMar>
              <w:bottom w:w="0" w:type="dxa"/>
            </w:tcMar>
            <w:vAlign w:val="center"/>
          </w:tcPr>
          <w:p>
            <w:pPr>
              <w:pStyle w:val="TableContents"/>
              <w:bidi w:val="0"/>
              <w:spacing w:before="0" w:after="0"/>
              <w:jc w:val="left"/>
              <w:rPr>
                <w:b/>
              </w:rPr>
            </w:pPr>
            <w:r>
              <w:rPr>
                <w:b/>
              </w:rPr>
              <w:t>Total</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835" w:type="dxa"/>
            <w:tcBorders/>
            <w:shd w:fill="E6EFFF" w:val="clear"/>
            <w:tcMar>
              <w:bottom w:w="0" w:type="dxa"/>
            </w:tcMar>
            <w:vAlign w:val="center"/>
          </w:tcPr>
          <w:p>
            <w:pPr>
              <w:pStyle w:val="TableContents"/>
              <w:bidi w:val="0"/>
              <w:spacing w:before="0" w:after="283"/>
              <w:jc w:val="center"/>
              <w:rPr/>
            </w:pPr>
            <w:r>
              <w:rPr/>
              <w:t>US$28,070,000.17</w:t>
            </w:r>
          </w:p>
        </w:tc>
        <w:tc>
          <w:tcPr>
            <w:tcW w:w="75" w:type="dxa"/>
            <w:tcBorders/>
            <w:shd w:fill="E6EFFF" w:val="clear"/>
            <w:tcMar>
              <w:bottom w:w="0" w:type="dxa"/>
            </w:tcMar>
            <w:vAlign w:val="center"/>
          </w:tcPr>
          <w:p>
            <w:pPr>
              <w:pStyle w:val="TableContents"/>
              <w:bidi w:val="0"/>
              <w:spacing w:before="0" w:after="283"/>
              <w:jc w:val="center"/>
              <w:rPr/>
            </w:pPr>
            <w:r>
              <w:rPr/>
              <w:t> </w:t>
            </w:r>
          </w:p>
        </w:tc>
      </w:tr>
    </w:tbl>
    <w:p>
      <w:pPr>
        <w:pStyle w:val="TextBody"/>
        <w:bidi w:val="0"/>
        <w:ind w:left="0" w:right="0" w:firstLine="720"/>
        <w:jc w:val="both"/>
        <w:rPr>
          <w:b/>
        </w:rPr>
      </w:pPr>
      <w:r>
        <w:rPr>
          <w:b/>
        </w:rPr>
        <w:t>Notes:</w:t>
      </w:r>
    </w:p>
    <w:p>
      <w:pPr>
        <w:pStyle w:val="TextBody"/>
        <w:bidi w:val="0"/>
        <w:spacing w:before="0" w:after="0"/>
        <w:ind w:left="1080" w:right="0" w:hanging="0"/>
        <w:jc w:val="both"/>
        <w:rPr/>
      </w:pPr>
      <w:r>
        <w:rPr/>
        <w:t>(1) Assuming US$6,000,000.75 of purchasers under the President's List.</w:t>
      </w:r>
    </w:p>
    <w:p>
      <w:pPr>
        <w:pStyle w:val="TextBody"/>
        <w:bidi w:val="0"/>
        <w:spacing w:before="0" w:after="283"/>
        <w:ind w:left="1080" w:right="0" w:hanging="0"/>
        <w:jc w:val="both"/>
        <w:rPr/>
      </w:pPr>
      <w:r>
        <w:rPr/>
        <w:t>(2) The Corporation's Phase 1/2a trial is a randomized, double-blind, placebo-controlled study evaluating CYB003, an orally delivered deuterated psilocybin analog that aims to address the limitations of oral psilocybin, in participants with moderate to severe MDD and in healthy volunteers. The study will investigate the safety, tolerability, pharmacokinetics ("</w:t>
      </w:r>
      <w:r>
        <w:rPr>
          <w:b/>
        </w:rPr>
        <w:t>PK</w:t>
      </w:r>
      <w:r>
        <w:rPr/>
        <w:t>") and pharmacodynamics ("</w:t>
      </w:r>
      <w:r>
        <w:rPr>
          <w:b/>
        </w:rPr>
        <w:t>PD</w:t>
      </w:r>
      <w:r>
        <w:rPr/>
        <w:t>"), and psychedelic effect of ascending oral doses of CYB003. The Corporation has engaged Clinilabs Drug Development Corporation, a full-service contract research organization with deep expertise in central nervous system drug development, to carry out the Phase 1/2a clinical trial of CYB003. As of October 3, 2023, the Corporation had completed dosing of Cohort 6, being the final cohort of its Phase 2a study of CYB003. On October 31, 2023, the Corporation announced Phase 2a interim results for CYB003, demonstrating a rapid, robust and statistically significant reduction in symptoms of depression three weeks following a single 12mg dose compared to placebo. The Corporation intends to provide the topline data readout from its Phase 1/2a study in Q4 2023 and complete the submission with the U.S. Food and Drug Administration (the "</w:t>
      </w:r>
      <w:r>
        <w:rPr>
          <w:b/>
        </w:rPr>
        <w:t>FDA</w:t>
      </w:r>
      <w:r>
        <w:rPr/>
        <w:t>") of CYB003 Phase 1/2a data for the end of Phase 2 meeting in Q4 2023.</w:t>
      </w:r>
      <w:hyperlink w:anchor="_ftn6">
        <w:bookmarkStart w:id="26" w:name="_ftnref6"/>
        <w:bookmarkEnd w:id="26"/>
        <w:r>
          <w:rPr>
            <w:rStyle w:val="InternetLink"/>
            <w:strike w:val="false"/>
            <w:dstrike w:val="false"/>
            <w:color w:val="000000"/>
            <w:position w:val="8"/>
            <w:sz w:val="19"/>
            <w:u w:val="none"/>
            <w:effect w:val="none"/>
          </w:rPr>
          <w:t>6</w:t>
        </w:r>
      </w:hyperlink>
      <w:r>
        <w:rPr/>
        <w:t xml:space="preserve"> Following the completion of these milestones being met, the Corporation expects to spend approximately $8,810,193 (US$6,393,000) towards initiating a Phase 3 study of CYB003 in Q1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6">
        <w:r>
          <w:rPr>
            <w:rStyle w:val="InternetLink"/>
            <w:strike w:val="false"/>
            <w:dstrike w:val="false"/>
            <w:color w:val="000000"/>
            <w:position w:val="8"/>
            <w:sz w:val="19"/>
            <w:u w:val="none"/>
            <w:effect w:val="none"/>
          </w:rPr>
          <w:t>6</w:t>
        </w:r>
      </w:hyperlink>
      <w:r>
        <w:rPr/>
        <w:t xml:space="preserve">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S-11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ind w:left="1080" w:right="0" w:hanging="0"/>
        <w:jc w:val="both"/>
        <w:rPr/>
      </w:pPr>
      <w:bookmarkStart w:id="27" w:name="page_17"/>
      <w:bookmarkEnd w:id="27"/>
      <w:r>
        <w:rPr/>
        <w:t xml:space="preserve">(3) The Corporation's Deuterated Dimethyltryptamine Program is focused on the development of CYB004, a deuterated version of N, N - DMT. The Phase 1 trial of CYB004-E is a three-part study evaluating the safety, PK and PD of escalating doses of DMT and CYB004 in healthy volunteers. The three-part study design was established in a protocol amendment to the initial study design, allowing the Corporation to commence first-in-human dosing of CYB004 sooner than initially planned. The study is expected to provide essential safety and dosing optimization data to inform the clinical path forward for CYB004. The CYB004-E study, acquired from Entheon Biomedical Corp., is being conducted at the Centre for Human Drug Research in the Netherlands and is one of the largest Phase 1 DMT clinical trials to date. Per the protocol amendment, Cybin established a three-part study to include Part A (IV DMT infusion), Part B (IV DMT bolus + infusion) and Part C (IV CYB004 bolus + infusion) in healthy volunteers. The Corporation was able to rely upon completed preclinical data to gain regulatory authorization to add CYB004 to the CYB004-E DMT study. On May 9, 2023, the Corporation announced that it had completed dosing for the last subject in Part B of the Phase 1 CYB004-E trial. On May 24, 2023, the Corporation announced that it had initiated first-in-human dosing of CYB004 in Part C of the Phase 1 CYB004-E trial. The Corporation intends to provide the topline data readout from the Phase 1 CYB004-E trial in Q4 2023 and complete the FDA Investigational New Drug submission in Q1 2024. </w:t>
      </w:r>
      <w:hyperlink w:anchor="_ftn7">
        <w:bookmarkStart w:id="28" w:name="_ftnref7"/>
        <w:bookmarkEnd w:id="28"/>
        <w:r>
          <w:rPr>
            <w:rStyle w:val="InternetLink"/>
            <w:strike w:val="false"/>
            <w:dstrike w:val="false"/>
            <w:color w:val="000000"/>
            <w:position w:val="8"/>
            <w:sz w:val="19"/>
            <w:u w:val="none"/>
            <w:effect w:val="none"/>
          </w:rPr>
          <w:t>7</w:t>
        </w:r>
      </w:hyperlink>
      <w:r>
        <w:rPr/>
        <w:t xml:space="preserve"> In addition, following the Arrangement, the Corporation intends to provide a data readout from the Phase 1 SPL028 study in Q4 2023. </w:t>
      </w:r>
      <w:hyperlink w:anchor="_ftn8">
        <w:bookmarkStart w:id="29" w:name="_ftnref8"/>
        <w:bookmarkEnd w:id="29"/>
        <w:r>
          <w:rPr>
            <w:rStyle w:val="InternetLink"/>
            <w:strike w:val="false"/>
            <w:dstrike w:val="false"/>
            <w:color w:val="000000"/>
            <w:position w:val="8"/>
            <w:sz w:val="19"/>
            <w:u w:val="none"/>
            <w:effect w:val="none"/>
          </w:rPr>
          <w:t>8</w:t>
        </w:r>
      </w:hyperlink>
      <w:r>
        <w:rPr/>
        <w:t>  Following the completion of these milestones, the Corporation expects to spend approximately $822,726 (US$597,000) towards initiating a Phase 2 proof-of-concept study in Q1 2024, approximately $1,074,918 (US$780,000) towards initiating subcutaneous formulation study in Q1 2024. </w:t>
      </w:r>
    </w:p>
    <w:p>
      <w:pPr>
        <w:pStyle w:val="TextBody"/>
        <w:bidi w:val="0"/>
        <w:spacing w:before="0" w:after="283"/>
        <w:ind w:left="1080" w:right="0" w:hanging="0"/>
        <w:jc w:val="both"/>
        <w:rPr/>
      </w:pPr>
      <w:r>
        <w:rPr/>
        <w:t>(4) 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and Deuterated Dimethyltryptamine programs. The allocation between these programs and specific milestones within the programs have not yet been determined.</w:t>
      </w:r>
    </w:p>
    <w:p>
      <w:pPr>
        <w:pStyle w:val="TextBody"/>
        <w:bidi w:val="0"/>
        <w:jc w:val="both"/>
        <w:rPr/>
      </w:pPr>
      <w:r>
        <w:rPr/>
        <w:t>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 At any given time, the Corporation may be engaged in discussions and activities in respect of potential growth initiatives and other strategic opportunities that are complementary or accretive to the Corporation's business, which may include acquisitions or other investments. Some of the suppliers and services providers of the Corporation may be associated or affiliated with parties who have invested in the Corporation from time to time.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 Given uncertain market conditions, the Corporation believes it is prudent to complete the Offering in order to further increase the Corporation's cash on hand.</w:t>
      </w:r>
    </w:p>
    <w:p>
      <w:pPr>
        <w:pStyle w:val="TextBody"/>
        <w:bidi w:val="0"/>
        <w:jc w:val="both"/>
        <w:rPr/>
      </w:pPr>
      <w:r>
        <w:rPr/>
        <w:t xml:space="preserve">The use of the net proceeds of the Offering is subject to change due to the influence of many evolving variables, including those as described under </w:t>
      </w:r>
      <w:r>
        <w:rPr>
          <w:i/>
        </w:rPr>
        <w:t>"Stage of Development of Principal Products"</w:t>
      </w:r>
      <w:r>
        <w:rPr/>
        <w:t xml:space="preserve"> in the Annual Information Form and </w:t>
      </w:r>
      <w:r>
        <w:rPr>
          <w:i/>
        </w:rPr>
        <w:t>"Non-Revenue Generating Projects</w:t>
      </w:r>
      <w:r>
        <w:rPr/>
        <w:t xml:space="preserve">" in the Interim MD&amp;A, any changes in legislation and regulations, applications for licenses and 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i/>
        </w:rPr>
        <w:t>"Cautionary Statement Regarding Forward-Looking Statements"</w:t>
      </w:r>
      <w:r>
        <w:rPr/>
        <w:t xml:space="preserve"> and </w:t>
      </w:r>
      <w:r>
        <w:rPr>
          <w:i/>
        </w:rPr>
        <w:t>"Risk Factors"</w:t>
      </w:r>
      <w:r>
        <w:rPr/>
        <w:t>.</w:t>
      </w:r>
    </w:p>
    <w:p>
      <w:pPr>
        <w:pStyle w:val="TextBody"/>
        <w:bidi w:val="0"/>
        <w:jc w:val="both"/>
        <w:rPr/>
      </w:pPr>
      <w:r>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i/>
        </w:rPr>
        <w:t>"Risk Factors - Risks Related to the Offering - Discretion in the Use of Proceeds"</w:t>
      </w:r>
      <w:r>
        <w:rPr/>
        <w:t>.</w:t>
      </w:r>
    </w:p>
    <w:p>
      <w:pPr>
        <w:pStyle w:val="TextBody"/>
        <w:bidi w:val="0"/>
        <w:jc w:val="both"/>
        <w:rPr/>
      </w:pPr>
      <w:r>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i/>
        </w:rPr>
        <w:t xml:space="preserve">"Risk Factors - Risks Related to an Offering - Negative Operating Cash Flow and Going Concern".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7">
        <w:r>
          <w:rPr>
            <w:rStyle w:val="InternetLink"/>
            <w:strike w:val="false"/>
            <w:dstrike w:val="false"/>
            <w:color w:val="000000"/>
            <w:position w:val="8"/>
            <w:sz w:val="19"/>
            <w:u w:val="none"/>
            <w:effect w:val="none"/>
          </w:rPr>
          <w:t>7</w:t>
        </w:r>
      </w:hyperlink>
      <w:r>
        <w:rPr/>
        <w:t xml:space="preserve"> See footnote 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hyperlink w:anchor="_ftnref8">
        <w:r>
          <w:rPr>
            <w:rStyle w:val="InternetLink"/>
            <w:strike w:val="false"/>
            <w:dstrike w:val="false"/>
            <w:color w:val="000000"/>
            <w:position w:val="8"/>
            <w:sz w:val="19"/>
            <w:u w:val="none"/>
            <w:effect w:val="none"/>
          </w:rPr>
          <w:t>8</w:t>
        </w:r>
      </w:hyperlink>
      <w:r>
        <w:rPr/>
        <w:t xml:space="preserve"> See footnote 7. The Corporation is continuing to assess the SPL028 study and will provide further information and updates upon completion of the integration of Small Pharma's business following the Arrangement.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S-12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0" w:name="page_18"/>
      <w:bookmarkEnd w:id="30"/>
      <w:r>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pStyle w:val="TextBody"/>
        <w:bidi w:val="0"/>
        <w:jc w:val="both"/>
        <w:rPr>
          <w:b/>
        </w:rPr>
      </w:pPr>
      <w:r>
        <w:rPr>
          <w:b/>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Annual Information Form and the Interim MD&amp;A, to which there has been no material changes since the date of the applicable document that have not otherwise been disclosed herein.</w:t>
      </w:r>
    </w:p>
    <w:p>
      <w:pPr>
        <w:pStyle w:val="TextBody"/>
        <w:bidi w:val="0"/>
        <w:jc w:val="center"/>
        <w:rPr>
          <w:b/>
        </w:rPr>
      </w:pPr>
      <w:r>
        <w:rPr>
          <w:b/>
        </w:rPr>
        <w:t>CONSOLIDATED CAPITALIZATION</w:t>
      </w:r>
    </w:p>
    <w:p>
      <w:pPr>
        <w:pStyle w:val="TextBody"/>
        <w:bidi w:val="0"/>
        <w:ind w:left="74" w:right="0" w:hanging="0"/>
        <w:jc w:val="both"/>
        <w:rPr/>
      </w:pPr>
      <w:r>
        <w:rPr/>
        <w:t xml:space="preserve">There have been no material changes in the Corporation's share or loan capitalization on a consolidated basis since the date of the Interim Financial Statements, other than in connection with: (a) the issuance of 24,264,706 Units in connection with the August 2023 Unit Offering, with each Unit comprised of one Common Share and one Common Share purchase warrant; (b) the issuance of 80,945,300 Common Shares pursuant to the Arrangement to former Small Pharma shareholders as consideration for their Small Pharma Shares; and (c) the issuance of 25,607,238 Common Shares pursuant to the Corporation's at-the-market equity programs. </w:t>
      </w:r>
    </w:p>
    <w:p>
      <w:pPr>
        <w:pStyle w:val="TextBody"/>
        <w:bidi w:val="0"/>
        <w:ind w:left="74" w:right="0" w:hanging="0"/>
        <w:jc w:val="both"/>
        <w:rPr/>
      </w:pPr>
      <w:r>
        <w:rPr/>
        <w:t>The following table sets forth the Corporation's cash, indebtedness and shareholders' equity as of June 30, 2023: (a) on an actual basis; and (b) after giving effect to the Offering. This table should be read in conjunction with the Interim Financial Statements and Interim MD&amp;A.</w:t>
      </w:r>
    </w:p>
    <w:tbl>
      <w:tblPr>
        <w:tblW w:w="8355" w:type="dxa"/>
        <w:jc w:val="left"/>
        <w:tblInd w:w="0" w:type="dxa"/>
        <w:tblLayout w:type="fixed"/>
        <w:tblCellMar>
          <w:top w:w="0" w:type="dxa"/>
          <w:left w:w="0" w:type="dxa"/>
          <w:bottom w:w="28" w:type="dxa"/>
          <w:right w:w="0" w:type="dxa"/>
        </w:tblCellMar>
      </w:tblPr>
      <w:tblGrid>
        <w:gridCol w:w="3500"/>
        <w:gridCol w:w="240"/>
        <w:gridCol w:w="1415"/>
        <w:gridCol w:w="60"/>
        <w:gridCol w:w="60"/>
        <w:gridCol w:w="3005"/>
        <w:gridCol w:w="75"/>
      </w:tblGrid>
      <w:tr>
        <w:trPr/>
        <w:tc>
          <w:tcPr>
            <w:tcW w:w="3500" w:type="dxa"/>
            <w:tcBorders>
              <w:bottom w:val="single" w:sz="6" w:space="0" w:color="000000"/>
            </w:tcBorders>
            <w:shd w:fill="FFFFFF" w:val="clear"/>
            <w:vAlign w:val="center"/>
          </w:tcPr>
          <w:p>
            <w:pPr>
              <w:pStyle w:val="TableContents"/>
              <w:bidi w:val="0"/>
              <w:spacing w:before="0" w:after="283"/>
              <w:jc w:val="left"/>
              <w:rPr>
                <w:b/>
              </w:rPr>
            </w:pPr>
            <w:r>
              <w:rPr>
                <w:b/>
              </w:rPr>
              <w:t>Description of Capital</w:t>
            </w:r>
          </w:p>
        </w:tc>
        <w:tc>
          <w:tcPr>
            <w:tcW w:w="240" w:type="dxa"/>
            <w:tcBorders/>
            <w:shd w:fill="FFFFFF" w:val="clear"/>
            <w:tcMar>
              <w:bottom w:w="0" w:type="dxa"/>
            </w:tcMar>
            <w:vAlign w:val="center"/>
          </w:tcPr>
          <w:p>
            <w:pPr>
              <w:pStyle w:val="TableContents"/>
              <w:bidi w:val="0"/>
              <w:spacing w:before="0" w:after="283"/>
              <w:jc w:val="center"/>
              <w:rPr/>
            </w:pPr>
            <w:r>
              <w:rPr/>
              <w:t>    </w:t>
            </w:r>
          </w:p>
        </w:tc>
        <w:tc>
          <w:tcPr>
            <w:tcW w:w="1415" w:type="dxa"/>
            <w:tcBorders>
              <w:bottom w:val="single" w:sz="6" w:space="0" w:color="000000"/>
            </w:tcBorders>
            <w:shd w:fill="FFFFFF" w:val="clear"/>
            <w:vAlign w:val="center"/>
          </w:tcPr>
          <w:p>
            <w:pPr>
              <w:pStyle w:val="TableContents"/>
              <w:bidi w:val="0"/>
              <w:spacing w:before="0" w:after="283"/>
              <w:jc w:val="center"/>
              <w:rPr>
                <w:b/>
              </w:rPr>
            </w:pPr>
            <w:r>
              <w:rPr>
                <w:b/>
              </w:rPr>
              <w:t>June 30, 2023</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bottom w:val="single" w:sz="6" w:space="0" w:color="000000"/>
            </w:tcBorders>
            <w:shd w:fill="FFFFFF" w:val="clear"/>
            <w:vAlign w:val="center"/>
          </w:tcPr>
          <w:p>
            <w:pPr>
              <w:pStyle w:val="TableContents"/>
              <w:bidi w:val="0"/>
              <w:spacing w:before="0" w:after="283"/>
              <w:jc w:val="center"/>
              <w:rPr/>
            </w:pPr>
            <w:r>
              <w:rPr/>
              <w:t> </w:t>
            </w:r>
          </w:p>
        </w:tc>
        <w:tc>
          <w:tcPr>
            <w:tcW w:w="3005" w:type="dxa"/>
            <w:tcBorders>
              <w:bottom w:val="single" w:sz="6" w:space="0" w:color="000000"/>
            </w:tcBorders>
            <w:shd w:fill="FFFFFF" w:val="clear"/>
            <w:vAlign w:val="center"/>
          </w:tcPr>
          <w:p>
            <w:pPr>
              <w:pStyle w:val="TableContents"/>
              <w:bidi w:val="0"/>
              <w:spacing w:before="0" w:after="283"/>
              <w:jc w:val="center"/>
              <w:rPr/>
            </w:pPr>
            <w:r>
              <w:rPr>
                <w:b/>
              </w:rPr>
              <w:t>As at June 30, 2023, after</w:t>
              <w:br/>
              <w:t>giving effect to the Offering</w:t>
            </w:r>
            <w:r>
              <w:rPr>
                <w:b/>
                <w:position w:val="8"/>
                <w:sz w:val="19"/>
              </w:rPr>
              <w:t>(1)</w:t>
            </w:r>
          </w:p>
        </w:tc>
        <w:tc>
          <w:tcPr>
            <w:tcW w:w="75" w:type="dxa"/>
            <w:tcBorders>
              <w:bottom w:val="single" w:sz="6" w:space="0" w:color="000000"/>
            </w:tcBorders>
            <w:shd w:fill="FFFFFF" w:val="clear"/>
            <w:vAlign w:val="center"/>
          </w:tcPr>
          <w:p>
            <w:pPr>
              <w:pStyle w:val="TableContents"/>
              <w:bidi w:val="0"/>
              <w:spacing w:before="0" w:after="283"/>
              <w:jc w:val="center"/>
              <w:rPr/>
            </w:pPr>
            <w:r>
              <w:rPr/>
              <w:t> </w:t>
            </w:r>
          </w:p>
        </w:tc>
      </w:tr>
      <w:tr>
        <w:trPr/>
        <w:tc>
          <w:tcPr>
            <w:tcW w:w="3500" w:type="dxa"/>
            <w:tcBorders/>
            <w:shd w:fill="E6EFFF" w:val="clear"/>
            <w:tcMar>
              <w:bottom w:w="0" w:type="dxa"/>
            </w:tcMar>
            <w:vAlign w:val="center"/>
          </w:tcPr>
          <w:p>
            <w:pPr>
              <w:pStyle w:val="TableContents"/>
              <w:bidi w:val="0"/>
              <w:spacing w:before="0" w:after="283"/>
              <w:jc w:val="both"/>
              <w:rPr/>
            </w:pPr>
            <w:r>
              <w:rPr/>
              <w:t>Cash and Cash Equivalents</w:t>
            </w:r>
            <w:r>
              <w:rPr>
                <w:position w:val="8"/>
                <w:sz w:val="19"/>
              </w:rPr>
              <w:t>(1)</w:t>
            </w:r>
          </w:p>
        </w:tc>
        <w:tc>
          <w:tcPr>
            <w:tcW w:w="240" w:type="dxa"/>
            <w:tcBorders/>
            <w:shd w:fill="E6EFFF" w:val="clear"/>
            <w:tcMar>
              <w:bottom w:w="0" w:type="dxa"/>
            </w:tcMar>
            <w:vAlign w:val="center"/>
          </w:tcPr>
          <w:p>
            <w:pPr>
              <w:pStyle w:val="TableContents"/>
              <w:bidi w:val="0"/>
              <w:spacing w:before="0" w:after="283"/>
              <w:jc w:val="left"/>
              <w:rPr/>
            </w:pPr>
            <w:r>
              <w:rPr/>
              <w:t> </w:t>
            </w:r>
          </w:p>
        </w:tc>
        <w:tc>
          <w:tcPr>
            <w:tcW w:w="1415" w:type="dxa"/>
            <w:tcBorders/>
            <w:shd w:fill="E6EFFF" w:val="clear"/>
            <w:tcMar>
              <w:bottom w:w="0" w:type="dxa"/>
            </w:tcMar>
            <w:vAlign w:val="center"/>
          </w:tcPr>
          <w:p>
            <w:pPr>
              <w:pStyle w:val="TableContents"/>
              <w:bidi w:val="0"/>
              <w:spacing w:before="0" w:after="283"/>
              <w:jc w:val="center"/>
              <w:rPr/>
            </w:pPr>
            <w:r>
              <w:rPr/>
              <w:t>C$9,349,000</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3005" w:type="dxa"/>
            <w:tcBorders/>
            <w:shd w:fill="E6EFFF" w:val="clear"/>
            <w:tcMar>
              <w:bottom w:w="0" w:type="dxa"/>
            </w:tcMar>
            <w:vAlign w:val="center"/>
          </w:tcPr>
          <w:p>
            <w:pPr>
              <w:pStyle w:val="TableContents"/>
              <w:bidi w:val="0"/>
              <w:spacing w:before="0" w:after="283"/>
              <w:jc w:val="center"/>
              <w:rPr/>
            </w:pPr>
            <w:r>
              <w:rPr/>
              <w:t>C$48,583,507</w:t>
            </w:r>
            <w:r>
              <w:rPr>
                <w:position w:val="8"/>
                <w:sz w:val="19"/>
              </w:rPr>
              <w:t>(2)</w:t>
            </w:r>
          </w:p>
        </w:tc>
        <w:tc>
          <w:tcPr>
            <w:tcW w:w="75" w:type="dxa"/>
            <w:tcBorders/>
            <w:shd w:fill="E6EFFF" w:val="clear"/>
            <w:tcMar>
              <w:bottom w:w="0" w:type="dxa"/>
            </w:tcMar>
            <w:vAlign w:val="center"/>
          </w:tcPr>
          <w:p>
            <w:pPr>
              <w:pStyle w:val="TableContents"/>
              <w:bidi w:val="0"/>
              <w:spacing w:before="0" w:after="283"/>
              <w:jc w:val="center"/>
              <w:rPr/>
            </w:pPr>
            <w:r>
              <w:rPr/>
              <w:t> </w:t>
            </w:r>
          </w:p>
        </w:tc>
      </w:tr>
      <w:tr>
        <w:trPr/>
        <w:tc>
          <w:tcPr>
            <w:tcW w:w="3500" w:type="dxa"/>
            <w:tcBorders/>
            <w:tcMar>
              <w:bottom w:w="0" w:type="dxa"/>
            </w:tcMar>
            <w:vAlign w:val="center"/>
          </w:tcPr>
          <w:p>
            <w:pPr>
              <w:pStyle w:val="TableContents"/>
              <w:bidi w:val="0"/>
              <w:spacing w:before="0" w:after="283"/>
              <w:jc w:val="both"/>
              <w:rPr/>
            </w:pPr>
            <w:r>
              <w:rPr/>
              <w:t>Loans and Borrowings</w:t>
            </w:r>
          </w:p>
        </w:tc>
        <w:tc>
          <w:tcPr>
            <w:tcW w:w="24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pPr>
            <w:r>
              <w:rPr/>
              <w:t>Nil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Nil</w:t>
            </w:r>
          </w:p>
        </w:tc>
        <w:tc>
          <w:tcPr>
            <w:tcW w:w="75" w:type="dxa"/>
            <w:tcBorders/>
            <w:tcMar>
              <w:bottom w:w="0" w:type="dxa"/>
            </w:tcMar>
            <w:vAlign w:val="center"/>
          </w:tcPr>
          <w:p>
            <w:pPr>
              <w:pStyle w:val="TableContents"/>
              <w:bidi w:val="0"/>
              <w:spacing w:before="0" w:after="283"/>
              <w:jc w:val="center"/>
              <w:rPr/>
            </w:pPr>
            <w:r>
              <w:rPr/>
              <w:t> </w:t>
            </w:r>
          </w:p>
        </w:tc>
      </w:tr>
      <w:tr>
        <w:trPr/>
        <w:tc>
          <w:tcPr>
            <w:tcW w:w="3500" w:type="dxa"/>
            <w:tcBorders/>
            <w:shd w:fill="E6EFFF" w:val="clear"/>
            <w:tcMar>
              <w:bottom w:w="0" w:type="dxa"/>
            </w:tcMar>
            <w:vAlign w:val="center"/>
          </w:tcPr>
          <w:p>
            <w:pPr>
              <w:pStyle w:val="TableContents"/>
              <w:bidi w:val="0"/>
              <w:spacing w:before="0" w:after="283"/>
              <w:jc w:val="both"/>
              <w:rPr/>
            </w:pPr>
            <w:r>
              <w:rPr/>
              <w:t>Common Shares</w:t>
            </w:r>
          </w:p>
        </w:tc>
        <w:tc>
          <w:tcPr>
            <w:tcW w:w="240" w:type="dxa"/>
            <w:tcBorders/>
            <w:shd w:fill="E6EFFF" w:val="clear"/>
            <w:tcMar>
              <w:bottom w:w="0" w:type="dxa"/>
            </w:tcMar>
            <w:vAlign w:val="center"/>
          </w:tcPr>
          <w:p>
            <w:pPr>
              <w:pStyle w:val="TableContents"/>
              <w:bidi w:val="0"/>
              <w:spacing w:before="0" w:after="283"/>
              <w:jc w:val="left"/>
              <w:rPr/>
            </w:pPr>
            <w:r>
              <w:rPr/>
              <w:t> </w:t>
            </w:r>
          </w:p>
        </w:tc>
        <w:tc>
          <w:tcPr>
            <w:tcW w:w="1415" w:type="dxa"/>
            <w:tcBorders/>
            <w:shd w:fill="E6EFFF" w:val="clear"/>
            <w:tcMar>
              <w:bottom w:w="0" w:type="dxa"/>
            </w:tcMar>
            <w:vAlign w:val="center"/>
          </w:tcPr>
          <w:p>
            <w:pPr>
              <w:pStyle w:val="TableContents"/>
              <w:bidi w:val="0"/>
              <w:spacing w:before="0" w:after="283"/>
              <w:jc w:val="center"/>
              <w:rPr/>
            </w:pPr>
            <w:r>
              <w:rPr/>
              <w:t>208,325,846</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3005" w:type="dxa"/>
            <w:tcBorders/>
            <w:shd w:fill="E6EFFF" w:val="clear"/>
            <w:tcMar>
              <w:bottom w:w="0" w:type="dxa"/>
            </w:tcMar>
            <w:vAlign w:val="center"/>
          </w:tcPr>
          <w:p>
            <w:pPr>
              <w:pStyle w:val="TableContents"/>
              <w:bidi w:val="0"/>
              <w:spacing w:before="0" w:after="283"/>
              <w:jc w:val="center"/>
              <w:rPr/>
            </w:pPr>
            <w:r>
              <w:rPr/>
              <w:t>274,992,513</w:t>
            </w:r>
            <w:r>
              <w:rPr>
                <w:position w:val="8"/>
                <w:sz w:val="19"/>
              </w:rPr>
              <w:t>(3)</w:t>
            </w:r>
          </w:p>
        </w:tc>
        <w:tc>
          <w:tcPr>
            <w:tcW w:w="75" w:type="dxa"/>
            <w:tcBorders/>
            <w:shd w:fill="E6EFFF" w:val="clear"/>
            <w:tcMar>
              <w:bottom w:w="0" w:type="dxa"/>
            </w:tcMar>
            <w:vAlign w:val="center"/>
          </w:tcPr>
          <w:p>
            <w:pPr>
              <w:pStyle w:val="TableContents"/>
              <w:bidi w:val="0"/>
              <w:spacing w:before="0" w:after="283"/>
              <w:jc w:val="center"/>
              <w:rPr/>
            </w:pPr>
            <w:r>
              <w:rPr/>
              <w:t> </w:t>
            </w:r>
          </w:p>
        </w:tc>
      </w:tr>
      <w:tr>
        <w:trPr/>
        <w:tc>
          <w:tcPr>
            <w:tcW w:w="3500" w:type="dxa"/>
            <w:tcBorders/>
            <w:tcMar>
              <w:bottom w:w="0" w:type="dxa"/>
            </w:tcMar>
            <w:vAlign w:val="center"/>
          </w:tcPr>
          <w:p>
            <w:pPr>
              <w:pStyle w:val="TableContents"/>
              <w:bidi w:val="0"/>
              <w:spacing w:before="0" w:after="283"/>
              <w:jc w:val="both"/>
              <w:rPr/>
            </w:pPr>
            <w:r>
              <w:rPr/>
              <w:t>Stock options</w:t>
            </w:r>
          </w:p>
        </w:tc>
        <w:tc>
          <w:tcPr>
            <w:tcW w:w="24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pPr>
            <w:r>
              <w:rPr/>
              <w:t>40,980,425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40,980,425</w:t>
            </w:r>
          </w:p>
        </w:tc>
        <w:tc>
          <w:tcPr>
            <w:tcW w:w="75" w:type="dxa"/>
            <w:tcBorders/>
            <w:tcMar>
              <w:bottom w:w="0" w:type="dxa"/>
            </w:tcMar>
            <w:vAlign w:val="center"/>
          </w:tcPr>
          <w:p>
            <w:pPr>
              <w:pStyle w:val="TableContents"/>
              <w:bidi w:val="0"/>
              <w:spacing w:before="0" w:after="283"/>
              <w:jc w:val="center"/>
              <w:rPr/>
            </w:pPr>
            <w:r>
              <w:rPr/>
              <w:t> </w:t>
            </w:r>
          </w:p>
        </w:tc>
      </w:tr>
      <w:tr>
        <w:trPr/>
        <w:tc>
          <w:tcPr>
            <w:tcW w:w="3500" w:type="dxa"/>
            <w:tcBorders/>
            <w:shd w:fill="E6EFFF" w:val="clear"/>
            <w:tcMar>
              <w:bottom w:w="0" w:type="dxa"/>
            </w:tcMar>
            <w:vAlign w:val="center"/>
          </w:tcPr>
          <w:p>
            <w:pPr>
              <w:pStyle w:val="TableContents"/>
              <w:bidi w:val="0"/>
              <w:spacing w:before="0" w:after="283"/>
              <w:jc w:val="both"/>
              <w:rPr/>
            </w:pPr>
            <w:r>
              <w:rPr/>
              <w:t>Compensation warrants</w:t>
            </w:r>
          </w:p>
        </w:tc>
        <w:tc>
          <w:tcPr>
            <w:tcW w:w="240" w:type="dxa"/>
            <w:tcBorders/>
            <w:shd w:fill="E6EFFF" w:val="clear"/>
            <w:tcMar>
              <w:bottom w:w="0" w:type="dxa"/>
            </w:tcMar>
            <w:vAlign w:val="center"/>
          </w:tcPr>
          <w:p>
            <w:pPr>
              <w:pStyle w:val="TableContents"/>
              <w:bidi w:val="0"/>
              <w:spacing w:before="0" w:after="283"/>
              <w:jc w:val="left"/>
              <w:rPr/>
            </w:pPr>
            <w:r>
              <w:rPr/>
              <w:t> </w:t>
            </w:r>
          </w:p>
        </w:tc>
        <w:tc>
          <w:tcPr>
            <w:tcW w:w="1415" w:type="dxa"/>
            <w:tcBorders/>
            <w:shd w:fill="E6EFFF" w:val="clear"/>
            <w:tcMar>
              <w:bottom w:w="0" w:type="dxa"/>
            </w:tcMar>
            <w:vAlign w:val="center"/>
          </w:tcPr>
          <w:p>
            <w:pPr>
              <w:pStyle w:val="TableContents"/>
              <w:bidi w:val="0"/>
              <w:spacing w:before="0" w:after="283"/>
              <w:jc w:val="center"/>
              <w:rPr/>
            </w:pPr>
            <w:r>
              <w:rPr/>
              <w:t>868,740</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3005" w:type="dxa"/>
            <w:tcBorders/>
            <w:shd w:fill="E6EFFF" w:val="clear"/>
            <w:tcMar>
              <w:bottom w:w="0" w:type="dxa"/>
            </w:tcMar>
            <w:vAlign w:val="center"/>
          </w:tcPr>
          <w:p>
            <w:pPr>
              <w:pStyle w:val="TableContents"/>
              <w:bidi w:val="0"/>
              <w:spacing w:before="0" w:after="283"/>
              <w:jc w:val="center"/>
              <w:rPr/>
            </w:pPr>
            <w:r>
              <w:rPr/>
              <w:t>868,740</w:t>
            </w:r>
          </w:p>
        </w:tc>
        <w:tc>
          <w:tcPr>
            <w:tcW w:w="75" w:type="dxa"/>
            <w:tcBorders/>
            <w:shd w:fill="E6EFFF" w:val="clear"/>
            <w:tcMar>
              <w:bottom w:w="0" w:type="dxa"/>
            </w:tcMar>
            <w:vAlign w:val="center"/>
          </w:tcPr>
          <w:p>
            <w:pPr>
              <w:pStyle w:val="TableContents"/>
              <w:bidi w:val="0"/>
              <w:spacing w:before="0" w:after="283"/>
              <w:jc w:val="center"/>
              <w:rPr/>
            </w:pPr>
            <w:r>
              <w:rPr/>
              <w:t> </w:t>
            </w:r>
          </w:p>
        </w:tc>
      </w:tr>
      <w:tr>
        <w:trPr/>
        <w:tc>
          <w:tcPr>
            <w:tcW w:w="3500" w:type="dxa"/>
            <w:tcBorders/>
            <w:tcMar>
              <w:bottom w:w="0" w:type="dxa"/>
            </w:tcMar>
            <w:vAlign w:val="center"/>
          </w:tcPr>
          <w:p>
            <w:pPr>
              <w:pStyle w:val="TableContents"/>
              <w:bidi w:val="0"/>
              <w:spacing w:before="0" w:after="283"/>
              <w:jc w:val="left"/>
              <w:rPr/>
            </w:pPr>
            <w:r>
              <w:rPr/>
              <w:t>Common Share purchase warrants</w:t>
            </w:r>
          </w:p>
        </w:tc>
        <w:tc>
          <w:tcPr>
            <w:tcW w:w="24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pPr>
            <w:r>
              <w:rPr/>
              <w:t>23,230,485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23,230,485</w:t>
            </w:r>
            <w:r>
              <w:rPr>
                <w:position w:val="8"/>
                <w:sz w:val="19"/>
              </w:rPr>
              <w:t>(4)</w:t>
            </w:r>
          </w:p>
        </w:tc>
        <w:tc>
          <w:tcPr>
            <w:tcW w:w="75" w:type="dxa"/>
            <w:tcBorders/>
            <w:tcMar>
              <w:bottom w:w="0" w:type="dxa"/>
            </w:tcMar>
            <w:vAlign w:val="center"/>
          </w:tcPr>
          <w:p>
            <w:pPr>
              <w:pStyle w:val="TableContents"/>
              <w:bidi w:val="0"/>
              <w:spacing w:before="0" w:after="283"/>
              <w:jc w:val="center"/>
              <w:rPr/>
            </w:pPr>
            <w:r>
              <w:rPr/>
              <w:t> </w:t>
            </w:r>
          </w:p>
        </w:tc>
      </w:tr>
      <w:tr>
        <w:trPr/>
        <w:tc>
          <w:tcPr>
            <w:tcW w:w="3500" w:type="dxa"/>
            <w:tcBorders/>
            <w:shd w:fill="E6EFFF" w:val="clear"/>
            <w:tcMar>
              <w:bottom w:w="0" w:type="dxa"/>
            </w:tcMar>
            <w:vAlign w:val="center"/>
          </w:tcPr>
          <w:p>
            <w:pPr>
              <w:pStyle w:val="TableContents"/>
              <w:bidi w:val="0"/>
              <w:spacing w:before="0" w:after="283"/>
              <w:jc w:val="left"/>
              <w:rPr/>
            </w:pPr>
            <w:r>
              <w:rPr/>
              <w:t>Class B Shares (as defined below)</w:t>
            </w:r>
            <w:r>
              <w:rPr>
                <w:position w:val="8"/>
                <w:sz w:val="19"/>
              </w:rPr>
              <w:t>(5)</w:t>
            </w:r>
          </w:p>
        </w:tc>
        <w:tc>
          <w:tcPr>
            <w:tcW w:w="240" w:type="dxa"/>
            <w:tcBorders/>
            <w:shd w:fill="E6EFFF" w:val="clear"/>
            <w:tcMar>
              <w:bottom w:w="0" w:type="dxa"/>
            </w:tcMar>
            <w:vAlign w:val="center"/>
          </w:tcPr>
          <w:p>
            <w:pPr>
              <w:pStyle w:val="TableContents"/>
              <w:bidi w:val="0"/>
              <w:spacing w:before="0" w:after="283"/>
              <w:jc w:val="left"/>
              <w:rPr/>
            </w:pPr>
            <w:r>
              <w:rPr/>
              <w:t> </w:t>
            </w:r>
          </w:p>
        </w:tc>
        <w:tc>
          <w:tcPr>
            <w:tcW w:w="1415" w:type="dxa"/>
            <w:tcBorders/>
            <w:shd w:fill="E6EFFF" w:val="clear"/>
            <w:tcMar>
              <w:bottom w:w="0" w:type="dxa"/>
            </w:tcMar>
            <w:vAlign w:val="center"/>
          </w:tcPr>
          <w:p>
            <w:pPr>
              <w:pStyle w:val="TableContents"/>
              <w:bidi w:val="0"/>
              <w:spacing w:before="0" w:after="283"/>
              <w:jc w:val="center"/>
              <w:rPr/>
            </w:pPr>
            <w:r>
              <w:rPr/>
              <w:t>530,542.1</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3005" w:type="dxa"/>
            <w:tcBorders/>
            <w:shd w:fill="E6EFFF" w:val="clear"/>
            <w:tcMar>
              <w:bottom w:w="0" w:type="dxa"/>
            </w:tcMar>
            <w:vAlign w:val="center"/>
          </w:tcPr>
          <w:p>
            <w:pPr>
              <w:pStyle w:val="TableContents"/>
              <w:bidi w:val="0"/>
              <w:spacing w:before="0" w:after="283"/>
              <w:jc w:val="center"/>
              <w:rPr/>
            </w:pPr>
            <w:r>
              <w:rPr/>
              <w:t>530,542.1</w:t>
            </w:r>
          </w:p>
        </w:tc>
        <w:tc>
          <w:tcPr>
            <w:tcW w:w="75" w:type="dxa"/>
            <w:tcBorders/>
            <w:shd w:fill="E6EFFF" w:val="clear"/>
            <w:tcMar>
              <w:bottom w:w="0" w:type="dxa"/>
            </w:tcMar>
            <w:vAlign w:val="center"/>
          </w:tcPr>
          <w:p>
            <w:pPr>
              <w:pStyle w:val="TableContents"/>
              <w:bidi w:val="0"/>
              <w:spacing w:before="0" w:after="283"/>
              <w:jc w:val="center"/>
              <w:rPr/>
            </w:pPr>
            <w:r>
              <w:rPr/>
              <w:t> </w:t>
            </w:r>
          </w:p>
        </w:tc>
      </w:tr>
    </w:tbl>
    <w:p>
      <w:pPr>
        <w:pStyle w:val="TextBody"/>
        <w:bidi w:val="0"/>
        <w:ind w:left="284" w:right="0" w:hanging="0"/>
        <w:jc w:val="both"/>
        <w:rPr>
          <w:b/>
        </w:rPr>
      </w:pPr>
      <w:r>
        <w:rPr>
          <w:b/>
        </w:rPr>
        <w:t>Notes:</w:t>
      </w:r>
    </w:p>
    <w:p>
      <w:pPr>
        <w:pStyle w:val="TextBody"/>
        <w:bidi w:val="0"/>
        <w:spacing w:before="0" w:after="0"/>
        <w:ind w:left="960" w:right="0" w:hanging="0"/>
        <w:jc w:val="both"/>
        <w:rPr/>
      </w:pPr>
      <w:r>
        <w:rPr/>
        <w:t>(1) Proceeds from the Offering are before deducting expenses but are net proceeds after deducting the Underwriter's Fee (assuming a total of 13,333,335 Units are sold to purchasers on the President's List). Excludes Common Shares issued pursuant to the Arrangement and the Corporation's at-the-market equity programs.</w:t>
      </w:r>
    </w:p>
    <w:p>
      <w:pPr>
        <w:pStyle w:val="TextBody"/>
        <w:bidi w:val="0"/>
        <w:spacing w:before="0" w:after="0"/>
        <w:ind w:left="960" w:right="0" w:hanging="0"/>
        <w:jc w:val="both"/>
        <w:rPr/>
      </w:pPr>
      <w:r>
        <w:rPr/>
        <w:t>(2) The proceeds from the Offering have been converted from USD to CAD based on the exchange rate posted by the Bank of Canada for November 9, 2023, being US$1.00 = C$1.3781.</w:t>
      </w:r>
    </w:p>
    <w:p>
      <w:pPr>
        <w:pStyle w:val="TextBody"/>
        <w:bidi w:val="0"/>
        <w:spacing w:before="0" w:after="0"/>
        <w:ind w:left="960" w:right="0" w:hanging="0"/>
        <w:jc w:val="both"/>
        <w:rPr/>
      </w:pPr>
      <w:r>
        <w:rPr/>
        <w:t>(3) Since the date of the Interim Financial Statements, the Corporation has issued: (a) 24,264,706 Common Shares in connection with the August 2023 Unit Offering; (b) 80,945,300 Common Shares in connection with the Arrangement; and (c) 25,607,238 Common Shares in connection with the Corporation's at-the-market equity programs. As at the date hereof, the Corporation has 339,242,044 Common Shares issued and outstanding.</w:t>
      </w:r>
    </w:p>
    <w:p>
      <w:pPr>
        <w:pStyle w:val="TextBody"/>
        <w:bidi w:val="0"/>
        <w:spacing w:before="0" w:after="0"/>
        <w:ind w:left="960" w:right="0" w:hanging="0"/>
        <w:jc w:val="both"/>
        <w:rPr/>
      </w:pPr>
      <w:r>
        <w:rPr/>
        <w:t>(4) In connection with the August 2023 Unit Offering, the Corporation issued 24,264,706 Common Share purchase warrants. As at the date hereof, the Corporation has 46,836,331 Common Share purchase warrants issued and outstanding.</w:t>
      </w:r>
    </w:p>
    <w:p>
      <w:pPr>
        <w:pStyle w:val="TextBody"/>
        <w:bidi w:val="0"/>
        <w:spacing w:before="0" w:after="283"/>
        <w:ind w:left="960" w:right="0" w:hanging="0"/>
        <w:jc w:val="both"/>
        <w:rPr/>
      </w:pPr>
      <w:r>
        <w:rPr/>
        <w:t>(5) The Class B Shares are exchangeable for Common Shares on the basis of 10 Common Shares for each Class B Share, at the option of the holder thereof, subject to customary adjustments.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31" w:name="page_19"/>
      <w:bookmarkEnd w:id="31"/>
      <w:r>
        <w:rPr>
          <w:b/>
        </w:rPr>
        <w:t>PLAN OF DISTRIBUTION</w:t>
      </w:r>
    </w:p>
    <w:p>
      <w:pPr>
        <w:pStyle w:val="TextBody"/>
        <w:bidi w:val="0"/>
        <w:jc w:val="both"/>
        <w:rPr/>
      </w:pPr>
      <w:r>
        <w:rPr/>
        <w:t>The Units will be offered in the Province of Ontario, and in the United States pursuant to the MJDS and, subject to applicable law and the Underwriting Agreement, certain jurisdictions outside of Canada and the United States. The Units will be offered in the United States by A.G.P./Alliance Global Partners under a prospectus supplement filed with the SEC, and in Canada by A.G.P. Canada Investments ULC under this Prospectus Supplement. Pursuant to the Underwriting Agreement, the Underwriter has agreed to purchase, as principal, subject to the terms and conditions contained in the Underwriting Agreement, up to 66,666,667 Units at a price of US$0.45 per Unit, for aggregate gross proceeds of US$30,000,000.15 payable in cash to the Corporation against delivery of the Units. The Offering Price has been determined by arm's length negotiation between the Corporation and the Underwriter, with reference to the prevailing market price of the Units. The obligations of the Underwriter under the Underwriting Agreement are several (and not joint or joint and several), are subject to certain closing conditions and may be terminated at their discretion on the basis of "material change out", "disaster out", "regulatory proceedings out", "breach of agreement out", and "market out" provisions in the Underwriting Agreement and may also be terminated upon the occurrence of certain other stated events.</w:t>
      </w:r>
    </w:p>
    <w:p>
      <w:pPr>
        <w:pStyle w:val="TextBody"/>
        <w:bidi w:val="0"/>
        <w:jc w:val="both"/>
        <w:rPr/>
      </w:pPr>
      <w:r>
        <w:rPr/>
        <w:t>Each Unit will consist of one Unit Share and one Warrant. Each Warrant will entitle the holder to acquire, subject to adjustment in certain circumstances, one Warrant Share at the Warrant Exercise Price at any time on or after the Initial Exercise Date until the Warrant Expiry Date, after which time the Warrants will be void and of no value. This Prospectus Supplement qualifies the distribution of the Unit Shares and the Warrants included in the Units.</w:t>
      </w:r>
    </w:p>
    <w:p>
      <w:pPr>
        <w:pStyle w:val="TextBody"/>
        <w:bidi w:val="0"/>
        <w:jc w:val="both"/>
        <w:rPr/>
      </w:pPr>
      <w:r>
        <w:rPr/>
        <w:t>The Warrants will be created and issued pursuant to the terms of a warrant certificate (the "</w:t>
      </w:r>
      <w:r>
        <w:rPr>
          <w:b/>
        </w:rPr>
        <w:t>Warrant Certificate</w:t>
      </w:r>
      <w:r>
        <w:rPr/>
        <w:t>"). The Warrant Certificate will contain provisions designed to protect holders of the Warrants against dilution upon the happening of certain events. See "Description of Securities Being Distributed".</w:t>
      </w:r>
    </w:p>
    <w:p>
      <w:pPr>
        <w:pStyle w:val="TextBody"/>
        <w:bidi w:val="0"/>
        <w:jc w:val="both"/>
        <w:rPr/>
      </w:pPr>
      <w:r>
        <w:rPr/>
        <w:t>In consideration for the services provided by the Underwriter in connection with the Offering, and pursuant to the terms of the Underwriting Agreement, the Corporation has agreed to pay the Underwriter the Underwriter's Fee equal to 6.0% of the gross proceeds from the Offering. The Underwriter's Fee shall be reduced to 1.5% of the gross proceeds from the Offering in respect of President's List purchasers.</w:t>
      </w:r>
    </w:p>
    <w:p>
      <w:pPr>
        <w:pStyle w:val="TextBody"/>
        <w:bidi w:val="0"/>
        <w:jc w:val="both"/>
        <w:rPr/>
      </w:pPr>
      <w:r>
        <w:rPr/>
        <w:t>Pursuant to the Underwriting Agreement, the Corporation has agreed not to issue any Common Shares or securities convertible into Common Shares for a period of 90 days from the date of executing the Underwriting Agreement without prior written consent of the Underwriter, such consent not to be unreasonably withheld, delayed or denied, except: (i) pursuant to the Underwriting Agreement; (ii) the grant or exercise of equity compensation pursuant to the Corporation's existing equity compensation plans; (iii) the issuance of Common Shares upon the exercise or conversion of any options or warrants or other convertible securities outstanding as of the date of the Underwriting Agreement; (iv) the issuance of securities in connection with asset or share acquisitions, or other strategic, consulting, licensing, joint venture or similar transactions; and (v) a private placement to one or more strategic investors of Common Shares at a price per Common Share not less than the Warrant Exercise Price.</w:t>
      </w:r>
    </w:p>
    <w:p>
      <w:pPr>
        <w:pStyle w:val="TextBody"/>
        <w:bidi w:val="0"/>
        <w:jc w:val="both"/>
        <w:rPr/>
      </w:pPr>
      <w:r>
        <w:rPr/>
        <w:t>As a condition precedent to the Underwriter's obligation to close the Offering, all directors and senior officers of the Corporation shall execute and deliver written undertakings in favor of the Underwriter agreeing not to sell, transfer, pledge, assign, or otherwise dispose of any securities of the Corporation owned, directly or indirectly by such directors or senior officers, until the date that is 45 days following the Closing Date (subject to certain negotiated carve-outs and other customary exceptions) without the prior written consent of the Underwriter, such consent not to be unreasonably withheld, delayed or denied.</w:t>
      </w:r>
    </w:p>
    <w:p>
      <w:pPr>
        <w:pStyle w:val="TextBody"/>
        <w:bidi w:val="0"/>
        <w:jc w:val="both"/>
        <w:rPr/>
      </w:pPr>
      <w:r>
        <w:rPr/>
        <w:t>Pursuant to the rules and policy statements of certain Canadian securities regulators, the Underwriter may not, throughout the period of distribution under this Prospectus Supplement, bid for or purchase Common Shares for their own account or for accounts over which they exercise control or direction. The foregoing restriction is subject to certain exceptions, on the condition that the bid or purchase not be engaged in for the purpose of creating actual or apparent active trading in or raising the price of the Common Shares. These exceptions include a bid or purchase permitted under the Universal Market Integrity Rules for Canadian marketplaces administered by the Investment Industry Regulatory Organization of Canada relating to market stabilization and passive market-making activities and a bid or purchase made for or on behalf of a client where the client's order was not solicited during the period of distribution. Subject to applicable laws and in connection with the Offering, the Underwriter may effect transactions in connection with the Offering intended to stabilize or maintain the market price of the Common Shares at levels other than those which otherwise might prevail on the open market. Such transactions, if commenced, may be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32" w:name="page_20"/>
      <w:bookmarkEnd w:id="32"/>
      <w:r>
        <w:rPr>
          <w:b/>
        </w:rPr>
        <w:t xml:space="preserve">The Underwriter proposes to initially offer, either directly or through their broker-dealer affiliates or agents, the Units at the Offering Price. After a reasonable effort has been made to sell all of the Units at the Offering Price, the Underwriter may subsequently reduce the selling price to investors from time to time in order to sell any of the Units remaining unsold. Any such reduction will have the effect of reducing the compensation realized by the Underwriter by the amount that the aggregate price paid by the purchasers for the Units is less than the gross proceeds paid by the Underwriter to the Corporation and will not affect the proceeds received by the Corporation. </w:t>
      </w:r>
    </w:p>
    <w:p>
      <w:pPr>
        <w:pStyle w:val="TextBody"/>
        <w:bidi w:val="0"/>
        <w:jc w:val="both"/>
        <w:rPr/>
      </w:pPr>
      <w:r>
        <w:rPr/>
        <w:t>Subscriptions will be received subject to rejection in whole or in part and the Underwriter reserves the right to close the subscription books at any time without notice. Closing of the Offering is expected to take place on or about November 15, 2023, or such other date as may be agreed upon by the Corporation and the Underwriter, but in any event, no Closing Date shall occur later than 42 days following the date of this Prospectus Supplement.</w:t>
      </w:r>
    </w:p>
    <w:p>
      <w:pPr>
        <w:pStyle w:val="TextBody"/>
        <w:bidi w:val="0"/>
        <w:jc w:val="both"/>
        <w:rPr/>
      </w:pPr>
      <w:r>
        <w:rPr/>
        <w:t>It is expected that the Corporation will arrange for the instant deposit of the Unit Shares distributed under this Prospectus Supplement under the book-based system of registration, to be registered in the name of CDS or its nominee or DTC and deposited with CDS or DTC on the Closing Date. No certificates evidencing the Unit Shares are expected to be issued to purchasers of such securities. In such event, purchasers of Unit Shares will receive only a customer confirmation from the Underwriter or other registered dealer who is a CDS participant and from or through whom a beneficial interest in the securities is purchased. Definitive certificates representing the Warrants will be available for delivery on the Closing Date.</w:t>
      </w:r>
    </w:p>
    <w:p>
      <w:pPr>
        <w:pStyle w:val="TextBody"/>
        <w:bidi w:val="0"/>
        <w:jc w:val="both"/>
        <w:rPr>
          <w:b/>
        </w:rPr>
      </w:pPr>
      <w:r>
        <w:rPr>
          <w:b/>
        </w:rPr>
        <w:t>The Offering is being made concurrently in the United States and in the Province of Ontario, pursuant to the MJDS implemented by the SEC and the securities regulatory authorities in Canada. No Securities will be offered or sold in any jurisdiction except by or through brokers or dealers duly registered under the applicable securities laws of that jurisdiction, or in circumstances where an exemption from such registered dealer requirements is available.</w:t>
      </w:r>
    </w:p>
    <w:p>
      <w:pPr>
        <w:pStyle w:val="TextBody"/>
        <w:bidi w:val="0"/>
        <w:jc w:val="both"/>
        <w:rPr/>
      </w:pPr>
      <w:r>
        <w:rPr/>
        <w:t>The Corporation has agreed to pay the reasonable fees, disbursements and expenses of counsel to the Underwriter in connection with the Offering, subject to the terms of the Underwriting Agreement and any other agreement in writing between the Corporation and the Underwriter. The Underwriter and its affiliates will not engage in any prohibited transactions to stabilize or maintain the price of the Common Shares in connection with any offer or sales of Common Shares pursuant to the Underwriting Agreement. No agent, underwriter or dealer involved in the distribution of the Units under the Offering, no affiliate of such an agent, underwriter or dealer and no person or company acting jointly or in concert with such an agent, underwriter or dealer has over-allotted, or will over-allot, securities in connection with such distribution or effected, or will affect any other transactions that are intended to stabilize or maintain the market price of the Common Shares.</w:t>
      </w:r>
    </w:p>
    <w:p>
      <w:pPr>
        <w:pStyle w:val="TextBody"/>
        <w:bidi w:val="0"/>
        <w:jc w:val="both"/>
        <w:rPr/>
      </w:pPr>
      <w:r>
        <w:rPr/>
        <w:t>The Corporation has applied to list the Unit Shares offered by this Prospectus Supplement, and the Warrant Shares issuable upon exercise of the Warrants, as applicable on the NEO and the NYSE American, respectively. Listing will be subject to the Corporation fulfilling all of the listing requirements of the NEO and the NYSE American, as applicable. The Warrants will not be listed on the NEO and the NYSE American. There is currently no market through which the Warrants may be sold and purchasers may not be able to resell the Warrants purchased under this Prospectus Supplement. This may affect the pricing of the securities in the secondary market, the transparency and availability of trading prices, the liquidity of the securities, and the extent of issuer regulation. See "</w:t>
      </w:r>
      <w:r>
        <w:rPr>
          <w:i/>
        </w:rPr>
        <w:t>Risk Factors</w:t>
      </w:r>
      <w:r>
        <w:rPr/>
        <w:t>".</w:t>
      </w:r>
    </w:p>
    <w:p>
      <w:pPr>
        <w:pStyle w:val="TextBody"/>
        <w:bidi w:val="0"/>
        <w:jc w:val="center"/>
        <w:rPr>
          <w:b/>
        </w:rPr>
      </w:pPr>
      <w:r>
        <w:rPr>
          <w:b/>
        </w:rPr>
        <w:t>TRADING PRICE AND VOLUME</w:t>
      </w:r>
    </w:p>
    <w:p>
      <w:pPr>
        <w:pStyle w:val="TextBody"/>
        <w:bidi w:val="0"/>
        <w:jc w:val="both"/>
        <w:rPr/>
      </w:pPr>
      <w:r>
        <w:rPr/>
        <w:t>The Common Shares are listed for trading on the NEO and the NYSE American under the symbol "CYBN". The following table sets forth the reported monthly range of high and low prices per Common Share and total monthly volumes traded on the NEO and the NYSE American for each of the months indicated during the 12-month period prior to the date of this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33" w:name="page_21"/>
      <w:bookmarkStart w:id="34" w:name="page_21"/>
      <w:bookmarkEnd w:id="34"/>
    </w:p>
    <w:tbl>
      <w:tblPr>
        <w:tblW w:w="5450" w:type="dxa"/>
        <w:jc w:val="left"/>
        <w:tblInd w:w="0" w:type="dxa"/>
        <w:tblLayout w:type="fixed"/>
        <w:tblCellMar>
          <w:top w:w="0" w:type="dxa"/>
          <w:left w:w="0" w:type="dxa"/>
          <w:bottom w:w="0" w:type="dxa"/>
          <w:right w:w="0" w:type="dxa"/>
        </w:tblCellMar>
      </w:tblPr>
      <w:tblGrid>
        <w:gridCol w:w="2105"/>
        <w:gridCol w:w="60"/>
        <w:gridCol w:w="1070"/>
        <w:gridCol w:w="60"/>
        <w:gridCol w:w="1040"/>
        <w:gridCol w:w="60"/>
        <w:gridCol w:w="1055"/>
      </w:tblGrid>
      <w:tr>
        <w:trPr/>
        <w:tc>
          <w:tcPr>
            <w:tcW w:w="5450" w:type="dxa"/>
            <w:gridSpan w:val="7"/>
            <w:tcBorders/>
            <w:vAlign w:val="center"/>
          </w:tcPr>
          <w:p>
            <w:pPr>
              <w:pStyle w:val="TableContents"/>
              <w:bidi w:val="0"/>
              <w:spacing w:before="0" w:after="283"/>
              <w:jc w:val="center"/>
              <w:rPr/>
            </w:pPr>
            <w:r>
              <w:rPr>
                <w:b/>
              </w:rPr>
              <w:t>NEO Price Range</w:t>
            </w:r>
            <w:r>
              <w:rPr/>
              <w:t xml:space="preserve"> </w:t>
            </w:r>
          </w:p>
        </w:tc>
      </w:tr>
      <w:tr>
        <w:trPr/>
        <w:tc>
          <w:tcPr>
            <w:tcW w:w="5450" w:type="dxa"/>
            <w:gridSpan w:val="7"/>
            <w:tcBorders/>
            <w:vAlign w:val="center"/>
          </w:tcPr>
          <w:p>
            <w:pPr>
              <w:pStyle w:val="TableContents"/>
              <w:bidi w:val="0"/>
              <w:spacing w:before="0" w:after="283"/>
              <w:jc w:val="center"/>
              <w:rPr/>
            </w:pPr>
            <w:r>
              <w:rPr/>
              <w:t> </w:t>
            </w:r>
          </w:p>
        </w:tc>
      </w:tr>
      <w:tr>
        <w:trPr/>
        <w:tc>
          <w:tcPr>
            <w:tcW w:w="2105" w:type="dxa"/>
            <w:tcBorders>
              <w:bottom w:val="single" w:sz="6" w:space="0" w:color="000000"/>
            </w:tcBorders>
            <w:tcMar>
              <w:bottom w:w="28" w:type="dxa"/>
            </w:tcMar>
            <w:vAlign w:val="center"/>
          </w:tcPr>
          <w:p>
            <w:pPr>
              <w:pStyle w:val="TableContents"/>
              <w:bidi w:val="0"/>
              <w:spacing w:before="0" w:after="283"/>
              <w:jc w:val="center"/>
              <w:rPr>
                <w:b/>
              </w:rPr>
            </w:pPr>
            <w:r>
              <w:rPr>
                <w:b/>
              </w:rPr>
              <w:t>Month</w:t>
            </w:r>
          </w:p>
        </w:tc>
        <w:tc>
          <w:tcPr>
            <w:tcW w:w="60" w:type="dxa"/>
            <w:tcBorders/>
            <w:vAlign w:val="center"/>
          </w:tcPr>
          <w:p>
            <w:pPr>
              <w:pStyle w:val="TableContents"/>
              <w:bidi w:val="0"/>
              <w:spacing w:before="0" w:after="283"/>
              <w:jc w:val="center"/>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pPr>
            <w:r>
              <w:rPr>
                <w:b/>
              </w:rPr>
              <w:t>High</w:t>
            </w:r>
            <w:r>
              <w:rPr/>
              <w:t xml:space="preserve"> ($)</w:t>
            </w:r>
            <w:r>
              <w:rPr>
                <w:b/>
                <w:position w:val="8"/>
                <w:sz w:val="19"/>
              </w:rPr>
              <w:t>(1)</w:t>
            </w:r>
          </w:p>
        </w:tc>
        <w:tc>
          <w:tcPr>
            <w:tcW w:w="60" w:type="dxa"/>
            <w:tcBorders/>
            <w:vAlign w:val="center"/>
          </w:tcPr>
          <w:p>
            <w:pPr>
              <w:pStyle w:val="TableContents"/>
              <w:bidi w:val="0"/>
              <w:spacing w:before="0" w:after="283"/>
              <w:jc w:val="center"/>
              <w:rPr/>
            </w:pPr>
            <w:r>
              <w:rPr/>
              <w:t> </w:t>
            </w:r>
          </w:p>
        </w:tc>
        <w:tc>
          <w:tcPr>
            <w:tcW w:w="1040" w:type="dxa"/>
            <w:tcBorders>
              <w:bottom w:val="single" w:sz="6" w:space="0" w:color="000000"/>
            </w:tcBorders>
            <w:tcMar>
              <w:bottom w:w="28" w:type="dxa"/>
            </w:tcMar>
            <w:vAlign w:val="center"/>
          </w:tcPr>
          <w:p>
            <w:pPr>
              <w:pStyle w:val="TableContents"/>
              <w:bidi w:val="0"/>
              <w:spacing w:before="0" w:after="283"/>
              <w:jc w:val="center"/>
              <w:rPr/>
            </w:pPr>
            <w:r>
              <w:rPr>
                <w:b/>
              </w:rPr>
              <w:t xml:space="preserve">Low </w:t>
            </w:r>
            <w:r>
              <w:rPr/>
              <w:t>($)</w:t>
            </w:r>
            <w:r>
              <w:rPr>
                <w:b/>
                <w:position w:val="8"/>
                <w:sz w:val="19"/>
              </w:rPr>
              <w:t>(1)</w:t>
            </w:r>
          </w:p>
        </w:tc>
        <w:tc>
          <w:tcPr>
            <w:tcW w:w="60" w:type="dxa"/>
            <w:tcBorders/>
            <w:vAlign w:val="center"/>
          </w:tcPr>
          <w:p>
            <w:pPr>
              <w:pStyle w:val="TableContents"/>
              <w:bidi w:val="0"/>
              <w:spacing w:before="0" w:after="283"/>
              <w:jc w:val="center"/>
              <w:rPr/>
            </w:pPr>
            <w:r>
              <w:rPr/>
              <w:t> </w:t>
            </w:r>
          </w:p>
        </w:tc>
        <w:tc>
          <w:tcPr>
            <w:tcW w:w="1055" w:type="dxa"/>
            <w:tcBorders>
              <w:bottom w:val="single" w:sz="6" w:space="0" w:color="000000"/>
            </w:tcBorders>
            <w:tcMar>
              <w:bottom w:w="28" w:type="dxa"/>
            </w:tcMar>
            <w:vAlign w:val="center"/>
          </w:tcPr>
          <w:p>
            <w:pPr>
              <w:pStyle w:val="TableContents"/>
              <w:bidi w:val="0"/>
              <w:spacing w:before="0" w:after="283"/>
              <w:jc w:val="center"/>
              <w:rPr/>
            </w:pPr>
            <w:r>
              <w:rPr>
                <w:b/>
              </w:rPr>
              <w:t>Volume</w:t>
            </w:r>
            <w:r>
              <w:rPr>
                <w:b/>
                <w:position w:val="8"/>
                <w:sz w:val="19"/>
              </w:rPr>
              <w:t>(1)</w:t>
            </w:r>
          </w:p>
        </w:tc>
      </w:tr>
      <w:tr>
        <w:trPr/>
        <w:tc>
          <w:tcPr>
            <w:tcW w:w="210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center"/>
              <w:rPr/>
            </w:pPr>
            <w:r>
              <w:rPr/>
              <w:t> </w:t>
            </w:r>
          </w:p>
        </w:tc>
        <w:tc>
          <w:tcPr>
            <w:tcW w:w="1070" w:type="dxa"/>
            <w:tcBorders>
              <w:top w:val="single" w:sz="6" w:space="0" w:color="000000"/>
            </w:tcBorders>
            <w:tcMar>
              <w:top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tcBorders>
              <w:top w:val="single" w:sz="6" w:space="0" w:color="000000"/>
            </w:tcBorders>
            <w:tcMar>
              <w:top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0"/>
              <w:jc w:val="left"/>
              <w:rPr/>
            </w:pPr>
            <w:r>
              <w:rPr/>
              <w:t> </w:t>
            </w:r>
          </w:p>
        </w:tc>
      </w:tr>
      <w:tr>
        <w:trPr/>
        <w:tc>
          <w:tcPr>
            <w:tcW w:w="2105" w:type="dxa"/>
            <w:tcBorders/>
            <w:shd w:fill="E6EFFF" w:val="clear"/>
            <w:vAlign w:val="center"/>
          </w:tcPr>
          <w:p>
            <w:pPr>
              <w:pStyle w:val="TableContents"/>
              <w:bidi w:val="0"/>
              <w:spacing w:before="0" w:after="0"/>
              <w:jc w:val="left"/>
              <w:rPr/>
            </w:pPr>
            <w:r>
              <w:rPr/>
              <w:t>December 2022</w:t>
            </w:r>
          </w:p>
        </w:tc>
        <w:tc>
          <w:tcPr>
            <w:tcW w:w="60" w:type="dxa"/>
            <w:tcBorders/>
            <w:shd w:fill="E6EFFF" w:val="clear"/>
            <w:vAlign w:val="center"/>
          </w:tcPr>
          <w:p>
            <w:pPr>
              <w:pStyle w:val="TableContents"/>
              <w:bidi w:val="0"/>
              <w:spacing w:before="0" w:after="0"/>
              <w:jc w:val="left"/>
              <w:rPr/>
            </w:pPr>
            <w:r>
              <w:rPr/>
              <w:t> </w:t>
            </w:r>
          </w:p>
        </w:tc>
        <w:tc>
          <w:tcPr>
            <w:tcW w:w="1070" w:type="dxa"/>
            <w:tcBorders/>
            <w:shd w:fill="E6EFFF" w:val="clear"/>
            <w:vAlign w:val="center"/>
          </w:tcPr>
          <w:p>
            <w:pPr>
              <w:pStyle w:val="TableContents"/>
              <w:bidi w:val="0"/>
              <w:spacing w:before="0" w:after="283"/>
              <w:jc w:val="center"/>
              <w:rPr/>
            </w:pPr>
            <w:r>
              <w:rPr/>
              <w:t>0.51</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0.375</w:t>
            </w:r>
          </w:p>
        </w:tc>
        <w:tc>
          <w:tcPr>
            <w:tcW w:w="60" w:type="dxa"/>
            <w:tcBorders/>
            <w:shd w:fill="E6EFFF" w:val="clear"/>
            <w:vAlign w:val="center"/>
          </w:tcPr>
          <w:p>
            <w:pPr>
              <w:pStyle w:val="TableContents"/>
              <w:bidi w:val="0"/>
              <w:spacing w:before="0" w:after="283"/>
              <w:jc w:val="center"/>
              <w:rPr/>
            </w:pPr>
            <w:r>
              <w:rPr/>
              <w:t> </w:t>
            </w:r>
          </w:p>
        </w:tc>
        <w:tc>
          <w:tcPr>
            <w:tcW w:w="1055" w:type="dxa"/>
            <w:tcBorders/>
            <w:shd w:fill="E6EFFF" w:val="clear"/>
            <w:vAlign w:val="center"/>
          </w:tcPr>
          <w:p>
            <w:pPr>
              <w:pStyle w:val="TableContents"/>
              <w:bidi w:val="0"/>
              <w:spacing w:before="0" w:after="283"/>
              <w:jc w:val="center"/>
              <w:rPr/>
            </w:pPr>
            <w:r>
              <w:rPr/>
              <w:t>3,307,124</w:t>
            </w:r>
          </w:p>
        </w:tc>
      </w:tr>
      <w:tr>
        <w:trPr/>
        <w:tc>
          <w:tcPr>
            <w:tcW w:w="2105" w:type="dxa"/>
            <w:tcBorders/>
            <w:vAlign w:val="center"/>
          </w:tcPr>
          <w:p>
            <w:pPr>
              <w:pStyle w:val="TableContents"/>
              <w:bidi w:val="0"/>
              <w:spacing w:before="0" w:after="0"/>
              <w:jc w:val="left"/>
              <w:rPr/>
            </w:pPr>
            <w:r>
              <w:rPr/>
              <w:t>January 2023</w:t>
            </w:r>
          </w:p>
        </w:tc>
        <w:tc>
          <w:tcPr>
            <w:tcW w:w="6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center"/>
              <w:rPr/>
            </w:pPr>
            <w:r>
              <w:rPr/>
              <w:t>0.83</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0.40</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283"/>
              <w:jc w:val="center"/>
              <w:rPr/>
            </w:pPr>
            <w:r>
              <w:rPr/>
              <w:t>4,313,804</w:t>
            </w:r>
          </w:p>
        </w:tc>
      </w:tr>
      <w:tr>
        <w:trPr/>
        <w:tc>
          <w:tcPr>
            <w:tcW w:w="2105" w:type="dxa"/>
            <w:tcBorders/>
            <w:shd w:fill="E6EFFF" w:val="clear"/>
            <w:vAlign w:val="center"/>
          </w:tcPr>
          <w:p>
            <w:pPr>
              <w:pStyle w:val="TableContents"/>
              <w:bidi w:val="0"/>
              <w:spacing w:before="0" w:after="0"/>
              <w:jc w:val="left"/>
              <w:rPr/>
            </w:pPr>
            <w:r>
              <w:rPr/>
              <w:t>February 2023</w:t>
            </w:r>
          </w:p>
        </w:tc>
        <w:tc>
          <w:tcPr>
            <w:tcW w:w="60" w:type="dxa"/>
            <w:tcBorders/>
            <w:shd w:fill="E6EFFF" w:val="clear"/>
            <w:vAlign w:val="center"/>
          </w:tcPr>
          <w:p>
            <w:pPr>
              <w:pStyle w:val="TableContents"/>
              <w:bidi w:val="0"/>
              <w:spacing w:before="0" w:after="0"/>
              <w:jc w:val="left"/>
              <w:rPr/>
            </w:pPr>
            <w:r>
              <w:rPr/>
              <w:t> </w:t>
            </w:r>
          </w:p>
        </w:tc>
        <w:tc>
          <w:tcPr>
            <w:tcW w:w="1070" w:type="dxa"/>
            <w:tcBorders/>
            <w:shd w:fill="E6EFFF" w:val="clear"/>
            <w:vAlign w:val="center"/>
          </w:tcPr>
          <w:p>
            <w:pPr>
              <w:pStyle w:val="TableContents"/>
              <w:bidi w:val="0"/>
              <w:spacing w:before="0" w:after="283"/>
              <w:jc w:val="center"/>
              <w:rPr/>
            </w:pPr>
            <w:r>
              <w:rPr/>
              <w:t>0.82</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0.52</w:t>
            </w:r>
          </w:p>
        </w:tc>
        <w:tc>
          <w:tcPr>
            <w:tcW w:w="60" w:type="dxa"/>
            <w:tcBorders/>
            <w:shd w:fill="E6EFFF" w:val="clear"/>
            <w:vAlign w:val="center"/>
          </w:tcPr>
          <w:p>
            <w:pPr>
              <w:pStyle w:val="TableContents"/>
              <w:bidi w:val="0"/>
              <w:spacing w:before="0" w:after="283"/>
              <w:jc w:val="center"/>
              <w:rPr/>
            </w:pPr>
            <w:r>
              <w:rPr/>
              <w:t> </w:t>
            </w:r>
          </w:p>
        </w:tc>
        <w:tc>
          <w:tcPr>
            <w:tcW w:w="1055" w:type="dxa"/>
            <w:tcBorders/>
            <w:shd w:fill="E6EFFF" w:val="clear"/>
            <w:vAlign w:val="center"/>
          </w:tcPr>
          <w:p>
            <w:pPr>
              <w:pStyle w:val="TableContents"/>
              <w:bidi w:val="0"/>
              <w:spacing w:before="0" w:after="283"/>
              <w:jc w:val="center"/>
              <w:rPr/>
            </w:pPr>
            <w:r>
              <w:rPr/>
              <w:t>4,039,711</w:t>
            </w:r>
          </w:p>
        </w:tc>
      </w:tr>
      <w:tr>
        <w:trPr/>
        <w:tc>
          <w:tcPr>
            <w:tcW w:w="2105" w:type="dxa"/>
            <w:tcBorders/>
            <w:vAlign w:val="center"/>
          </w:tcPr>
          <w:p>
            <w:pPr>
              <w:pStyle w:val="TableContents"/>
              <w:bidi w:val="0"/>
              <w:spacing w:before="0" w:after="0"/>
              <w:jc w:val="left"/>
              <w:rPr/>
            </w:pPr>
            <w:r>
              <w:rPr/>
              <w:t>March 2023</w:t>
            </w:r>
          </w:p>
        </w:tc>
        <w:tc>
          <w:tcPr>
            <w:tcW w:w="6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center"/>
              <w:rPr/>
            </w:pPr>
            <w:r>
              <w:rPr/>
              <w:t>0.69</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0.48</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283"/>
              <w:jc w:val="center"/>
              <w:rPr/>
            </w:pPr>
            <w:r>
              <w:rPr/>
              <w:t>3,147,215</w:t>
            </w:r>
          </w:p>
        </w:tc>
      </w:tr>
      <w:tr>
        <w:trPr/>
        <w:tc>
          <w:tcPr>
            <w:tcW w:w="2105" w:type="dxa"/>
            <w:tcBorders/>
            <w:shd w:fill="E6EFFF" w:val="clear"/>
            <w:vAlign w:val="center"/>
          </w:tcPr>
          <w:p>
            <w:pPr>
              <w:pStyle w:val="TableContents"/>
              <w:bidi w:val="0"/>
              <w:spacing w:before="0" w:after="0"/>
              <w:jc w:val="left"/>
              <w:rPr/>
            </w:pPr>
            <w:r>
              <w:rPr/>
              <w:t>April 2023</w:t>
            </w:r>
          </w:p>
        </w:tc>
        <w:tc>
          <w:tcPr>
            <w:tcW w:w="60" w:type="dxa"/>
            <w:tcBorders/>
            <w:shd w:fill="E6EFFF" w:val="clear"/>
            <w:vAlign w:val="center"/>
          </w:tcPr>
          <w:p>
            <w:pPr>
              <w:pStyle w:val="TableContents"/>
              <w:bidi w:val="0"/>
              <w:spacing w:before="0" w:after="0"/>
              <w:jc w:val="left"/>
              <w:rPr/>
            </w:pPr>
            <w:r>
              <w:rPr/>
              <w:t> </w:t>
            </w:r>
          </w:p>
        </w:tc>
        <w:tc>
          <w:tcPr>
            <w:tcW w:w="1070" w:type="dxa"/>
            <w:tcBorders/>
            <w:shd w:fill="E6EFFF" w:val="clear"/>
            <w:vAlign w:val="center"/>
          </w:tcPr>
          <w:p>
            <w:pPr>
              <w:pStyle w:val="TableContents"/>
              <w:bidi w:val="0"/>
              <w:spacing w:before="0" w:after="283"/>
              <w:jc w:val="center"/>
              <w:rPr/>
            </w:pPr>
            <w:r>
              <w:rPr/>
              <w:t>0.55</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0.40</w:t>
            </w:r>
          </w:p>
        </w:tc>
        <w:tc>
          <w:tcPr>
            <w:tcW w:w="60" w:type="dxa"/>
            <w:tcBorders/>
            <w:shd w:fill="E6EFFF" w:val="clear"/>
            <w:vAlign w:val="center"/>
          </w:tcPr>
          <w:p>
            <w:pPr>
              <w:pStyle w:val="TableContents"/>
              <w:bidi w:val="0"/>
              <w:spacing w:before="0" w:after="283"/>
              <w:jc w:val="center"/>
              <w:rPr/>
            </w:pPr>
            <w:r>
              <w:rPr/>
              <w:t> </w:t>
            </w:r>
          </w:p>
        </w:tc>
        <w:tc>
          <w:tcPr>
            <w:tcW w:w="1055" w:type="dxa"/>
            <w:tcBorders/>
            <w:shd w:fill="E6EFFF" w:val="clear"/>
            <w:vAlign w:val="center"/>
          </w:tcPr>
          <w:p>
            <w:pPr>
              <w:pStyle w:val="TableContents"/>
              <w:bidi w:val="0"/>
              <w:spacing w:before="0" w:after="283"/>
              <w:jc w:val="center"/>
              <w:rPr/>
            </w:pPr>
            <w:r>
              <w:rPr/>
              <w:t>1,906,116</w:t>
            </w:r>
          </w:p>
        </w:tc>
      </w:tr>
      <w:tr>
        <w:trPr/>
        <w:tc>
          <w:tcPr>
            <w:tcW w:w="2105" w:type="dxa"/>
            <w:tcBorders/>
            <w:vAlign w:val="center"/>
          </w:tcPr>
          <w:p>
            <w:pPr>
              <w:pStyle w:val="TableContents"/>
              <w:bidi w:val="0"/>
              <w:spacing w:before="0" w:after="0"/>
              <w:jc w:val="left"/>
              <w:rPr/>
            </w:pPr>
            <w:r>
              <w:rPr/>
              <w:t>May 2023</w:t>
            </w:r>
          </w:p>
        </w:tc>
        <w:tc>
          <w:tcPr>
            <w:tcW w:w="6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center"/>
              <w:rPr/>
            </w:pPr>
            <w:r>
              <w:rPr/>
              <w:t>0.46</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0.35</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283"/>
              <w:jc w:val="center"/>
              <w:rPr/>
            </w:pPr>
            <w:r>
              <w:rPr/>
              <w:t>1,899,880</w:t>
            </w:r>
          </w:p>
        </w:tc>
      </w:tr>
      <w:tr>
        <w:trPr/>
        <w:tc>
          <w:tcPr>
            <w:tcW w:w="2105" w:type="dxa"/>
            <w:tcBorders/>
            <w:shd w:fill="E6EFFF" w:val="clear"/>
            <w:vAlign w:val="center"/>
          </w:tcPr>
          <w:p>
            <w:pPr>
              <w:pStyle w:val="TableContents"/>
              <w:bidi w:val="0"/>
              <w:spacing w:before="0" w:after="0"/>
              <w:jc w:val="left"/>
              <w:rPr/>
            </w:pPr>
            <w:r>
              <w:rPr/>
              <w:t>June 2023</w:t>
            </w:r>
          </w:p>
        </w:tc>
        <w:tc>
          <w:tcPr>
            <w:tcW w:w="60" w:type="dxa"/>
            <w:tcBorders/>
            <w:shd w:fill="E6EFFF" w:val="clear"/>
            <w:vAlign w:val="center"/>
          </w:tcPr>
          <w:p>
            <w:pPr>
              <w:pStyle w:val="TableContents"/>
              <w:bidi w:val="0"/>
              <w:spacing w:before="0" w:after="0"/>
              <w:jc w:val="left"/>
              <w:rPr/>
            </w:pPr>
            <w:r>
              <w:rPr/>
              <w:t> </w:t>
            </w:r>
          </w:p>
        </w:tc>
        <w:tc>
          <w:tcPr>
            <w:tcW w:w="1070" w:type="dxa"/>
            <w:tcBorders/>
            <w:shd w:fill="E6EFFF" w:val="clear"/>
            <w:vAlign w:val="center"/>
          </w:tcPr>
          <w:p>
            <w:pPr>
              <w:pStyle w:val="TableContents"/>
              <w:bidi w:val="0"/>
              <w:spacing w:before="0" w:after="283"/>
              <w:jc w:val="center"/>
              <w:rPr/>
            </w:pPr>
            <w:r>
              <w:rPr/>
              <w:t>0.52</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0.30</w:t>
            </w:r>
          </w:p>
        </w:tc>
        <w:tc>
          <w:tcPr>
            <w:tcW w:w="60" w:type="dxa"/>
            <w:tcBorders/>
            <w:shd w:fill="E6EFFF" w:val="clear"/>
            <w:vAlign w:val="center"/>
          </w:tcPr>
          <w:p>
            <w:pPr>
              <w:pStyle w:val="TableContents"/>
              <w:bidi w:val="0"/>
              <w:spacing w:before="0" w:after="283"/>
              <w:jc w:val="center"/>
              <w:rPr/>
            </w:pPr>
            <w:r>
              <w:rPr/>
              <w:t> </w:t>
            </w:r>
          </w:p>
        </w:tc>
        <w:tc>
          <w:tcPr>
            <w:tcW w:w="1055" w:type="dxa"/>
            <w:tcBorders/>
            <w:shd w:fill="E6EFFF" w:val="clear"/>
            <w:vAlign w:val="center"/>
          </w:tcPr>
          <w:p>
            <w:pPr>
              <w:pStyle w:val="TableContents"/>
              <w:bidi w:val="0"/>
              <w:spacing w:before="0" w:after="283"/>
              <w:jc w:val="center"/>
              <w:rPr/>
            </w:pPr>
            <w:r>
              <w:rPr/>
              <w:t>3,778,524</w:t>
            </w:r>
          </w:p>
        </w:tc>
      </w:tr>
      <w:tr>
        <w:trPr/>
        <w:tc>
          <w:tcPr>
            <w:tcW w:w="2105" w:type="dxa"/>
            <w:tcBorders/>
            <w:vAlign w:val="center"/>
          </w:tcPr>
          <w:p>
            <w:pPr>
              <w:pStyle w:val="TableContents"/>
              <w:bidi w:val="0"/>
              <w:spacing w:before="0" w:after="0"/>
              <w:jc w:val="left"/>
              <w:rPr/>
            </w:pPr>
            <w:r>
              <w:rPr/>
              <w:t>July 2023</w:t>
            </w:r>
          </w:p>
        </w:tc>
        <w:tc>
          <w:tcPr>
            <w:tcW w:w="6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center"/>
              <w:rPr/>
            </w:pPr>
            <w:r>
              <w:rPr/>
              <w:t>0.70</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0.49</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283"/>
              <w:jc w:val="center"/>
              <w:rPr/>
            </w:pPr>
            <w:r>
              <w:rPr/>
              <w:t>4,373,988</w:t>
            </w:r>
          </w:p>
        </w:tc>
      </w:tr>
      <w:tr>
        <w:trPr/>
        <w:tc>
          <w:tcPr>
            <w:tcW w:w="2105" w:type="dxa"/>
            <w:tcBorders/>
            <w:shd w:fill="E6EFFF" w:val="clear"/>
            <w:vAlign w:val="center"/>
          </w:tcPr>
          <w:p>
            <w:pPr>
              <w:pStyle w:val="TableContents"/>
              <w:bidi w:val="0"/>
              <w:spacing w:before="0" w:after="0"/>
              <w:jc w:val="left"/>
              <w:rPr/>
            </w:pPr>
            <w:r>
              <w:rPr/>
              <w:t>August 2023</w:t>
            </w:r>
          </w:p>
        </w:tc>
        <w:tc>
          <w:tcPr>
            <w:tcW w:w="60" w:type="dxa"/>
            <w:tcBorders/>
            <w:shd w:fill="E6EFFF" w:val="clear"/>
            <w:vAlign w:val="center"/>
          </w:tcPr>
          <w:p>
            <w:pPr>
              <w:pStyle w:val="TableContents"/>
              <w:bidi w:val="0"/>
              <w:spacing w:before="0" w:after="0"/>
              <w:jc w:val="left"/>
              <w:rPr/>
            </w:pPr>
            <w:r>
              <w:rPr/>
              <w:t> </w:t>
            </w:r>
          </w:p>
        </w:tc>
        <w:tc>
          <w:tcPr>
            <w:tcW w:w="1070" w:type="dxa"/>
            <w:tcBorders/>
            <w:shd w:fill="E6EFFF" w:val="clear"/>
            <w:vAlign w:val="center"/>
          </w:tcPr>
          <w:p>
            <w:pPr>
              <w:pStyle w:val="TableContents"/>
              <w:bidi w:val="0"/>
              <w:spacing w:before="0" w:after="283"/>
              <w:jc w:val="center"/>
              <w:rPr/>
            </w:pPr>
            <w:r>
              <w:rPr/>
              <w:t>0.48</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0.36</w:t>
            </w:r>
          </w:p>
        </w:tc>
        <w:tc>
          <w:tcPr>
            <w:tcW w:w="60" w:type="dxa"/>
            <w:tcBorders/>
            <w:shd w:fill="E6EFFF" w:val="clear"/>
            <w:vAlign w:val="center"/>
          </w:tcPr>
          <w:p>
            <w:pPr>
              <w:pStyle w:val="TableContents"/>
              <w:bidi w:val="0"/>
              <w:spacing w:before="0" w:after="283"/>
              <w:jc w:val="center"/>
              <w:rPr/>
            </w:pPr>
            <w:r>
              <w:rPr/>
              <w:t> </w:t>
            </w:r>
          </w:p>
        </w:tc>
        <w:tc>
          <w:tcPr>
            <w:tcW w:w="1055" w:type="dxa"/>
            <w:tcBorders/>
            <w:shd w:fill="E6EFFF" w:val="clear"/>
            <w:vAlign w:val="center"/>
          </w:tcPr>
          <w:p>
            <w:pPr>
              <w:pStyle w:val="TableContents"/>
              <w:bidi w:val="0"/>
              <w:spacing w:before="0" w:after="283"/>
              <w:jc w:val="center"/>
              <w:rPr/>
            </w:pPr>
            <w:r>
              <w:rPr/>
              <w:t>2,902,686</w:t>
            </w:r>
          </w:p>
        </w:tc>
      </w:tr>
      <w:tr>
        <w:trPr/>
        <w:tc>
          <w:tcPr>
            <w:tcW w:w="2105" w:type="dxa"/>
            <w:tcBorders/>
            <w:vAlign w:val="center"/>
          </w:tcPr>
          <w:p>
            <w:pPr>
              <w:pStyle w:val="TableContents"/>
              <w:bidi w:val="0"/>
              <w:spacing w:before="0" w:after="0"/>
              <w:jc w:val="left"/>
              <w:rPr/>
            </w:pPr>
            <w:r>
              <w:rPr/>
              <w:t>September 2023</w:t>
            </w:r>
          </w:p>
        </w:tc>
        <w:tc>
          <w:tcPr>
            <w:tcW w:w="6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center"/>
              <w:rPr/>
            </w:pPr>
            <w:r>
              <w:rPr/>
              <w:t>0.95</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0.405</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283"/>
              <w:jc w:val="center"/>
              <w:rPr/>
            </w:pPr>
            <w:r>
              <w:rPr/>
              <w:t>9,786,623</w:t>
            </w:r>
          </w:p>
        </w:tc>
      </w:tr>
      <w:tr>
        <w:trPr/>
        <w:tc>
          <w:tcPr>
            <w:tcW w:w="2105" w:type="dxa"/>
            <w:tcBorders/>
            <w:shd w:fill="E6EFFF" w:val="clear"/>
            <w:vAlign w:val="center"/>
          </w:tcPr>
          <w:p>
            <w:pPr>
              <w:pStyle w:val="TableContents"/>
              <w:bidi w:val="0"/>
              <w:spacing w:before="0" w:after="0"/>
              <w:jc w:val="left"/>
              <w:rPr/>
            </w:pPr>
            <w:r>
              <w:rPr/>
              <w:t>October 2023</w:t>
            </w:r>
          </w:p>
        </w:tc>
        <w:tc>
          <w:tcPr>
            <w:tcW w:w="60" w:type="dxa"/>
            <w:tcBorders/>
            <w:shd w:fill="E6EFFF" w:val="clear"/>
            <w:vAlign w:val="center"/>
          </w:tcPr>
          <w:p>
            <w:pPr>
              <w:pStyle w:val="TableContents"/>
              <w:bidi w:val="0"/>
              <w:spacing w:before="0" w:after="0"/>
              <w:jc w:val="left"/>
              <w:rPr/>
            </w:pPr>
            <w:r>
              <w:rPr/>
              <w:t> </w:t>
            </w:r>
          </w:p>
        </w:tc>
        <w:tc>
          <w:tcPr>
            <w:tcW w:w="1070" w:type="dxa"/>
            <w:tcBorders/>
            <w:shd w:fill="E6EFFF" w:val="clear"/>
            <w:vAlign w:val="center"/>
          </w:tcPr>
          <w:p>
            <w:pPr>
              <w:pStyle w:val="TableContents"/>
              <w:bidi w:val="0"/>
              <w:spacing w:before="0" w:after="283"/>
              <w:jc w:val="center"/>
              <w:rPr/>
            </w:pPr>
            <w:r>
              <w:rPr/>
              <w:t>0.95</w:t>
            </w:r>
          </w:p>
        </w:tc>
        <w:tc>
          <w:tcPr>
            <w:tcW w:w="60" w:type="dxa"/>
            <w:tcBorders/>
            <w:shd w:fill="E6EFFF" w:val="clear"/>
            <w:vAlign w:val="center"/>
          </w:tcPr>
          <w:p>
            <w:pPr>
              <w:pStyle w:val="TableContents"/>
              <w:bidi w:val="0"/>
              <w:spacing w:before="0" w:after="283"/>
              <w:jc w:val="center"/>
              <w:rPr/>
            </w:pPr>
            <w:r>
              <w:rPr/>
              <w:t> </w:t>
            </w:r>
          </w:p>
        </w:tc>
        <w:tc>
          <w:tcPr>
            <w:tcW w:w="1040" w:type="dxa"/>
            <w:tcBorders/>
            <w:shd w:fill="E6EFFF" w:val="clear"/>
            <w:vAlign w:val="center"/>
          </w:tcPr>
          <w:p>
            <w:pPr>
              <w:pStyle w:val="TableContents"/>
              <w:bidi w:val="0"/>
              <w:spacing w:before="0" w:after="283"/>
              <w:jc w:val="center"/>
              <w:rPr/>
            </w:pPr>
            <w:r>
              <w:rPr/>
              <w:t>0.58</w:t>
            </w:r>
          </w:p>
        </w:tc>
        <w:tc>
          <w:tcPr>
            <w:tcW w:w="60" w:type="dxa"/>
            <w:tcBorders/>
            <w:shd w:fill="E6EFFF" w:val="clear"/>
            <w:vAlign w:val="center"/>
          </w:tcPr>
          <w:p>
            <w:pPr>
              <w:pStyle w:val="TableContents"/>
              <w:bidi w:val="0"/>
              <w:spacing w:before="0" w:after="283"/>
              <w:jc w:val="center"/>
              <w:rPr/>
            </w:pPr>
            <w:r>
              <w:rPr/>
              <w:t> </w:t>
            </w:r>
          </w:p>
        </w:tc>
        <w:tc>
          <w:tcPr>
            <w:tcW w:w="1055" w:type="dxa"/>
            <w:tcBorders/>
            <w:shd w:fill="E6EFFF" w:val="clear"/>
            <w:vAlign w:val="center"/>
          </w:tcPr>
          <w:p>
            <w:pPr>
              <w:pStyle w:val="TableContents"/>
              <w:bidi w:val="0"/>
              <w:spacing w:before="0" w:after="283"/>
              <w:jc w:val="center"/>
              <w:rPr/>
            </w:pPr>
            <w:r>
              <w:rPr/>
              <w:t>7,844,981</w:t>
            </w:r>
          </w:p>
        </w:tc>
      </w:tr>
      <w:tr>
        <w:trPr/>
        <w:tc>
          <w:tcPr>
            <w:tcW w:w="2105" w:type="dxa"/>
            <w:tcBorders/>
            <w:vAlign w:val="center"/>
          </w:tcPr>
          <w:p>
            <w:pPr>
              <w:pStyle w:val="TableContents"/>
              <w:bidi w:val="0"/>
              <w:spacing w:before="0" w:after="0"/>
              <w:jc w:val="left"/>
              <w:rPr/>
            </w:pPr>
            <w:r>
              <w:rPr/>
              <w:t>November (1-9) 2023</w:t>
            </w:r>
          </w:p>
        </w:tc>
        <w:tc>
          <w:tcPr>
            <w:tcW w:w="6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jc w:val="center"/>
              <w:rPr/>
            </w:pPr>
            <w:r>
              <w:rPr/>
              <w:t>0.91</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0.69</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283"/>
              <w:jc w:val="center"/>
              <w:rPr/>
            </w:pPr>
            <w:r>
              <w:rPr/>
              <w:t>1,946,513</w:t>
            </w:r>
          </w:p>
        </w:tc>
      </w:tr>
    </w:tbl>
    <w:p>
      <w:pPr>
        <w:pStyle w:val="TextBody"/>
        <w:bidi w:val="0"/>
        <w:ind w:left="0" w:right="0" w:firstLine="425"/>
        <w:jc w:val="both"/>
        <w:rPr/>
      </w:pPr>
      <w:r>
        <w:rPr>
          <w:b/>
          <w:u w:val="single"/>
        </w:rPr>
        <w:t>Notes</w:t>
      </w:r>
      <w:r>
        <w:rPr/>
        <w:t>:</w:t>
      </w:r>
    </w:p>
    <w:p>
      <w:pPr>
        <w:pStyle w:val="TextBody"/>
        <w:bidi w:val="0"/>
        <w:ind w:left="720" w:right="0" w:hanging="0"/>
        <w:jc w:val="both"/>
        <w:rPr/>
      </w:pPr>
      <w:r>
        <w:rPr/>
        <w:t>(1) Source: TMX Money as of the date of this Prospectus Supplement.</w:t>
      </w:r>
    </w:p>
    <w:p>
      <w:pPr>
        <w:pStyle w:val="TextBody"/>
        <w:bidi w:val="0"/>
        <w:jc w:val="both"/>
        <w:rPr/>
      </w:pPr>
      <w:r>
        <w:rPr/>
        <w:t>On November 9, 2023, being the last day on which the Common Shares traded prior to the date of this Prospectus Supplement, the closing price of the Common Shares as reported on the NEO was $0.70.</w:t>
      </w:r>
    </w:p>
    <w:tbl>
      <w:tblPr>
        <w:tblW w:w="6260" w:type="dxa"/>
        <w:jc w:val="left"/>
        <w:tblInd w:w="0" w:type="dxa"/>
        <w:tblLayout w:type="fixed"/>
        <w:tblCellMar>
          <w:top w:w="0" w:type="dxa"/>
          <w:left w:w="0" w:type="dxa"/>
          <w:bottom w:w="0" w:type="dxa"/>
          <w:right w:w="0" w:type="dxa"/>
        </w:tblCellMar>
      </w:tblPr>
      <w:tblGrid>
        <w:gridCol w:w="2105"/>
        <w:gridCol w:w="60"/>
        <w:gridCol w:w="1385"/>
        <w:gridCol w:w="60"/>
        <w:gridCol w:w="1355"/>
        <w:gridCol w:w="60"/>
        <w:gridCol w:w="1235"/>
      </w:tblGrid>
      <w:tr>
        <w:trPr/>
        <w:tc>
          <w:tcPr>
            <w:tcW w:w="6260" w:type="dxa"/>
            <w:gridSpan w:val="7"/>
            <w:tcBorders/>
            <w:vAlign w:val="center"/>
          </w:tcPr>
          <w:p>
            <w:pPr>
              <w:pStyle w:val="TableContents"/>
              <w:bidi w:val="0"/>
              <w:spacing w:before="0" w:after="283"/>
              <w:jc w:val="center"/>
              <w:rPr/>
            </w:pPr>
            <w:r>
              <w:rPr>
                <w:b/>
              </w:rPr>
              <w:t>NYSE American Price Range</w:t>
            </w:r>
            <w:r>
              <w:rPr/>
              <w:t> </w:t>
            </w:r>
          </w:p>
        </w:tc>
      </w:tr>
      <w:tr>
        <w:trPr/>
        <w:tc>
          <w:tcPr>
            <w:tcW w:w="6260" w:type="dxa"/>
            <w:gridSpan w:val="7"/>
            <w:tcBorders/>
            <w:vAlign w:val="center"/>
          </w:tcPr>
          <w:p>
            <w:pPr>
              <w:pStyle w:val="TableContents"/>
              <w:bidi w:val="0"/>
              <w:spacing w:before="0" w:after="283"/>
              <w:jc w:val="left"/>
              <w:rPr/>
            </w:pPr>
            <w:r>
              <w:rPr/>
              <w:t> </w:t>
            </w:r>
          </w:p>
        </w:tc>
      </w:tr>
      <w:tr>
        <w:trPr/>
        <w:tc>
          <w:tcPr>
            <w:tcW w:w="2105" w:type="dxa"/>
            <w:tcBorders>
              <w:bottom w:val="single" w:sz="6" w:space="0" w:color="000000"/>
            </w:tcBorders>
            <w:tcMar>
              <w:bottom w:w="28" w:type="dxa"/>
            </w:tcMar>
            <w:vAlign w:val="center"/>
          </w:tcPr>
          <w:p>
            <w:pPr>
              <w:pStyle w:val="TableContents"/>
              <w:bidi w:val="0"/>
              <w:spacing w:before="0" w:after="283"/>
              <w:jc w:val="center"/>
              <w:rPr>
                <w:b/>
              </w:rPr>
            </w:pPr>
            <w:r>
              <w:rPr>
                <w:b/>
              </w:rPr>
              <w:t>Month</w:t>
            </w:r>
          </w:p>
        </w:tc>
        <w:tc>
          <w:tcPr>
            <w:tcW w:w="60" w:type="dxa"/>
            <w:tcBorders/>
            <w:vAlign w:val="center"/>
          </w:tcPr>
          <w:p>
            <w:pPr>
              <w:pStyle w:val="TableContents"/>
              <w:bidi w:val="0"/>
              <w:spacing w:before="0" w:after="283"/>
              <w:jc w:val="center"/>
              <w:rPr/>
            </w:pPr>
            <w:r>
              <w:rPr/>
              <w:t> </w:t>
            </w:r>
          </w:p>
        </w:tc>
        <w:tc>
          <w:tcPr>
            <w:tcW w:w="1385" w:type="dxa"/>
            <w:tcBorders>
              <w:bottom w:val="single" w:sz="6" w:space="0" w:color="000000"/>
            </w:tcBorders>
            <w:tcMar>
              <w:bottom w:w="28" w:type="dxa"/>
            </w:tcMar>
            <w:vAlign w:val="center"/>
          </w:tcPr>
          <w:p>
            <w:pPr>
              <w:pStyle w:val="TableContents"/>
              <w:bidi w:val="0"/>
              <w:spacing w:before="0" w:after="283"/>
              <w:jc w:val="center"/>
              <w:rPr/>
            </w:pPr>
            <w:r>
              <w:rPr>
                <w:b/>
              </w:rPr>
              <w:t>High</w:t>
            </w:r>
            <w:r>
              <w:rPr/>
              <w:t xml:space="preserve"> (US$)</w:t>
            </w:r>
            <w:r>
              <w:rPr>
                <w:b/>
                <w:position w:val="8"/>
                <w:sz w:val="19"/>
              </w:rPr>
              <w:t>(1)</w:t>
            </w:r>
          </w:p>
        </w:tc>
        <w:tc>
          <w:tcPr>
            <w:tcW w:w="60" w:type="dxa"/>
            <w:tcBorders/>
            <w:vAlign w:val="center"/>
          </w:tcPr>
          <w:p>
            <w:pPr>
              <w:pStyle w:val="TableContents"/>
              <w:bidi w:val="0"/>
              <w:spacing w:before="0" w:after="283"/>
              <w:jc w:val="center"/>
              <w:rPr/>
            </w:pPr>
            <w:r>
              <w:rPr/>
              <w:t> </w:t>
            </w:r>
          </w:p>
        </w:tc>
        <w:tc>
          <w:tcPr>
            <w:tcW w:w="1355" w:type="dxa"/>
            <w:tcBorders>
              <w:bottom w:val="single" w:sz="6" w:space="0" w:color="000000"/>
            </w:tcBorders>
            <w:tcMar>
              <w:bottom w:w="28" w:type="dxa"/>
            </w:tcMar>
            <w:vAlign w:val="center"/>
          </w:tcPr>
          <w:p>
            <w:pPr>
              <w:pStyle w:val="TableContents"/>
              <w:bidi w:val="0"/>
              <w:spacing w:before="0" w:after="283"/>
              <w:jc w:val="center"/>
              <w:rPr/>
            </w:pPr>
            <w:r>
              <w:rPr>
                <w:b/>
              </w:rPr>
              <w:t xml:space="preserve">Low </w:t>
            </w:r>
            <w:r>
              <w:rPr/>
              <w:t>(US$)</w:t>
            </w:r>
            <w:r>
              <w:rPr>
                <w:b/>
                <w:position w:val="8"/>
                <w:sz w:val="19"/>
              </w:rPr>
              <w:t>(1)</w:t>
            </w:r>
          </w:p>
        </w:tc>
        <w:tc>
          <w:tcPr>
            <w:tcW w:w="60" w:type="dxa"/>
            <w:tcBorders/>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b/>
              </w:rPr>
              <w:t>Volume</w:t>
            </w:r>
            <w:r>
              <w:rPr>
                <w:b/>
                <w:position w:val="8"/>
                <w:sz w:val="19"/>
              </w:rPr>
              <w:t>(1)</w:t>
            </w:r>
          </w:p>
        </w:tc>
      </w:tr>
      <w:tr>
        <w:trPr/>
        <w:tc>
          <w:tcPr>
            <w:tcW w:w="210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center"/>
              <w:rPr/>
            </w:pPr>
            <w:r>
              <w:rPr/>
              <w:t> </w:t>
            </w:r>
          </w:p>
        </w:tc>
        <w:tc>
          <w:tcPr>
            <w:tcW w:w="1385" w:type="dxa"/>
            <w:tcBorders>
              <w:top w:val="single" w:sz="6" w:space="0" w:color="000000"/>
            </w:tcBorders>
            <w:tcMar>
              <w:top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tcBorders>
              <w:top w:val="single" w:sz="6" w:space="0" w:color="000000"/>
            </w:tcBorders>
            <w:tcMar>
              <w:top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0"/>
              <w:jc w:val="left"/>
              <w:rPr/>
            </w:pPr>
            <w:r>
              <w:rPr/>
              <w:t> </w:t>
            </w:r>
          </w:p>
        </w:tc>
      </w:tr>
      <w:tr>
        <w:trPr/>
        <w:tc>
          <w:tcPr>
            <w:tcW w:w="2105" w:type="dxa"/>
            <w:tcBorders/>
            <w:shd w:fill="E6EFFF" w:val="clear"/>
            <w:vAlign w:val="center"/>
          </w:tcPr>
          <w:p>
            <w:pPr>
              <w:pStyle w:val="TableContents"/>
              <w:bidi w:val="0"/>
              <w:spacing w:before="0" w:after="0"/>
              <w:jc w:val="left"/>
              <w:rPr/>
            </w:pPr>
            <w:r>
              <w:rPr/>
              <w:t>December 2022</w:t>
            </w:r>
          </w:p>
        </w:tc>
        <w:tc>
          <w:tcPr>
            <w:tcW w:w="60" w:type="dxa"/>
            <w:tcBorders/>
            <w:shd w:fill="E6EFFF" w:val="clear"/>
            <w:vAlign w:val="center"/>
          </w:tcPr>
          <w:p>
            <w:pPr>
              <w:pStyle w:val="TableContents"/>
              <w:bidi w:val="0"/>
              <w:spacing w:before="0" w:after="0"/>
              <w:jc w:val="left"/>
              <w:rPr/>
            </w:pPr>
            <w:r>
              <w:rPr/>
              <w:t> </w:t>
            </w:r>
          </w:p>
        </w:tc>
        <w:tc>
          <w:tcPr>
            <w:tcW w:w="1385" w:type="dxa"/>
            <w:tcBorders/>
            <w:shd w:fill="E6EFFF" w:val="clear"/>
            <w:vAlign w:val="center"/>
          </w:tcPr>
          <w:p>
            <w:pPr>
              <w:pStyle w:val="TableContents"/>
              <w:bidi w:val="0"/>
              <w:spacing w:before="0" w:after="283"/>
              <w:jc w:val="center"/>
              <w:rPr/>
            </w:pPr>
            <w:r>
              <w:rPr/>
              <w:t>0.3888</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0.2649</w:t>
            </w:r>
          </w:p>
        </w:tc>
        <w:tc>
          <w:tcPr>
            <w:tcW w:w="60" w:type="dxa"/>
            <w:tcBorders/>
            <w:shd w:fill="E6EFFF" w:val="clear"/>
            <w:vAlign w:val="center"/>
          </w:tcPr>
          <w:p>
            <w:pPr>
              <w:pStyle w:val="TableContents"/>
              <w:bidi w:val="0"/>
              <w:spacing w:before="0" w:after="283"/>
              <w:jc w:val="center"/>
              <w:rPr/>
            </w:pPr>
            <w:r>
              <w:rPr/>
              <w:t> </w:t>
            </w:r>
          </w:p>
        </w:tc>
        <w:tc>
          <w:tcPr>
            <w:tcW w:w="1235" w:type="dxa"/>
            <w:tcBorders/>
            <w:shd w:fill="E6EFFF" w:val="clear"/>
            <w:vAlign w:val="center"/>
          </w:tcPr>
          <w:p>
            <w:pPr>
              <w:pStyle w:val="TableContents"/>
              <w:bidi w:val="0"/>
              <w:spacing w:before="0" w:after="283"/>
              <w:jc w:val="center"/>
              <w:rPr/>
            </w:pPr>
            <w:r>
              <w:rPr/>
              <w:t>23,739,104</w:t>
            </w:r>
          </w:p>
        </w:tc>
      </w:tr>
      <w:tr>
        <w:trPr/>
        <w:tc>
          <w:tcPr>
            <w:tcW w:w="2105" w:type="dxa"/>
            <w:tcBorders/>
            <w:vAlign w:val="center"/>
          </w:tcPr>
          <w:p>
            <w:pPr>
              <w:pStyle w:val="TableContents"/>
              <w:bidi w:val="0"/>
              <w:spacing w:before="0" w:after="0"/>
              <w:jc w:val="left"/>
              <w:rPr/>
            </w:pPr>
            <w:r>
              <w:rPr/>
              <w:t>January 2023</w:t>
            </w:r>
          </w:p>
        </w:tc>
        <w:tc>
          <w:tcPr>
            <w:tcW w:w="6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center"/>
              <w:rPr/>
            </w:pPr>
            <w:r>
              <w:rPr/>
              <w:t>0.62</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0.2971</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38,677,475</w:t>
            </w:r>
          </w:p>
        </w:tc>
      </w:tr>
      <w:tr>
        <w:trPr/>
        <w:tc>
          <w:tcPr>
            <w:tcW w:w="2105" w:type="dxa"/>
            <w:tcBorders/>
            <w:shd w:fill="E6EFFF" w:val="clear"/>
            <w:vAlign w:val="center"/>
          </w:tcPr>
          <w:p>
            <w:pPr>
              <w:pStyle w:val="TableContents"/>
              <w:bidi w:val="0"/>
              <w:spacing w:before="0" w:after="0"/>
              <w:jc w:val="left"/>
              <w:rPr/>
            </w:pPr>
            <w:r>
              <w:rPr/>
              <w:t>February 2023</w:t>
            </w:r>
          </w:p>
        </w:tc>
        <w:tc>
          <w:tcPr>
            <w:tcW w:w="60" w:type="dxa"/>
            <w:tcBorders/>
            <w:shd w:fill="E6EFFF" w:val="clear"/>
            <w:vAlign w:val="center"/>
          </w:tcPr>
          <w:p>
            <w:pPr>
              <w:pStyle w:val="TableContents"/>
              <w:bidi w:val="0"/>
              <w:spacing w:before="0" w:after="0"/>
              <w:jc w:val="left"/>
              <w:rPr/>
            </w:pPr>
            <w:r>
              <w:rPr/>
              <w:t> </w:t>
            </w:r>
          </w:p>
        </w:tc>
        <w:tc>
          <w:tcPr>
            <w:tcW w:w="1385" w:type="dxa"/>
            <w:tcBorders/>
            <w:shd w:fill="E6EFFF" w:val="clear"/>
            <w:vAlign w:val="center"/>
          </w:tcPr>
          <w:p>
            <w:pPr>
              <w:pStyle w:val="TableContents"/>
              <w:bidi w:val="0"/>
              <w:spacing w:before="0" w:after="283"/>
              <w:jc w:val="center"/>
              <w:rPr/>
            </w:pPr>
            <w:r>
              <w:rPr/>
              <w:t>0.60</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0.385</w:t>
            </w:r>
          </w:p>
        </w:tc>
        <w:tc>
          <w:tcPr>
            <w:tcW w:w="60" w:type="dxa"/>
            <w:tcBorders/>
            <w:shd w:fill="E6EFFF" w:val="clear"/>
            <w:vAlign w:val="center"/>
          </w:tcPr>
          <w:p>
            <w:pPr>
              <w:pStyle w:val="TableContents"/>
              <w:bidi w:val="0"/>
              <w:spacing w:before="0" w:after="283"/>
              <w:jc w:val="center"/>
              <w:rPr/>
            </w:pPr>
            <w:r>
              <w:rPr/>
              <w:t> </w:t>
            </w:r>
          </w:p>
        </w:tc>
        <w:tc>
          <w:tcPr>
            <w:tcW w:w="1235" w:type="dxa"/>
            <w:tcBorders/>
            <w:shd w:fill="E6EFFF" w:val="clear"/>
            <w:vAlign w:val="center"/>
          </w:tcPr>
          <w:p>
            <w:pPr>
              <w:pStyle w:val="TableContents"/>
              <w:bidi w:val="0"/>
              <w:spacing w:before="0" w:after="283"/>
              <w:jc w:val="center"/>
              <w:rPr/>
            </w:pPr>
            <w:r>
              <w:rPr/>
              <w:t>35,754,753</w:t>
            </w:r>
          </w:p>
        </w:tc>
      </w:tr>
      <w:tr>
        <w:trPr/>
        <w:tc>
          <w:tcPr>
            <w:tcW w:w="2105" w:type="dxa"/>
            <w:tcBorders/>
            <w:vAlign w:val="center"/>
          </w:tcPr>
          <w:p>
            <w:pPr>
              <w:pStyle w:val="TableContents"/>
              <w:bidi w:val="0"/>
              <w:spacing w:before="0" w:after="0"/>
              <w:jc w:val="left"/>
              <w:rPr/>
            </w:pPr>
            <w:r>
              <w:rPr/>
              <w:t>March 2023</w:t>
            </w:r>
          </w:p>
        </w:tc>
        <w:tc>
          <w:tcPr>
            <w:tcW w:w="6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center"/>
              <w:rPr/>
            </w:pPr>
            <w:r>
              <w:rPr/>
              <w:t>0.50</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0.35</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28,943,897</w:t>
            </w:r>
          </w:p>
        </w:tc>
      </w:tr>
      <w:tr>
        <w:trPr/>
        <w:tc>
          <w:tcPr>
            <w:tcW w:w="2105" w:type="dxa"/>
            <w:tcBorders/>
            <w:shd w:fill="E6EFFF" w:val="clear"/>
            <w:vAlign w:val="center"/>
          </w:tcPr>
          <w:p>
            <w:pPr>
              <w:pStyle w:val="TableContents"/>
              <w:bidi w:val="0"/>
              <w:spacing w:before="0" w:after="0"/>
              <w:jc w:val="left"/>
              <w:rPr/>
            </w:pPr>
            <w:r>
              <w:rPr/>
              <w:t>April 2023</w:t>
            </w:r>
          </w:p>
        </w:tc>
        <w:tc>
          <w:tcPr>
            <w:tcW w:w="60" w:type="dxa"/>
            <w:tcBorders/>
            <w:shd w:fill="E6EFFF" w:val="clear"/>
            <w:vAlign w:val="center"/>
          </w:tcPr>
          <w:p>
            <w:pPr>
              <w:pStyle w:val="TableContents"/>
              <w:bidi w:val="0"/>
              <w:spacing w:before="0" w:after="0"/>
              <w:jc w:val="left"/>
              <w:rPr/>
            </w:pPr>
            <w:r>
              <w:rPr/>
              <w:t> </w:t>
            </w:r>
          </w:p>
        </w:tc>
        <w:tc>
          <w:tcPr>
            <w:tcW w:w="1385" w:type="dxa"/>
            <w:tcBorders/>
            <w:shd w:fill="E6EFFF" w:val="clear"/>
            <w:vAlign w:val="center"/>
          </w:tcPr>
          <w:p>
            <w:pPr>
              <w:pStyle w:val="TableContents"/>
              <w:bidi w:val="0"/>
              <w:spacing w:before="0" w:after="283"/>
              <w:jc w:val="center"/>
              <w:rPr/>
            </w:pPr>
            <w:r>
              <w:rPr/>
              <w:t>0.4046</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0.29</w:t>
            </w:r>
          </w:p>
        </w:tc>
        <w:tc>
          <w:tcPr>
            <w:tcW w:w="60" w:type="dxa"/>
            <w:tcBorders/>
            <w:shd w:fill="E6EFFF" w:val="clear"/>
            <w:vAlign w:val="center"/>
          </w:tcPr>
          <w:p>
            <w:pPr>
              <w:pStyle w:val="TableContents"/>
              <w:bidi w:val="0"/>
              <w:spacing w:before="0" w:after="283"/>
              <w:jc w:val="center"/>
              <w:rPr/>
            </w:pPr>
            <w:r>
              <w:rPr/>
              <w:t> </w:t>
            </w:r>
          </w:p>
        </w:tc>
        <w:tc>
          <w:tcPr>
            <w:tcW w:w="1235" w:type="dxa"/>
            <w:tcBorders/>
            <w:shd w:fill="E6EFFF" w:val="clear"/>
            <w:vAlign w:val="center"/>
          </w:tcPr>
          <w:p>
            <w:pPr>
              <w:pStyle w:val="TableContents"/>
              <w:bidi w:val="0"/>
              <w:spacing w:before="0" w:after="283"/>
              <w:jc w:val="center"/>
              <w:rPr/>
            </w:pPr>
            <w:r>
              <w:rPr/>
              <w:t>18,366,468</w:t>
            </w:r>
          </w:p>
        </w:tc>
      </w:tr>
      <w:tr>
        <w:trPr/>
        <w:tc>
          <w:tcPr>
            <w:tcW w:w="2105" w:type="dxa"/>
            <w:tcBorders/>
            <w:vAlign w:val="center"/>
          </w:tcPr>
          <w:p>
            <w:pPr>
              <w:pStyle w:val="TableContents"/>
              <w:bidi w:val="0"/>
              <w:spacing w:before="0" w:after="0"/>
              <w:jc w:val="left"/>
              <w:rPr/>
            </w:pPr>
            <w:r>
              <w:rPr/>
              <w:t>May 2023</w:t>
            </w:r>
          </w:p>
        </w:tc>
        <w:tc>
          <w:tcPr>
            <w:tcW w:w="6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center"/>
              <w:rPr/>
            </w:pPr>
            <w:r>
              <w:rPr/>
              <w:t>0.3466</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0.2552</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26,443,776</w:t>
            </w:r>
          </w:p>
        </w:tc>
      </w:tr>
      <w:tr>
        <w:trPr/>
        <w:tc>
          <w:tcPr>
            <w:tcW w:w="2105" w:type="dxa"/>
            <w:tcBorders/>
            <w:shd w:fill="E6EFFF" w:val="clear"/>
            <w:vAlign w:val="center"/>
          </w:tcPr>
          <w:p>
            <w:pPr>
              <w:pStyle w:val="TableContents"/>
              <w:bidi w:val="0"/>
              <w:spacing w:before="0" w:after="0"/>
              <w:jc w:val="left"/>
              <w:rPr/>
            </w:pPr>
            <w:r>
              <w:rPr/>
              <w:t>June 2023</w:t>
            </w:r>
          </w:p>
        </w:tc>
        <w:tc>
          <w:tcPr>
            <w:tcW w:w="60" w:type="dxa"/>
            <w:tcBorders/>
            <w:shd w:fill="E6EFFF" w:val="clear"/>
            <w:vAlign w:val="center"/>
          </w:tcPr>
          <w:p>
            <w:pPr>
              <w:pStyle w:val="TableContents"/>
              <w:bidi w:val="0"/>
              <w:spacing w:before="0" w:after="0"/>
              <w:jc w:val="left"/>
              <w:rPr/>
            </w:pPr>
            <w:r>
              <w:rPr/>
              <w:t> </w:t>
            </w:r>
          </w:p>
        </w:tc>
        <w:tc>
          <w:tcPr>
            <w:tcW w:w="1385" w:type="dxa"/>
            <w:tcBorders/>
            <w:shd w:fill="E6EFFF" w:val="clear"/>
            <w:vAlign w:val="center"/>
          </w:tcPr>
          <w:p>
            <w:pPr>
              <w:pStyle w:val="TableContents"/>
              <w:bidi w:val="0"/>
              <w:spacing w:before="0" w:after="283"/>
              <w:jc w:val="center"/>
              <w:rPr/>
            </w:pPr>
            <w:r>
              <w:rPr/>
              <w:t>0.39</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0.21</w:t>
            </w:r>
          </w:p>
        </w:tc>
        <w:tc>
          <w:tcPr>
            <w:tcW w:w="60" w:type="dxa"/>
            <w:tcBorders/>
            <w:shd w:fill="E6EFFF" w:val="clear"/>
            <w:vAlign w:val="center"/>
          </w:tcPr>
          <w:p>
            <w:pPr>
              <w:pStyle w:val="TableContents"/>
              <w:bidi w:val="0"/>
              <w:spacing w:before="0" w:after="283"/>
              <w:jc w:val="center"/>
              <w:rPr/>
            </w:pPr>
            <w:r>
              <w:rPr/>
              <w:t> </w:t>
            </w:r>
          </w:p>
        </w:tc>
        <w:tc>
          <w:tcPr>
            <w:tcW w:w="1235" w:type="dxa"/>
            <w:tcBorders/>
            <w:shd w:fill="E6EFFF" w:val="clear"/>
            <w:vAlign w:val="center"/>
          </w:tcPr>
          <w:p>
            <w:pPr>
              <w:pStyle w:val="TableContents"/>
              <w:bidi w:val="0"/>
              <w:spacing w:before="0" w:after="283"/>
              <w:jc w:val="center"/>
              <w:rPr/>
            </w:pPr>
            <w:r>
              <w:rPr/>
              <w:t>49,472,709</w:t>
            </w:r>
          </w:p>
        </w:tc>
      </w:tr>
      <w:tr>
        <w:trPr/>
        <w:tc>
          <w:tcPr>
            <w:tcW w:w="2105" w:type="dxa"/>
            <w:tcBorders/>
            <w:vAlign w:val="center"/>
          </w:tcPr>
          <w:p>
            <w:pPr>
              <w:pStyle w:val="TableContents"/>
              <w:bidi w:val="0"/>
              <w:spacing w:before="0" w:after="0"/>
              <w:jc w:val="left"/>
              <w:rPr/>
            </w:pPr>
            <w:r>
              <w:rPr/>
              <w:t>July 2023</w:t>
            </w:r>
          </w:p>
        </w:tc>
        <w:tc>
          <w:tcPr>
            <w:tcW w:w="6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center"/>
              <w:rPr/>
            </w:pPr>
            <w:r>
              <w:rPr/>
              <w:t>0.53</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0.3689</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54,877,677</w:t>
            </w:r>
          </w:p>
        </w:tc>
      </w:tr>
      <w:tr>
        <w:trPr/>
        <w:tc>
          <w:tcPr>
            <w:tcW w:w="2105" w:type="dxa"/>
            <w:tcBorders/>
            <w:shd w:fill="E6EFFF" w:val="clear"/>
            <w:vAlign w:val="center"/>
          </w:tcPr>
          <w:p>
            <w:pPr>
              <w:pStyle w:val="TableContents"/>
              <w:bidi w:val="0"/>
              <w:spacing w:before="0" w:after="0"/>
              <w:jc w:val="left"/>
              <w:rPr/>
            </w:pPr>
            <w:r>
              <w:rPr/>
              <w:t>August 2023</w:t>
            </w:r>
          </w:p>
        </w:tc>
        <w:tc>
          <w:tcPr>
            <w:tcW w:w="60" w:type="dxa"/>
            <w:tcBorders/>
            <w:shd w:fill="E6EFFF" w:val="clear"/>
            <w:vAlign w:val="center"/>
          </w:tcPr>
          <w:p>
            <w:pPr>
              <w:pStyle w:val="TableContents"/>
              <w:bidi w:val="0"/>
              <w:spacing w:before="0" w:after="0"/>
              <w:jc w:val="left"/>
              <w:rPr/>
            </w:pPr>
            <w:r>
              <w:rPr/>
              <w:t> </w:t>
            </w:r>
          </w:p>
        </w:tc>
        <w:tc>
          <w:tcPr>
            <w:tcW w:w="1385" w:type="dxa"/>
            <w:tcBorders/>
            <w:shd w:fill="E6EFFF" w:val="clear"/>
            <w:vAlign w:val="center"/>
          </w:tcPr>
          <w:p>
            <w:pPr>
              <w:pStyle w:val="TableContents"/>
              <w:bidi w:val="0"/>
              <w:spacing w:before="0" w:after="283"/>
              <w:jc w:val="center"/>
              <w:rPr/>
            </w:pPr>
            <w:r>
              <w:rPr/>
              <w:t>0.37</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0.275</w:t>
            </w:r>
          </w:p>
        </w:tc>
        <w:tc>
          <w:tcPr>
            <w:tcW w:w="60" w:type="dxa"/>
            <w:tcBorders/>
            <w:shd w:fill="E6EFFF" w:val="clear"/>
            <w:vAlign w:val="center"/>
          </w:tcPr>
          <w:p>
            <w:pPr>
              <w:pStyle w:val="TableContents"/>
              <w:bidi w:val="0"/>
              <w:spacing w:before="0" w:after="283"/>
              <w:jc w:val="center"/>
              <w:rPr/>
            </w:pPr>
            <w:r>
              <w:rPr/>
              <w:t> </w:t>
            </w:r>
          </w:p>
        </w:tc>
        <w:tc>
          <w:tcPr>
            <w:tcW w:w="1235" w:type="dxa"/>
            <w:tcBorders/>
            <w:shd w:fill="E6EFFF" w:val="clear"/>
            <w:vAlign w:val="center"/>
          </w:tcPr>
          <w:p>
            <w:pPr>
              <w:pStyle w:val="TableContents"/>
              <w:bidi w:val="0"/>
              <w:spacing w:before="0" w:after="283"/>
              <w:jc w:val="center"/>
              <w:rPr/>
            </w:pPr>
            <w:r>
              <w:rPr/>
              <w:t>68,425,653</w:t>
            </w:r>
          </w:p>
        </w:tc>
      </w:tr>
      <w:tr>
        <w:trPr/>
        <w:tc>
          <w:tcPr>
            <w:tcW w:w="2105" w:type="dxa"/>
            <w:tcBorders/>
            <w:vAlign w:val="center"/>
          </w:tcPr>
          <w:p>
            <w:pPr>
              <w:pStyle w:val="TableContents"/>
              <w:bidi w:val="0"/>
              <w:spacing w:before="0" w:after="0"/>
              <w:jc w:val="left"/>
              <w:rPr/>
            </w:pPr>
            <w:r>
              <w:rPr/>
              <w:t>September 2023</w:t>
            </w:r>
          </w:p>
        </w:tc>
        <w:tc>
          <w:tcPr>
            <w:tcW w:w="6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center"/>
              <w:rPr/>
            </w:pPr>
            <w:r>
              <w:rPr/>
              <w:t>0.715</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0.30</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147,886,989</w:t>
            </w:r>
          </w:p>
        </w:tc>
      </w:tr>
      <w:tr>
        <w:trPr/>
        <w:tc>
          <w:tcPr>
            <w:tcW w:w="2105" w:type="dxa"/>
            <w:tcBorders/>
            <w:shd w:fill="E6EFFF" w:val="clear"/>
            <w:vAlign w:val="center"/>
          </w:tcPr>
          <w:p>
            <w:pPr>
              <w:pStyle w:val="TableContents"/>
              <w:bidi w:val="0"/>
              <w:spacing w:before="0" w:after="0"/>
              <w:jc w:val="left"/>
              <w:rPr/>
            </w:pPr>
            <w:r>
              <w:rPr/>
              <w:t>October 2023</w:t>
            </w:r>
          </w:p>
        </w:tc>
        <w:tc>
          <w:tcPr>
            <w:tcW w:w="60" w:type="dxa"/>
            <w:tcBorders/>
            <w:shd w:fill="E6EFFF" w:val="clear"/>
            <w:vAlign w:val="center"/>
          </w:tcPr>
          <w:p>
            <w:pPr>
              <w:pStyle w:val="TableContents"/>
              <w:bidi w:val="0"/>
              <w:spacing w:before="0" w:after="0"/>
              <w:jc w:val="left"/>
              <w:rPr/>
            </w:pPr>
            <w:r>
              <w:rPr/>
              <w:t> </w:t>
            </w:r>
          </w:p>
        </w:tc>
        <w:tc>
          <w:tcPr>
            <w:tcW w:w="1385" w:type="dxa"/>
            <w:tcBorders/>
            <w:shd w:fill="E6EFFF" w:val="clear"/>
            <w:vAlign w:val="center"/>
          </w:tcPr>
          <w:p>
            <w:pPr>
              <w:pStyle w:val="TableContents"/>
              <w:bidi w:val="0"/>
              <w:spacing w:before="0" w:after="283"/>
              <w:jc w:val="center"/>
              <w:rPr/>
            </w:pPr>
            <w:r>
              <w:rPr/>
              <w:t>0.738</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0.42</w:t>
            </w:r>
          </w:p>
        </w:tc>
        <w:tc>
          <w:tcPr>
            <w:tcW w:w="60" w:type="dxa"/>
            <w:tcBorders/>
            <w:shd w:fill="E6EFFF" w:val="clear"/>
            <w:vAlign w:val="center"/>
          </w:tcPr>
          <w:p>
            <w:pPr>
              <w:pStyle w:val="TableContents"/>
              <w:bidi w:val="0"/>
              <w:spacing w:before="0" w:after="283"/>
              <w:jc w:val="center"/>
              <w:rPr/>
            </w:pPr>
            <w:r>
              <w:rPr/>
              <w:t> </w:t>
            </w:r>
          </w:p>
        </w:tc>
        <w:tc>
          <w:tcPr>
            <w:tcW w:w="1235" w:type="dxa"/>
            <w:tcBorders/>
            <w:shd w:fill="E6EFFF" w:val="clear"/>
            <w:vAlign w:val="center"/>
          </w:tcPr>
          <w:p>
            <w:pPr>
              <w:pStyle w:val="TableContents"/>
              <w:bidi w:val="0"/>
              <w:spacing w:before="0" w:after="283"/>
              <w:jc w:val="center"/>
              <w:rPr/>
            </w:pPr>
            <w:r>
              <w:rPr/>
              <w:t>95,997,620</w:t>
            </w:r>
          </w:p>
        </w:tc>
      </w:tr>
      <w:tr>
        <w:trPr/>
        <w:tc>
          <w:tcPr>
            <w:tcW w:w="2105" w:type="dxa"/>
            <w:tcBorders/>
            <w:vAlign w:val="center"/>
          </w:tcPr>
          <w:p>
            <w:pPr>
              <w:pStyle w:val="TableContents"/>
              <w:bidi w:val="0"/>
              <w:spacing w:before="0" w:after="0"/>
              <w:jc w:val="left"/>
              <w:rPr/>
            </w:pPr>
            <w:r>
              <w:rPr/>
              <w:t>November (1-9) 2023</w:t>
            </w:r>
          </w:p>
        </w:tc>
        <w:tc>
          <w:tcPr>
            <w:tcW w:w="6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jc w:val="center"/>
              <w:rPr/>
            </w:pPr>
            <w:r>
              <w:rPr/>
              <w:t>0.6561</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0.495</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23,358,369</w:t>
            </w:r>
          </w:p>
        </w:tc>
      </w:tr>
    </w:tbl>
    <w:p>
      <w:pPr>
        <w:pStyle w:val="TextBody"/>
        <w:bidi w:val="0"/>
        <w:ind w:left="0" w:right="0" w:firstLine="425"/>
        <w:jc w:val="both"/>
        <w:rPr/>
      </w:pPr>
      <w:r>
        <w:rPr>
          <w:b/>
          <w:u w:val="single"/>
        </w:rPr>
        <w:t>Notes</w:t>
      </w:r>
      <w:r>
        <w:rPr/>
        <w:t>:</w:t>
      </w:r>
    </w:p>
    <w:p>
      <w:pPr>
        <w:pStyle w:val="TextBody"/>
        <w:bidi w:val="0"/>
        <w:ind w:left="720" w:right="0" w:hanging="0"/>
        <w:jc w:val="both"/>
        <w:rPr/>
      </w:pPr>
      <w:r>
        <w:rPr/>
        <w:t>(1) Source: The NYSE American as of the date of this Prospectus Supplement.</w:t>
      </w:r>
    </w:p>
    <w:p>
      <w:pPr>
        <w:pStyle w:val="TextBody"/>
        <w:bidi w:val="0"/>
        <w:jc w:val="both"/>
        <w:rPr/>
      </w:pPr>
      <w:r>
        <w:rPr/>
        <w:t>On November 9, 2023, being the last day on which the Common Shares traded prior to the date of this Prospectus Supplement, the closing price of the Common Shares as reported on the NYSE American was US$0.51.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35" w:name="page_22"/>
      <w:bookmarkEnd w:id="35"/>
      <w:r>
        <w:rPr>
          <w:b/>
        </w:rPr>
        <w:t>PRIOR SALES</w:t>
      </w:r>
    </w:p>
    <w:p>
      <w:pPr>
        <w:pStyle w:val="TextBody"/>
        <w:bidi w:val="0"/>
        <w:jc w:val="both"/>
        <w:rPr/>
      </w:pPr>
      <w:r>
        <w:rPr/>
        <w:t>The following table sets forth the details regarding all issuances of Common Shares, including issuances of all securities convertible or exchangeable into Common Shares, during the 12-month period before the date of this Prospectus Supplement:</w:t>
      </w:r>
    </w:p>
    <w:tbl>
      <w:tblPr>
        <w:tblW w:w="8735" w:type="dxa"/>
        <w:jc w:val="left"/>
        <w:tblInd w:w="0" w:type="dxa"/>
        <w:tblLayout w:type="fixed"/>
        <w:tblCellMar>
          <w:top w:w="0" w:type="dxa"/>
          <w:left w:w="0" w:type="dxa"/>
          <w:bottom w:w="0" w:type="dxa"/>
          <w:right w:w="0" w:type="dxa"/>
        </w:tblCellMar>
      </w:tblPr>
      <w:tblGrid>
        <w:gridCol w:w="2278"/>
        <w:gridCol w:w="1885"/>
        <w:gridCol w:w="1595"/>
        <w:gridCol w:w="2977"/>
      </w:tblGrid>
      <w:tr>
        <w:trPr/>
        <w:tc>
          <w:tcPr>
            <w:tcW w:w="2278" w:type="dxa"/>
            <w:tcBorders/>
            <w:vAlign w:val="center"/>
          </w:tcPr>
          <w:p>
            <w:pPr>
              <w:pStyle w:val="TableContents"/>
              <w:pBdr>
                <w:bottom w:val="single" w:sz="6" w:space="1" w:color="000000"/>
              </w:pBdr>
              <w:bidi w:val="0"/>
              <w:spacing w:before="0" w:after="0"/>
              <w:ind w:left="142" w:right="254" w:hanging="0"/>
              <w:jc w:val="center"/>
              <w:rPr>
                <w:b/>
              </w:rPr>
            </w:pPr>
            <w:r>
              <w:rPr>
                <w:b/>
              </w:rPr>
              <w:t>Date of Issuance</w:t>
            </w:r>
          </w:p>
        </w:tc>
        <w:tc>
          <w:tcPr>
            <w:tcW w:w="1885" w:type="dxa"/>
            <w:tcBorders/>
            <w:vAlign w:val="center"/>
          </w:tcPr>
          <w:p>
            <w:pPr>
              <w:pStyle w:val="TableContents"/>
              <w:pBdr>
                <w:bottom w:val="single" w:sz="6" w:space="1" w:color="000000"/>
              </w:pBdr>
              <w:bidi w:val="0"/>
              <w:spacing w:before="0" w:after="0"/>
              <w:ind w:left="171" w:right="185" w:hanging="0"/>
              <w:jc w:val="center"/>
              <w:rPr/>
            </w:pPr>
            <w:r>
              <w:rPr>
                <w:b/>
              </w:rPr>
              <w:t xml:space="preserve">Number of </w:t>
            </w:r>
            <w:r>
              <w:rPr/>
              <w:br/>
            </w:r>
            <w:r>
              <w:rPr>
                <w:b/>
              </w:rPr>
              <w:t>Securities Issued</w:t>
            </w:r>
          </w:p>
        </w:tc>
        <w:tc>
          <w:tcPr>
            <w:tcW w:w="1595" w:type="dxa"/>
            <w:tcBorders/>
            <w:vAlign w:val="center"/>
          </w:tcPr>
          <w:p>
            <w:pPr>
              <w:pStyle w:val="TableContents"/>
              <w:pBdr>
                <w:bottom w:val="single" w:sz="6" w:space="1" w:color="000000"/>
              </w:pBdr>
              <w:bidi w:val="0"/>
              <w:spacing w:before="0" w:after="0"/>
              <w:ind w:left="98" w:right="172" w:hanging="0"/>
              <w:jc w:val="center"/>
              <w:rPr>
                <w:b/>
              </w:rPr>
            </w:pPr>
            <w:r>
              <w:rPr>
                <w:b/>
              </w:rPr>
              <w:t>Type</w:t>
            </w:r>
          </w:p>
        </w:tc>
        <w:tc>
          <w:tcPr>
            <w:tcW w:w="2977" w:type="dxa"/>
            <w:tcBorders/>
            <w:vAlign w:val="center"/>
          </w:tcPr>
          <w:p>
            <w:pPr>
              <w:pStyle w:val="TableContents"/>
              <w:pBdr>
                <w:bottom w:val="single" w:sz="6" w:space="1" w:color="000000"/>
              </w:pBdr>
              <w:bidi w:val="0"/>
              <w:spacing w:before="0" w:after="0"/>
              <w:ind w:left="112" w:right="122" w:hanging="0"/>
              <w:jc w:val="center"/>
              <w:rPr/>
            </w:pPr>
            <w:r>
              <w:rPr>
                <w:b/>
              </w:rPr>
              <w:t xml:space="preserve">Issuance / Exercise </w:t>
            </w:r>
            <w:r>
              <w:rPr/>
              <w:br/>
            </w:r>
            <w:r>
              <w:rPr>
                <w:b/>
              </w:rPr>
              <w:t>Price Per Security (CAD)</w:t>
            </w:r>
            <w:r>
              <w:rPr>
                <w:b/>
                <w:position w:val="8"/>
                <w:sz w:val="19"/>
              </w:rPr>
              <w:t>(1)</w:t>
            </w:r>
          </w:p>
        </w:tc>
      </w:tr>
      <w:tr>
        <w:trPr/>
        <w:tc>
          <w:tcPr>
            <w:tcW w:w="2278" w:type="dxa"/>
            <w:tcBorders/>
            <w:shd w:fill="E6EFFF" w:val="clear"/>
            <w:vAlign w:val="center"/>
          </w:tcPr>
          <w:p>
            <w:pPr>
              <w:pStyle w:val="TableContents"/>
              <w:bidi w:val="0"/>
              <w:spacing w:before="0" w:after="0"/>
              <w:ind w:left="0" w:right="113" w:hanging="0"/>
              <w:jc w:val="center"/>
              <w:rPr/>
            </w:pPr>
            <w:r>
              <w:rPr/>
              <w:t>November 10, 2022</w:t>
            </w:r>
            <w:r>
              <w:rPr>
                <w:position w:val="8"/>
                <w:sz w:val="19"/>
              </w:rPr>
              <w:t>(3)</w:t>
            </w:r>
          </w:p>
        </w:tc>
        <w:tc>
          <w:tcPr>
            <w:tcW w:w="1885" w:type="dxa"/>
            <w:tcBorders/>
            <w:shd w:fill="E6EFFF" w:val="clear"/>
            <w:vAlign w:val="center"/>
          </w:tcPr>
          <w:p>
            <w:pPr>
              <w:pStyle w:val="TableContents"/>
              <w:bidi w:val="0"/>
              <w:spacing w:before="0" w:after="0"/>
              <w:jc w:val="center"/>
              <w:rPr/>
            </w:pPr>
            <w:r>
              <w:rPr/>
              <w:t>344,000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$0.60</w:t>
            </w:r>
          </w:p>
        </w:tc>
      </w:tr>
      <w:tr>
        <w:trPr/>
        <w:tc>
          <w:tcPr>
            <w:tcW w:w="2278" w:type="dxa"/>
            <w:tcBorders/>
            <w:vAlign w:val="center"/>
          </w:tcPr>
          <w:p>
            <w:pPr>
              <w:pStyle w:val="TableContents"/>
              <w:bidi w:val="0"/>
              <w:spacing w:before="0" w:after="0"/>
              <w:ind w:left="0" w:right="113" w:hanging="0"/>
              <w:jc w:val="center"/>
              <w:rPr/>
            </w:pPr>
            <w:r>
              <w:rPr/>
              <w:t>November 14, 2022</w:t>
            </w:r>
            <w:r>
              <w:rPr>
                <w:position w:val="8"/>
                <w:sz w:val="19"/>
              </w:rPr>
              <w:t>(3)</w:t>
            </w:r>
          </w:p>
        </w:tc>
        <w:tc>
          <w:tcPr>
            <w:tcW w:w="1885" w:type="dxa"/>
            <w:tcBorders/>
            <w:vAlign w:val="center"/>
          </w:tcPr>
          <w:p>
            <w:pPr>
              <w:pStyle w:val="TableContents"/>
              <w:bidi w:val="0"/>
              <w:spacing w:before="0" w:after="0"/>
              <w:jc w:val="center"/>
              <w:rPr/>
            </w:pPr>
            <w:r>
              <w:rPr/>
              <w:t>120,339</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$0.59</w:t>
            </w:r>
          </w:p>
        </w:tc>
      </w:tr>
      <w:tr>
        <w:trPr/>
        <w:tc>
          <w:tcPr>
            <w:tcW w:w="2278" w:type="dxa"/>
            <w:tcBorders/>
            <w:shd w:fill="E6EFFF" w:val="clear"/>
            <w:vAlign w:val="center"/>
          </w:tcPr>
          <w:p>
            <w:pPr>
              <w:pStyle w:val="TableContents"/>
              <w:bidi w:val="0"/>
              <w:spacing w:before="0" w:after="0"/>
              <w:ind w:left="0" w:right="113" w:hanging="0"/>
              <w:jc w:val="center"/>
              <w:rPr/>
            </w:pPr>
            <w:r>
              <w:rPr/>
              <w:t>November 15, 2022</w:t>
            </w:r>
            <w:r>
              <w:rPr>
                <w:position w:val="8"/>
                <w:sz w:val="19"/>
              </w:rPr>
              <w:t>(3)</w:t>
            </w:r>
          </w:p>
        </w:tc>
        <w:tc>
          <w:tcPr>
            <w:tcW w:w="1885" w:type="dxa"/>
            <w:tcBorders/>
            <w:shd w:fill="E6EFFF" w:val="clear"/>
            <w:vAlign w:val="center"/>
          </w:tcPr>
          <w:p>
            <w:pPr>
              <w:pStyle w:val="TableContents"/>
              <w:bidi w:val="0"/>
              <w:spacing w:before="0" w:after="0"/>
              <w:jc w:val="center"/>
              <w:rPr/>
            </w:pPr>
            <w:r>
              <w:rPr/>
              <w:t>235,400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$0.59</w:t>
            </w:r>
          </w:p>
        </w:tc>
      </w:tr>
      <w:tr>
        <w:trPr/>
        <w:tc>
          <w:tcPr>
            <w:tcW w:w="2278" w:type="dxa"/>
            <w:tcBorders/>
            <w:vAlign w:val="center"/>
          </w:tcPr>
          <w:p>
            <w:pPr>
              <w:pStyle w:val="TableContents"/>
              <w:bidi w:val="0"/>
              <w:spacing w:before="0" w:after="0"/>
              <w:ind w:left="0" w:right="113" w:hanging="0"/>
              <w:jc w:val="center"/>
              <w:rPr/>
            </w:pPr>
            <w:r>
              <w:rPr/>
              <w:t>November 15, 2022</w:t>
            </w:r>
            <w:r>
              <w:rPr>
                <w:position w:val="8"/>
                <w:sz w:val="19"/>
              </w:rPr>
              <w:t>(3)</w:t>
            </w:r>
          </w:p>
        </w:tc>
        <w:tc>
          <w:tcPr>
            <w:tcW w:w="1885" w:type="dxa"/>
            <w:tcBorders/>
            <w:vAlign w:val="center"/>
          </w:tcPr>
          <w:p>
            <w:pPr>
              <w:pStyle w:val="TableContents"/>
              <w:bidi w:val="0"/>
              <w:spacing w:before="0" w:after="0"/>
              <w:jc w:val="center"/>
              <w:rPr/>
            </w:pPr>
            <w:r>
              <w:rPr/>
              <w:t>222,437</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$0.58</w:t>
            </w:r>
          </w:p>
        </w:tc>
      </w:tr>
      <w:tr>
        <w:trPr/>
        <w:tc>
          <w:tcPr>
            <w:tcW w:w="2278" w:type="dxa"/>
            <w:tcBorders/>
            <w:shd w:fill="E6EFFF" w:val="clear"/>
            <w:vAlign w:val="center"/>
          </w:tcPr>
          <w:p>
            <w:pPr>
              <w:pStyle w:val="TableContents"/>
              <w:bidi w:val="0"/>
              <w:spacing w:before="0" w:after="0"/>
              <w:ind w:left="0" w:right="113" w:hanging="0"/>
              <w:jc w:val="center"/>
              <w:rPr/>
            </w:pPr>
            <w:r>
              <w:rPr/>
              <w:t>November 16, 2022</w:t>
            </w:r>
          </w:p>
        </w:tc>
        <w:tc>
          <w:tcPr>
            <w:tcW w:w="1885" w:type="dxa"/>
            <w:tcBorders/>
            <w:shd w:fill="E6EFFF" w:val="clear"/>
            <w:vAlign w:val="center"/>
          </w:tcPr>
          <w:p>
            <w:pPr>
              <w:pStyle w:val="TableContents"/>
              <w:bidi w:val="0"/>
              <w:spacing w:before="0" w:after="0"/>
              <w:jc w:val="center"/>
              <w:rPr/>
            </w:pPr>
            <w:r>
              <w:rPr/>
              <w:t>200,000</w:t>
            </w:r>
          </w:p>
        </w:tc>
        <w:tc>
          <w:tcPr>
            <w:tcW w:w="1595" w:type="dxa"/>
            <w:tcBorders/>
            <w:shd w:fill="E6EFFF" w:val="clear"/>
            <w:vAlign w:val="center"/>
          </w:tcPr>
          <w:p>
            <w:pPr>
              <w:pStyle w:val="TableContents"/>
              <w:bidi w:val="0"/>
              <w:spacing w:before="0" w:after="0"/>
              <w:jc w:val="center"/>
              <w:rPr/>
            </w:pPr>
            <w:r>
              <w:rPr/>
              <w:t>Options</w:t>
            </w:r>
          </w:p>
        </w:tc>
        <w:tc>
          <w:tcPr>
            <w:tcW w:w="2977" w:type="dxa"/>
            <w:tcBorders/>
            <w:shd w:fill="E6EFFF" w:val="clear"/>
            <w:vAlign w:val="center"/>
          </w:tcPr>
          <w:p>
            <w:pPr>
              <w:pStyle w:val="TableContents"/>
              <w:bidi w:val="0"/>
              <w:spacing w:before="0" w:after="0"/>
              <w:jc w:val="center"/>
              <w:rPr/>
            </w:pPr>
            <w:r>
              <w:rPr/>
              <w:t>$0.91</w:t>
            </w:r>
          </w:p>
        </w:tc>
      </w:tr>
      <w:tr>
        <w:trPr/>
        <w:tc>
          <w:tcPr>
            <w:tcW w:w="2278" w:type="dxa"/>
            <w:tcBorders/>
            <w:vAlign w:val="center"/>
          </w:tcPr>
          <w:p>
            <w:pPr>
              <w:pStyle w:val="TableContents"/>
              <w:bidi w:val="0"/>
              <w:spacing w:before="0" w:after="0"/>
              <w:ind w:left="0" w:right="113" w:hanging="0"/>
              <w:jc w:val="center"/>
              <w:rPr/>
            </w:pPr>
            <w:r>
              <w:rPr/>
              <w:t>November 16, 2022</w:t>
            </w:r>
          </w:p>
        </w:tc>
        <w:tc>
          <w:tcPr>
            <w:tcW w:w="1885" w:type="dxa"/>
            <w:tcBorders/>
            <w:vAlign w:val="center"/>
          </w:tcPr>
          <w:p>
            <w:pPr>
              <w:pStyle w:val="TableContents"/>
              <w:bidi w:val="0"/>
              <w:spacing w:before="0" w:after="0"/>
              <w:jc w:val="center"/>
              <w:rPr/>
            </w:pPr>
            <w:r>
              <w:rPr/>
              <w:t>375,000</w:t>
            </w:r>
          </w:p>
        </w:tc>
        <w:tc>
          <w:tcPr>
            <w:tcW w:w="1595" w:type="dxa"/>
            <w:tcBorders/>
            <w:vAlign w:val="center"/>
          </w:tcPr>
          <w:p>
            <w:pPr>
              <w:pStyle w:val="TableContents"/>
              <w:bidi w:val="0"/>
              <w:spacing w:before="0" w:after="0"/>
              <w:jc w:val="center"/>
              <w:rPr/>
            </w:pPr>
            <w:r>
              <w:rPr/>
              <w:t>Options</w:t>
            </w:r>
          </w:p>
        </w:tc>
        <w:tc>
          <w:tcPr>
            <w:tcW w:w="2977" w:type="dxa"/>
            <w:tcBorders/>
            <w:vAlign w:val="center"/>
          </w:tcPr>
          <w:p>
            <w:pPr>
              <w:pStyle w:val="TableContents"/>
              <w:bidi w:val="0"/>
              <w:spacing w:before="0" w:after="0"/>
              <w:jc w:val="center"/>
              <w:rPr/>
            </w:pPr>
            <w:r>
              <w:rPr/>
              <w:t>$0.75</w:t>
            </w:r>
          </w:p>
        </w:tc>
      </w:tr>
      <w:tr>
        <w:trPr/>
        <w:tc>
          <w:tcPr>
            <w:tcW w:w="2278" w:type="dxa"/>
            <w:tcBorders/>
            <w:shd w:fill="E6EFFF" w:val="clear"/>
            <w:vAlign w:val="center"/>
          </w:tcPr>
          <w:p>
            <w:pPr>
              <w:pStyle w:val="TableContents"/>
              <w:bidi w:val="0"/>
              <w:spacing w:before="0" w:after="0"/>
              <w:ind w:left="0" w:right="113" w:hanging="0"/>
              <w:jc w:val="center"/>
              <w:rPr/>
            </w:pPr>
            <w:r>
              <w:rPr/>
              <w:t>November 30, 2022</w:t>
            </w:r>
            <w:r>
              <w:rPr>
                <w:position w:val="8"/>
                <w:sz w:val="19"/>
              </w:rPr>
              <w:t>(3)</w:t>
            </w:r>
          </w:p>
        </w:tc>
        <w:tc>
          <w:tcPr>
            <w:tcW w:w="1885" w:type="dxa"/>
            <w:tcBorders/>
            <w:shd w:fill="E6EFFF" w:val="clear"/>
            <w:vAlign w:val="center"/>
          </w:tcPr>
          <w:p>
            <w:pPr>
              <w:pStyle w:val="TableContents"/>
              <w:bidi w:val="0"/>
              <w:spacing w:before="0" w:after="0"/>
              <w:jc w:val="center"/>
              <w:rPr/>
            </w:pPr>
            <w:r>
              <w:rPr/>
              <w:t>156,574</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$0.55</w:t>
            </w:r>
          </w:p>
        </w:tc>
      </w:tr>
      <w:tr>
        <w:trPr/>
        <w:tc>
          <w:tcPr>
            <w:tcW w:w="2278" w:type="dxa"/>
            <w:tcBorders/>
            <w:vAlign w:val="center"/>
          </w:tcPr>
          <w:p>
            <w:pPr>
              <w:pStyle w:val="TableContents"/>
              <w:bidi w:val="0"/>
              <w:spacing w:before="0" w:after="0"/>
              <w:ind w:left="0" w:right="113" w:hanging="0"/>
              <w:jc w:val="center"/>
              <w:rPr/>
            </w:pPr>
            <w:r>
              <w:rPr/>
              <w:t>December 1, 2022</w:t>
            </w:r>
            <w:r>
              <w:rPr>
                <w:position w:val="8"/>
                <w:sz w:val="19"/>
              </w:rPr>
              <w:t>(3)</w:t>
            </w:r>
          </w:p>
        </w:tc>
        <w:tc>
          <w:tcPr>
            <w:tcW w:w="1885" w:type="dxa"/>
            <w:tcBorders/>
            <w:vAlign w:val="center"/>
          </w:tcPr>
          <w:p>
            <w:pPr>
              <w:pStyle w:val="TableContents"/>
              <w:bidi w:val="0"/>
              <w:spacing w:before="0" w:after="0"/>
              <w:jc w:val="center"/>
              <w:rPr/>
            </w:pPr>
            <w:r>
              <w:rPr/>
              <w:t>350,300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$0.55</w:t>
            </w:r>
          </w:p>
        </w:tc>
      </w:tr>
      <w:tr>
        <w:trPr/>
        <w:tc>
          <w:tcPr>
            <w:tcW w:w="2278" w:type="dxa"/>
            <w:tcBorders/>
            <w:shd w:fill="E6EFFF" w:val="clear"/>
            <w:vAlign w:val="center"/>
          </w:tcPr>
          <w:p>
            <w:pPr>
              <w:pStyle w:val="TableContents"/>
              <w:bidi w:val="0"/>
              <w:spacing w:before="0" w:after="0"/>
              <w:ind w:left="0" w:right="113" w:hanging="0"/>
              <w:jc w:val="center"/>
              <w:rPr/>
            </w:pPr>
            <w:r>
              <w:rPr/>
              <w:t>December 5, 2022</w:t>
            </w:r>
            <w:r>
              <w:rPr>
                <w:position w:val="8"/>
                <w:sz w:val="19"/>
              </w:rPr>
              <w:t>(3)</w:t>
            </w:r>
          </w:p>
        </w:tc>
        <w:tc>
          <w:tcPr>
            <w:tcW w:w="1885" w:type="dxa"/>
            <w:tcBorders/>
            <w:shd w:fill="E6EFFF" w:val="clear"/>
            <w:vAlign w:val="center"/>
          </w:tcPr>
          <w:p>
            <w:pPr>
              <w:pStyle w:val="TableContents"/>
              <w:bidi w:val="0"/>
              <w:spacing w:before="0" w:after="0"/>
              <w:jc w:val="center"/>
              <w:rPr/>
            </w:pPr>
            <w:r>
              <w:rPr/>
              <w:t>102,928</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$0.49</w:t>
            </w:r>
          </w:p>
        </w:tc>
      </w:tr>
      <w:tr>
        <w:trPr/>
        <w:tc>
          <w:tcPr>
            <w:tcW w:w="2278" w:type="dxa"/>
            <w:tcBorders/>
            <w:vAlign w:val="center"/>
          </w:tcPr>
          <w:p>
            <w:pPr>
              <w:pStyle w:val="TableContents"/>
              <w:bidi w:val="0"/>
              <w:spacing w:before="0" w:after="0"/>
              <w:ind w:left="0" w:right="113" w:hanging="0"/>
              <w:jc w:val="center"/>
              <w:rPr/>
            </w:pPr>
            <w:r>
              <w:rPr/>
              <w:t>December 6, 2022</w:t>
            </w:r>
            <w:r>
              <w:rPr>
                <w:position w:val="8"/>
                <w:sz w:val="19"/>
              </w:rPr>
              <w:t>(3)</w:t>
            </w:r>
          </w:p>
        </w:tc>
        <w:tc>
          <w:tcPr>
            <w:tcW w:w="1885" w:type="dxa"/>
            <w:tcBorders/>
            <w:vAlign w:val="center"/>
          </w:tcPr>
          <w:p>
            <w:pPr>
              <w:pStyle w:val="TableContents"/>
              <w:bidi w:val="0"/>
              <w:spacing w:before="0" w:after="0"/>
              <w:jc w:val="center"/>
              <w:rPr/>
            </w:pPr>
            <w:r>
              <w:rPr/>
              <w:t>230,000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$0.48</w:t>
            </w:r>
          </w:p>
        </w:tc>
      </w:tr>
      <w:tr>
        <w:trPr/>
        <w:tc>
          <w:tcPr>
            <w:tcW w:w="2278" w:type="dxa"/>
            <w:tcBorders/>
            <w:shd w:fill="E6EFFF" w:val="clear"/>
            <w:vAlign w:val="center"/>
          </w:tcPr>
          <w:p>
            <w:pPr>
              <w:pStyle w:val="TableContents"/>
              <w:bidi w:val="0"/>
              <w:spacing w:before="0" w:after="0"/>
              <w:ind w:left="0" w:right="113" w:hanging="0"/>
              <w:jc w:val="center"/>
              <w:rPr/>
            </w:pPr>
            <w:r>
              <w:rPr/>
              <w:t>December 7, 2022</w:t>
            </w:r>
            <w:r>
              <w:rPr>
                <w:position w:val="8"/>
                <w:sz w:val="19"/>
              </w:rPr>
              <w:t>(3)</w:t>
            </w:r>
          </w:p>
        </w:tc>
        <w:tc>
          <w:tcPr>
            <w:tcW w:w="1885" w:type="dxa"/>
            <w:tcBorders/>
            <w:shd w:fill="E6EFFF" w:val="clear"/>
            <w:vAlign w:val="center"/>
          </w:tcPr>
          <w:p>
            <w:pPr>
              <w:pStyle w:val="TableContents"/>
              <w:bidi w:val="0"/>
              <w:spacing w:before="0" w:after="0"/>
              <w:jc w:val="center"/>
              <w:rPr/>
            </w:pPr>
            <w:r>
              <w:rPr/>
              <w:t>293,644</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$0.47</w:t>
            </w:r>
          </w:p>
        </w:tc>
      </w:tr>
      <w:tr>
        <w:trPr/>
        <w:tc>
          <w:tcPr>
            <w:tcW w:w="2278" w:type="dxa"/>
            <w:tcBorders/>
            <w:vAlign w:val="center"/>
          </w:tcPr>
          <w:p>
            <w:pPr>
              <w:pStyle w:val="TableContents"/>
              <w:bidi w:val="0"/>
              <w:spacing w:before="0" w:after="0"/>
              <w:ind w:left="0" w:right="113" w:hanging="0"/>
              <w:jc w:val="center"/>
              <w:rPr/>
            </w:pPr>
            <w:r>
              <w:rPr/>
              <w:t>December 8, 2022</w:t>
            </w:r>
            <w:r>
              <w:rPr>
                <w:position w:val="8"/>
                <w:sz w:val="19"/>
              </w:rPr>
              <w:t>(3)</w:t>
            </w:r>
          </w:p>
        </w:tc>
        <w:tc>
          <w:tcPr>
            <w:tcW w:w="1885" w:type="dxa"/>
            <w:tcBorders/>
            <w:vAlign w:val="center"/>
          </w:tcPr>
          <w:p>
            <w:pPr>
              <w:pStyle w:val="TableContents"/>
              <w:bidi w:val="0"/>
              <w:spacing w:before="0" w:after="0"/>
              <w:jc w:val="center"/>
              <w:rPr/>
            </w:pPr>
            <w:r>
              <w:rPr/>
              <w:t>192,600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$0.46</w:t>
            </w:r>
          </w:p>
        </w:tc>
      </w:tr>
      <w:tr>
        <w:trPr/>
        <w:tc>
          <w:tcPr>
            <w:tcW w:w="2278" w:type="dxa"/>
            <w:tcBorders/>
            <w:shd w:fill="E6EFFF" w:val="clear"/>
            <w:vAlign w:val="center"/>
          </w:tcPr>
          <w:p>
            <w:pPr>
              <w:pStyle w:val="TableContents"/>
              <w:bidi w:val="0"/>
              <w:spacing w:before="0" w:after="0"/>
              <w:ind w:left="0" w:right="113" w:hanging="0"/>
              <w:jc w:val="center"/>
              <w:rPr/>
            </w:pPr>
            <w:r>
              <w:rPr/>
              <w:t>December 8, 2022</w:t>
            </w:r>
            <w:r>
              <w:rPr>
                <w:position w:val="8"/>
                <w:sz w:val="19"/>
              </w:rPr>
              <w:t>(3)</w:t>
            </w:r>
          </w:p>
        </w:tc>
        <w:tc>
          <w:tcPr>
            <w:tcW w:w="1885" w:type="dxa"/>
            <w:tcBorders/>
            <w:shd w:fill="E6EFFF" w:val="clear"/>
            <w:vAlign w:val="center"/>
          </w:tcPr>
          <w:p>
            <w:pPr>
              <w:pStyle w:val="TableContents"/>
              <w:bidi w:val="0"/>
              <w:spacing w:before="0" w:after="0"/>
              <w:jc w:val="center"/>
              <w:rPr/>
            </w:pPr>
            <w:r>
              <w:rPr/>
              <w:t>12,922</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$0.47</w:t>
            </w:r>
          </w:p>
        </w:tc>
      </w:tr>
      <w:tr>
        <w:trPr/>
        <w:tc>
          <w:tcPr>
            <w:tcW w:w="2278" w:type="dxa"/>
            <w:tcBorders/>
            <w:vAlign w:val="center"/>
          </w:tcPr>
          <w:p>
            <w:pPr>
              <w:pStyle w:val="TableContents"/>
              <w:bidi w:val="0"/>
              <w:spacing w:before="0" w:after="0"/>
              <w:ind w:left="0" w:right="113" w:hanging="0"/>
              <w:jc w:val="center"/>
              <w:rPr/>
            </w:pPr>
            <w:r>
              <w:rPr/>
              <w:t>January 12, 2023</w:t>
            </w:r>
            <w:r>
              <w:rPr>
                <w:position w:val="8"/>
                <w:sz w:val="19"/>
              </w:rPr>
              <w:t>(3)</w:t>
            </w:r>
          </w:p>
        </w:tc>
        <w:tc>
          <w:tcPr>
            <w:tcW w:w="1885" w:type="dxa"/>
            <w:tcBorders/>
            <w:vAlign w:val="center"/>
          </w:tcPr>
          <w:p>
            <w:pPr>
              <w:pStyle w:val="TableContents"/>
              <w:bidi w:val="0"/>
              <w:spacing w:before="0" w:after="0"/>
              <w:jc w:val="center"/>
              <w:rPr/>
            </w:pPr>
            <w:r>
              <w:rPr/>
              <w:t>163,000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$0.68</w:t>
            </w:r>
          </w:p>
        </w:tc>
      </w:tr>
      <w:tr>
        <w:trPr/>
        <w:tc>
          <w:tcPr>
            <w:tcW w:w="2278" w:type="dxa"/>
            <w:tcBorders/>
            <w:shd w:fill="E6EFFF" w:val="clear"/>
            <w:vAlign w:val="center"/>
          </w:tcPr>
          <w:p>
            <w:pPr>
              <w:pStyle w:val="TableContents"/>
              <w:bidi w:val="0"/>
              <w:spacing w:before="0" w:after="0"/>
              <w:ind w:left="0" w:right="113" w:hanging="0"/>
              <w:jc w:val="center"/>
              <w:rPr/>
            </w:pPr>
            <w:r>
              <w:rPr/>
              <w:t>January 12, 2023</w:t>
            </w:r>
            <w:r>
              <w:rPr>
                <w:position w:val="8"/>
                <w:sz w:val="19"/>
              </w:rPr>
              <w:t>(2)</w:t>
            </w:r>
          </w:p>
        </w:tc>
        <w:tc>
          <w:tcPr>
            <w:tcW w:w="1885" w:type="dxa"/>
            <w:tcBorders/>
            <w:shd w:fill="E6EFFF" w:val="clear"/>
            <w:vAlign w:val="center"/>
          </w:tcPr>
          <w:p>
            <w:pPr>
              <w:pStyle w:val="TableContents"/>
              <w:bidi w:val="0"/>
              <w:spacing w:before="0" w:after="0"/>
              <w:jc w:val="center"/>
              <w:rPr/>
            </w:pPr>
            <w:r>
              <w:rPr/>
              <w:t>5,089,648</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$0.63</w:t>
            </w:r>
          </w:p>
        </w:tc>
      </w:tr>
      <w:tr>
        <w:trPr/>
        <w:tc>
          <w:tcPr>
            <w:tcW w:w="2278" w:type="dxa"/>
            <w:tcBorders/>
            <w:vAlign w:val="center"/>
          </w:tcPr>
          <w:p>
            <w:pPr>
              <w:pStyle w:val="TableContents"/>
              <w:bidi w:val="0"/>
              <w:spacing w:before="0" w:after="0"/>
              <w:ind w:left="0" w:right="113" w:hanging="0"/>
              <w:jc w:val="center"/>
              <w:rPr/>
            </w:pPr>
            <w:r>
              <w:rPr/>
              <w:t>January 17, 2023</w:t>
            </w:r>
            <w:r>
              <w:rPr>
                <w:position w:val="8"/>
                <w:sz w:val="19"/>
              </w:rPr>
              <w:t>(3)</w:t>
            </w:r>
          </w:p>
        </w:tc>
        <w:tc>
          <w:tcPr>
            <w:tcW w:w="1885" w:type="dxa"/>
            <w:tcBorders/>
            <w:vAlign w:val="center"/>
          </w:tcPr>
          <w:p>
            <w:pPr>
              <w:pStyle w:val="TableContents"/>
              <w:bidi w:val="0"/>
              <w:spacing w:before="0" w:after="0"/>
              <w:jc w:val="center"/>
              <w:rPr/>
            </w:pPr>
            <w:r>
              <w:rPr/>
              <w:t>1,200,000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$0.57</w:t>
            </w:r>
          </w:p>
        </w:tc>
      </w:tr>
      <w:tr>
        <w:trPr/>
        <w:tc>
          <w:tcPr>
            <w:tcW w:w="2278" w:type="dxa"/>
            <w:tcBorders/>
            <w:shd w:fill="E6EFFF" w:val="clear"/>
            <w:vAlign w:val="center"/>
          </w:tcPr>
          <w:p>
            <w:pPr>
              <w:pStyle w:val="TableContents"/>
              <w:bidi w:val="0"/>
              <w:spacing w:before="0" w:after="0"/>
              <w:ind w:left="0" w:right="113" w:hanging="0"/>
              <w:jc w:val="center"/>
              <w:rPr/>
            </w:pPr>
            <w:r>
              <w:rPr/>
              <w:t>January 18, 2023</w:t>
            </w:r>
            <w:r>
              <w:rPr>
                <w:position w:val="8"/>
                <w:sz w:val="19"/>
              </w:rPr>
              <w:t>(3)</w:t>
            </w:r>
          </w:p>
        </w:tc>
        <w:tc>
          <w:tcPr>
            <w:tcW w:w="1885" w:type="dxa"/>
            <w:tcBorders/>
            <w:shd w:fill="E6EFFF" w:val="clear"/>
            <w:vAlign w:val="center"/>
          </w:tcPr>
          <w:p>
            <w:pPr>
              <w:pStyle w:val="TableContents"/>
              <w:bidi w:val="0"/>
              <w:spacing w:before="0" w:after="0"/>
              <w:jc w:val="center"/>
              <w:rPr/>
            </w:pPr>
            <w:r>
              <w:rPr/>
              <w:t>200,000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$0.57</w:t>
            </w:r>
          </w:p>
        </w:tc>
      </w:tr>
      <w:tr>
        <w:trPr/>
        <w:tc>
          <w:tcPr>
            <w:tcW w:w="2278" w:type="dxa"/>
            <w:tcBorders/>
            <w:vAlign w:val="center"/>
          </w:tcPr>
          <w:p>
            <w:pPr>
              <w:pStyle w:val="TableContents"/>
              <w:bidi w:val="0"/>
              <w:spacing w:before="0" w:after="0"/>
              <w:ind w:left="0" w:right="113" w:hanging="0"/>
              <w:jc w:val="center"/>
              <w:rPr/>
            </w:pPr>
            <w:r>
              <w:rPr/>
              <w:t>January 19, 2023</w:t>
            </w:r>
            <w:r>
              <w:rPr>
                <w:position w:val="8"/>
                <w:sz w:val="19"/>
              </w:rPr>
              <w:t>(3)</w:t>
            </w:r>
          </w:p>
        </w:tc>
        <w:tc>
          <w:tcPr>
            <w:tcW w:w="1885" w:type="dxa"/>
            <w:tcBorders/>
            <w:vAlign w:val="center"/>
          </w:tcPr>
          <w:p>
            <w:pPr>
              <w:pStyle w:val="TableContents"/>
              <w:bidi w:val="0"/>
              <w:spacing w:before="0" w:after="0"/>
              <w:jc w:val="center"/>
              <w:rPr/>
            </w:pPr>
            <w:r>
              <w:rPr/>
              <w:t>150,000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$0.59</w:t>
            </w:r>
          </w:p>
        </w:tc>
      </w:tr>
      <w:tr>
        <w:trPr/>
        <w:tc>
          <w:tcPr>
            <w:tcW w:w="2278" w:type="dxa"/>
            <w:tcBorders/>
            <w:shd w:fill="E6EFFF" w:val="clear"/>
            <w:vAlign w:val="center"/>
          </w:tcPr>
          <w:p>
            <w:pPr>
              <w:pStyle w:val="TableContents"/>
              <w:bidi w:val="0"/>
              <w:spacing w:before="0" w:after="0"/>
              <w:ind w:left="0" w:right="113" w:hanging="0"/>
              <w:jc w:val="center"/>
              <w:rPr/>
            </w:pPr>
            <w:r>
              <w:rPr/>
              <w:t>January 20, 2023</w:t>
            </w:r>
            <w:r>
              <w:rPr>
                <w:position w:val="8"/>
                <w:sz w:val="19"/>
              </w:rPr>
              <w:t>(3)</w:t>
            </w:r>
          </w:p>
        </w:tc>
        <w:tc>
          <w:tcPr>
            <w:tcW w:w="1885" w:type="dxa"/>
            <w:tcBorders/>
            <w:shd w:fill="E6EFFF" w:val="clear"/>
            <w:vAlign w:val="center"/>
          </w:tcPr>
          <w:p>
            <w:pPr>
              <w:pStyle w:val="TableContents"/>
              <w:bidi w:val="0"/>
              <w:spacing w:before="0" w:after="0"/>
              <w:jc w:val="center"/>
              <w:rPr/>
            </w:pPr>
            <w:r>
              <w:rPr/>
              <w:t>270,000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$0.57</w:t>
            </w:r>
          </w:p>
        </w:tc>
      </w:tr>
      <w:tr>
        <w:trPr/>
        <w:tc>
          <w:tcPr>
            <w:tcW w:w="2278" w:type="dxa"/>
            <w:tcBorders/>
            <w:vAlign w:val="center"/>
          </w:tcPr>
          <w:p>
            <w:pPr>
              <w:pStyle w:val="TableContents"/>
              <w:bidi w:val="0"/>
              <w:spacing w:before="0" w:after="0"/>
              <w:ind w:left="0" w:right="113" w:hanging="0"/>
              <w:jc w:val="center"/>
              <w:rPr/>
            </w:pPr>
            <w:r>
              <w:rPr/>
              <w:t>January 23, 2023</w:t>
            </w:r>
            <w:r>
              <w:rPr>
                <w:position w:val="8"/>
                <w:sz w:val="19"/>
              </w:rPr>
              <w:t>(3)</w:t>
            </w:r>
          </w:p>
        </w:tc>
        <w:tc>
          <w:tcPr>
            <w:tcW w:w="1885" w:type="dxa"/>
            <w:tcBorders/>
            <w:vAlign w:val="center"/>
          </w:tcPr>
          <w:p>
            <w:pPr>
              <w:pStyle w:val="TableContents"/>
              <w:bidi w:val="0"/>
              <w:spacing w:before="0" w:after="0"/>
              <w:jc w:val="center"/>
              <w:rPr/>
            </w:pPr>
            <w:r>
              <w:rPr/>
              <w:t>171,900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$0.57</w:t>
            </w:r>
          </w:p>
        </w:tc>
      </w:tr>
      <w:tr>
        <w:trPr/>
        <w:tc>
          <w:tcPr>
            <w:tcW w:w="2278" w:type="dxa"/>
            <w:tcBorders/>
            <w:shd w:fill="E6EFFF" w:val="clear"/>
            <w:vAlign w:val="center"/>
          </w:tcPr>
          <w:p>
            <w:pPr>
              <w:pStyle w:val="TableContents"/>
              <w:bidi w:val="0"/>
              <w:spacing w:before="0" w:after="0"/>
              <w:ind w:left="0" w:right="113" w:hanging="0"/>
              <w:jc w:val="center"/>
              <w:rPr/>
            </w:pPr>
            <w:r>
              <w:rPr/>
              <w:t>January 24, 2023</w:t>
            </w:r>
            <w:r>
              <w:rPr>
                <w:position w:val="8"/>
                <w:sz w:val="19"/>
              </w:rPr>
              <w:t>(3)</w:t>
            </w:r>
          </w:p>
        </w:tc>
        <w:tc>
          <w:tcPr>
            <w:tcW w:w="1885" w:type="dxa"/>
            <w:tcBorders/>
            <w:shd w:fill="E6EFFF" w:val="clear"/>
            <w:vAlign w:val="center"/>
          </w:tcPr>
          <w:p>
            <w:pPr>
              <w:pStyle w:val="TableContents"/>
              <w:bidi w:val="0"/>
              <w:spacing w:before="0" w:after="0"/>
              <w:jc w:val="center"/>
              <w:rPr/>
            </w:pPr>
            <w:r>
              <w:rPr/>
              <w:t>286,000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$0.53</w:t>
            </w:r>
          </w:p>
        </w:tc>
      </w:tr>
      <w:tr>
        <w:trPr/>
        <w:tc>
          <w:tcPr>
            <w:tcW w:w="2278" w:type="dxa"/>
            <w:tcBorders/>
            <w:vAlign w:val="center"/>
          </w:tcPr>
          <w:p>
            <w:pPr>
              <w:pStyle w:val="TableContents"/>
              <w:bidi w:val="0"/>
              <w:spacing w:before="0" w:after="0"/>
              <w:ind w:left="0" w:right="113" w:hanging="0"/>
              <w:jc w:val="center"/>
              <w:rPr/>
            </w:pPr>
            <w:r>
              <w:rPr/>
              <w:t>January 26, 2023</w:t>
            </w:r>
            <w:r>
              <w:rPr>
                <w:position w:val="8"/>
                <w:sz w:val="19"/>
              </w:rPr>
              <w:t>(3)</w:t>
            </w:r>
          </w:p>
        </w:tc>
        <w:tc>
          <w:tcPr>
            <w:tcW w:w="1885" w:type="dxa"/>
            <w:tcBorders/>
            <w:vAlign w:val="center"/>
          </w:tcPr>
          <w:p>
            <w:pPr>
              <w:pStyle w:val="TableContents"/>
              <w:bidi w:val="0"/>
              <w:spacing w:before="0" w:after="0"/>
              <w:jc w:val="center"/>
              <w:rPr/>
            </w:pPr>
            <w:r>
              <w:rPr/>
              <w:t>266,000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$0.51</w:t>
            </w:r>
          </w:p>
        </w:tc>
      </w:tr>
      <w:tr>
        <w:trPr/>
        <w:tc>
          <w:tcPr>
            <w:tcW w:w="2278" w:type="dxa"/>
            <w:tcBorders/>
            <w:shd w:fill="E6EFFF" w:val="clear"/>
            <w:vAlign w:val="center"/>
          </w:tcPr>
          <w:p>
            <w:pPr>
              <w:pStyle w:val="TableContents"/>
              <w:bidi w:val="0"/>
              <w:spacing w:before="0" w:after="0"/>
              <w:ind w:left="0" w:right="113" w:hanging="0"/>
              <w:jc w:val="center"/>
              <w:rPr/>
            </w:pPr>
            <w:r>
              <w:rPr/>
              <w:t>January 30, 2023</w:t>
            </w:r>
            <w:r>
              <w:rPr>
                <w:position w:val="8"/>
                <w:sz w:val="19"/>
              </w:rPr>
              <w:t>(3)</w:t>
            </w:r>
          </w:p>
        </w:tc>
        <w:tc>
          <w:tcPr>
            <w:tcW w:w="1885" w:type="dxa"/>
            <w:tcBorders/>
            <w:shd w:fill="E6EFFF" w:val="clear"/>
            <w:vAlign w:val="center"/>
          </w:tcPr>
          <w:p>
            <w:pPr>
              <w:pStyle w:val="TableContents"/>
              <w:bidi w:val="0"/>
              <w:spacing w:before="0" w:after="0"/>
              <w:jc w:val="center"/>
              <w:rPr/>
            </w:pPr>
            <w:r>
              <w:rPr/>
              <w:t>333,000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$0.52</w:t>
            </w:r>
          </w:p>
        </w:tc>
      </w:tr>
      <w:tr>
        <w:trPr/>
        <w:tc>
          <w:tcPr>
            <w:tcW w:w="2278" w:type="dxa"/>
            <w:tcBorders/>
            <w:vAlign w:val="center"/>
          </w:tcPr>
          <w:p>
            <w:pPr>
              <w:pStyle w:val="TableContents"/>
              <w:bidi w:val="0"/>
              <w:spacing w:before="0" w:after="0"/>
              <w:ind w:left="0" w:right="113" w:hanging="0"/>
              <w:jc w:val="center"/>
              <w:rPr/>
            </w:pPr>
            <w:r>
              <w:rPr/>
              <w:t>January 31, 2023</w:t>
            </w:r>
            <w:r>
              <w:rPr>
                <w:position w:val="8"/>
                <w:sz w:val="19"/>
              </w:rPr>
              <w:t>(3)</w:t>
            </w:r>
          </w:p>
        </w:tc>
        <w:tc>
          <w:tcPr>
            <w:tcW w:w="1885" w:type="dxa"/>
            <w:tcBorders/>
            <w:vAlign w:val="center"/>
          </w:tcPr>
          <w:p>
            <w:pPr>
              <w:pStyle w:val="TableContents"/>
              <w:bidi w:val="0"/>
              <w:spacing w:before="0" w:after="0"/>
              <w:jc w:val="center"/>
              <w:rPr/>
            </w:pPr>
            <w:r>
              <w:rPr/>
              <w:t>235,000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$0.52</w:t>
            </w:r>
          </w:p>
        </w:tc>
      </w:tr>
      <w:tr>
        <w:trPr/>
        <w:tc>
          <w:tcPr>
            <w:tcW w:w="2278" w:type="dxa"/>
            <w:tcBorders/>
            <w:shd w:fill="E6EFFF" w:val="clear"/>
            <w:vAlign w:val="center"/>
          </w:tcPr>
          <w:p>
            <w:pPr>
              <w:pStyle w:val="TableContents"/>
              <w:bidi w:val="0"/>
              <w:spacing w:before="0" w:after="0"/>
              <w:ind w:left="0" w:right="113" w:hanging="0"/>
              <w:jc w:val="center"/>
              <w:rPr/>
            </w:pPr>
            <w:r>
              <w:rPr/>
              <w:t>February 1, 2023</w:t>
            </w:r>
            <w:r>
              <w:rPr>
                <w:position w:val="8"/>
                <w:sz w:val="19"/>
              </w:rPr>
              <w:t>(3)</w:t>
            </w:r>
          </w:p>
        </w:tc>
        <w:tc>
          <w:tcPr>
            <w:tcW w:w="1885" w:type="dxa"/>
            <w:tcBorders/>
            <w:shd w:fill="E6EFFF" w:val="clear"/>
            <w:vAlign w:val="center"/>
          </w:tcPr>
          <w:p>
            <w:pPr>
              <w:pStyle w:val="TableContents"/>
              <w:bidi w:val="0"/>
              <w:spacing w:before="0" w:after="0"/>
              <w:jc w:val="center"/>
              <w:rPr/>
            </w:pPr>
            <w:r>
              <w:rPr/>
              <w:t>124,600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$0.51</w:t>
            </w:r>
          </w:p>
        </w:tc>
      </w:tr>
      <w:tr>
        <w:trPr/>
        <w:tc>
          <w:tcPr>
            <w:tcW w:w="2278" w:type="dxa"/>
            <w:tcBorders/>
            <w:vAlign w:val="center"/>
          </w:tcPr>
          <w:p>
            <w:pPr>
              <w:pStyle w:val="TableContents"/>
              <w:bidi w:val="0"/>
              <w:spacing w:before="0" w:after="0"/>
              <w:ind w:left="0" w:right="113" w:hanging="0"/>
              <w:jc w:val="center"/>
              <w:rPr/>
            </w:pPr>
            <w:r>
              <w:rPr/>
              <w:t>February 2, 2023</w:t>
            </w:r>
            <w:r>
              <w:rPr>
                <w:position w:val="8"/>
                <w:sz w:val="19"/>
              </w:rPr>
              <w:t>(3)</w:t>
            </w:r>
          </w:p>
        </w:tc>
        <w:tc>
          <w:tcPr>
            <w:tcW w:w="1885" w:type="dxa"/>
            <w:tcBorders/>
            <w:vAlign w:val="center"/>
          </w:tcPr>
          <w:p>
            <w:pPr>
              <w:pStyle w:val="TableContents"/>
              <w:bidi w:val="0"/>
              <w:spacing w:before="0" w:after="0"/>
              <w:jc w:val="center"/>
              <w:rPr/>
            </w:pPr>
            <w:r>
              <w:rPr/>
              <w:t>167,400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$0.51</w:t>
            </w:r>
          </w:p>
        </w:tc>
      </w:tr>
      <w:tr>
        <w:trPr/>
        <w:tc>
          <w:tcPr>
            <w:tcW w:w="2278" w:type="dxa"/>
            <w:tcBorders/>
            <w:shd w:fill="E6EFFF" w:val="clear"/>
            <w:vAlign w:val="center"/>
          </w:tcPr>
          <w:p>
            <w:pPr>
              <w:pStyle w:val="TableContents"/>
              <w:bidi w:val="0"/>
              <w:spacing w:before="0" w:after="0"/>
              <w:ind w:left="0" w:right="113" w:hanging="0"/>
              <w:jc w:val="center"/>
              <w:rPr/>
            </w:pPr>
            <w:r>
              <w:rPr/>
              <w:t>February 6, 2023</w:t>
            </w:r>
            <w:r>
              <w:rPr>
                <w:position w:val="8"/>
                <w:sz w:val="19"/>
              </w:rPr>
              <w:t>(3)</w:t>
            </w:r>
          </w:p>
        </w:tc>
        <w:tc>
          <w:tcPr>
            <w:tcW w:w="1885" w:type="dxa"/>
            <w:tcBorders/>
            <w:shd w:fill="E6EFFF" w:val="clear"/>
            <w:vAlign w:val="center"/>
          </w:tcPr>
          <w:p>
            <w:pPr>
              <w:pStyle w:val="TableContents"/>
              <w:bidi w:val="0"/>
              <w:spacing w:before="0" w:after="0"/>
              <w:jc w:val="center"/>
              <w:rPr/>
            </w:pPr>
            <w:r>
              <w:rPr/>
              <w:t>212,000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$0.59</w:t>
            </w:r>
          </w:p>
        </w:tc>
      </w:tr>
      <w:tr>
        <w:trPr/>
        <w:tc>
          <w:tcPr>
            <w:tcW w:w="2278" w:type="dxa"/>
            <w:tcBorders/>
            <w:vAlign w:val="center"/>
          </w:tcPr>
          <w:p>
            <w:pPr>
              <w:pStyle w:val="TableContents"/>
              <w:bidi w:val="0"/>
              <w:spacing w:before="0" w:after="0"/>
              <w:ind w:left="0" w:right="113" w:hanging="0"/>
              <w:jc w:val="center"/>
              <w:rPr/>
            </w:pPr>
            <w:r>
              <w:rPr/>
              <w:t>February 7, 2023</w:t>
            </w:r>
            <w:r>
              <w:rPr>
                <w:position w:val="8"/>
                <w:sz w:val="19"/>
              </w:rPr>
              <w:t>(3)</w:t>
            </w:r>
          </w:p>
        </w:tc>
        <w:tc>
          <w:tcPr>
            <w:tcW w:w="1885" w:type="dxa"/>
            <w:tcBorders/>
            <w:vAlign w:val="center"/>
          </w:tcPr>
          <w:p>
            <w:pPr>
              <w:pStyle w:val="TableContents"/>
              <w:bidi w:val="0"/>
              <w:spacing w:before="0" w:after="0"/>
              <w:jc w:val="center"/>
              <w:rPr/>
            </w:pPr>
            <w:r>
              <w:rPr/>
              <w:t>125,000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$0.57</w:t>
            </w:r>
          </w:p>
        </w:tc>
      </w:tr>
      <w:tr>
        <w:trPr/>
        <w:tc>
          <w:tcPr>
            <w:tcW w:w="2278" w:type="dxa"/>
            <w:tcBorders/>
            <w:shd w:fill="E6EFFF" w:val="clear"/>
            <w:vAlign w:val="center"/>
          </w:tcPr>
          <w:p>
            <w:pPr>
              <w:pStyle w:val="TableContents"/>
              <w:bidi w:val="0"/>
              <w:spacing w:before="0" w:after="0"/>
              <w:ind w:left="0" w:right="113" w:hanging="0"/>
              <w:jc w:val="center"/>
              <w:rPr/>
            </w:pPr>
            <w:r>
              <w:rPr/>
              <w:t>February 8, 2023</w:t>
            </w:r>
            <w:r>
              <w:rPr>
                <w:position w:val="8"/>
                <w:sz w:val="19"/>
              </w:rPr>
              <w:t>(3)</w:t>
            </w:r>
          </w:p>
        </w:tc>
        <w:tc>
          <w:tcPr>
            <w:tcW w:w="1885" w:type="dxa"/>
            <w:tcBorders/>
            <w:shd w:fill="E6EFFF" w:val="clear"/>
            <w:vAlign w:val="center"/>
          </w:tcPr>
          <w:p>
            <w:pPr>
              <w:pStyle w:val="TableContents"/>
              <w:bidi w:val="0"/>
              <w:spacing w:before="0" w:after="0"/>
              <w:jc w:val="center"/>
              <w:rPr/>
            </w:pPr>
            <w:r>
              <w:rPr/>
              <w:t>290,000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$0.58</w:t>
            </w:r>
          </w:p>
        </w:tc>
      </w:tr>
      <w:tr>
        <w:trPr/>
        <w:tc>
          <w:tcPr>
            <w:tcW w:w="2278" w:type="dxa"/>
            <w:tcBorders/>
            <w:vAlign w:val="center"/>
          </w:tcPr>
          <w:p>
            <w:pPr>
              <w:pStyle w:val="TableContents"/>
              <w:bidi w:val="0"/>
              <w:spacing w:before="0" w:after="0"/>
              <w:ind w:left="0" w:right="113" w:hanging="0"/>
              <w:jc w:val="center"/>
              <w:rPr/>
            </w:pPr>
            <w:r>
              <w:rPr/>
              <w:t>February 9, 2023</w:t>
            </w:r>
            <w:r>
              <w:rPr>
                <w:position w:val="8"/>
                <w:sz w:val="19"/>
              </w:rPr>
              <w:t>(3)</w:t>
            </w:r>
          </w:p>
        </w:tc>
        <w:tc>
          <w:tcPr>
            <w:tcW w:w="1885" w:type="dxa"/>
            <w:tcBorders/>
            <w:vAlign w:val="center"/>
          </w:tcPr>
          <w:p>
            <w:pPr>
              <w:pStyle w:val="TableContents"/>
              <w:bidi w:val="0"/>
              <w:spacing w:before="0" w:after="0"/>
              <w:jc w:val="center"/>
              <w:rPr/>
            </w:pPr>
            <w:r>
              <w:rPr/>
              <w:t>300,000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$0.58</w:t>
            </w:r>
          </w:p>
        </w:tc>
      </w:tr>
      <w:tr>
        <w:trPr/>
        <w:tc>
          <w:tcPr>
            <w:tcW w:w="2278" w:type="dxa"/>
            <w:tcBorders/>
            <w:shd w:fill="E6EFFF" w:val="clear"/>
            <w:vAlign w:val="center"/>
          </w:tcPr>
          <w:p>
            <w:pPr>
              <w:pStyle w:val="TableContents"/>
              <w:bidi w:val="0"/>
              <w:spacing w:before="0" w:after="0"/>
              <w:ind w:left="0" w:right="113" w:hanging="0"/>
              <w:jc w:val="center"/>
              <w:rPr/>
            </w:pPr>
            <w:r>
              <w:rPr/>
              <w:t>February 10, 2023</w:t>
            </w:r>
            <w:r>
              <w:rPr>
                <w:position w:val="8"/>
                <w:sz w:val="19"/>
              </w:rPr>
              <w:t>(3)</w:t>
            </w:r>
          </w:p>
        </w:tc>
        <w:tc>
          <w:tcPr>
            <w:tcW w:w="1885" w:type="dxa"/>
            <w:tcBorders/>
            <w:shd w:fill="E6EFFF" w:val="clear"/>
            <w:vAlign w:val="center"/>
          </w:tcPr>
          <w:p>
            <w:pPr>
              <w:pStyle w:val="TableContents"/>
              <w:bidi w:val="0"/>
              <w:spacing w:before="0" w:after="0"/>
              <w:jc w:val="center"/>
              <w:rPr/>
            </w:pPr>
            <w:r>
              <w:rPr/>
              <w:t>580,000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$0.59</w:t>
            </w:r>
          </w:p>
        </w:tc>
      </w:tr>
      <w:tr>
        <w:trPr/>
        <w:tc>
          <w:tcPr>
            <w:tcW w:w="2278" w:type="dxa"/>
            <w:tcBorders/>
            <w:vAlign w:val="center"/>
          </w:tcPr>
          <w:p>
            <w:pPr>
              <w:pStyle w:val="TableContents"/>
              <w:bidi w:val="0"/>
              <w:spacing w:before="0" w:after="0"/>
              <w:ind w:left="0" w:right="113" w:hanging="0"/>
              <w:jc w:val="center"/>
              <w:rPr/>
            </w:pPr>
            <w:r>
              <w:rPr/>
              <w:t>February 13, 2023</w:t>
            </w:r>
            <w:r>
              <w:rPr>
                <w:position w:val="8"/>
                <w:sz w:val="19"/>
              </w:rPr>
              <w:t>(3)</w:t>
            </w:r>
          </w:p>
        </w:tc>
        <w:tc>
          <w:tcPr>
            <w:tcW w:w="1885" w:type="dxa"/>
            <w:tcBorders/>
            <w:vAlign w:val="center"/>
          </w:tcPr>
          <w:p>
            <w:pPr>
              <w:pStyle w:val="TableContents"/>
              <w:bidi w:val="0"/>
              <w:spacing w:before="0" w:after="0"/>
              <w:jc w:val="center"/>
              <w:rPr/>
            </w:pPr>
            <w:r>
              <w:rPr/>
              <w:t>700,000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$0.58</w:t>
            </w:r>
          </w:p>
        </w:tc>
      </w:tr>
      <w:tr>
        <w:trPr/>
        <w:tc>
          <w:tcPr>
            <w:tcW w:w="2278" w:type="dxa"/>
            <w:tcBorders/>
            <w:shd w:fill="E6EFFF" w:val="clear"/>
            <w:vAlign w:val="center"/>
          </w:tcPr>
          <w:p>
            <w:pPr>
              <w:pStyle w:val="TableContents"/>
              <w:bidi w:val="0"/>
              <w:spacing w:before="0" w:after="0"/>
              <w:ind w:left="0" w:right="113" w:hanging="0"/>
              <w:jc w:val="center"/>
              <w:rPr/>
            </w:pPr>
            <w:r>
              <w:rPr/>
              <w:t>March 3, 2023</w:t>
            </w:r>
            <w:r>
              <w:rPr>
                <w:position w:val="8"/>
                <w:sz w:val="19"/>
              </w:rPr>
              <w:t>(3)</w:t>
            </w:r>
          </w:p>
        </w:tc>
        <w:tc>
          <w:tcPr>
            <w:tcW w:w="1885" w:type="dxa"/>
            <w:tcBorders/>
            <w:shd w:fill="E6EFFF" w:val="clear"/>
            <w:vAlign w:val="center"/>
          </w:tcPr>
          <w:p>
            <w:pPr>
              <w:pStyle w:val="TableContents"/>
              <w:bidi w:val="0"/>
              <w:spacing w:before="0" w:after="0"/>
              <w:jc w:val="center"/>
              <w:rPr/>
            </w:pPr>
            <w:r>
              <w:rPr/>
              <w:t>123,400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$0.66</w:t>
            </w:r>
          </w:p>
        </w:tc>
      </w:tr>
      <w:tr>
        <w:trPr/>
        <w:tc>
          <w:tcPr>
            <w:tcW w:w="2278" w:type="dxa"/>
            <w:tcBorders/>
            <w:vAlign w:val="center"/>
          </w:tcPr>
          <w:p>
            <w:pPr>
              <w:pStyle w:val="TableContents"/>
              <w:bidi w:val="0"/>
              <w:spacing w:before="0" w:after="0"/>
              <w:ind w:left="0" w:right="113" w:hanging="0"/>
              <w:jc w:val="center"/>
              <w:rPr/>
            </w:pPr>
            <w:r>
              <w:rPr/>
              <w:t>March 6, 2023</w:t>
            </w:r>
            <w:r>
              <w:rPr>
                <w:position w:val="8"/>
                <w:sz w:val="19"/>
              </w:rPr>
              <w:t>(3)</w:t>
            </w:r>
          </w:p>
        </w:tc>
        <w:tc>
          <w:tcPr>
            <w:tcW w:w="1885" w:type="dxa"/>
            <w:tcBorders/>
            <w:vAlign w:val="center"/>
          </w:tcPr>
          <w:p>
            <w:pPr>
              <w:pStyle w:val="TableContents"/>
              <w:bidi w:val="0"/>
              <w:spacing w:before="0" w:after="0"/>
              <w:jc w:val="center"/>
              <w:rPr/>
            </w:pPr>
            <w:r>
              <w:rPr/>
              <w:t>884,000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$0.61</w:t>
            </w:r>
          </w:p>
        </w:tc>
      </w:tr>
      <w:tr>
        <w:trPr/>
        <w:tc>
          <w:tcPr>
            <w:tcW w:w="2278" w:type="dxa"/>
            <w:tcBorders/>
            <w:shd w:fill="E6EFFF" w:val="clear"/>
            <w:vAlign w:val="center"/>
          </w:tcPr>
          <w:p>
            <w:pPr>
              <w:pStyle w:val="TableContents"/>
              <w:bidi w:val="0"/>
              <w:spacing w:before="0" w:after="0"/>
              <w:ind w:left="0" w:right="113" w:hanging="0"/>
              <w:jc w:val="center"/>
              <w:rPr/>
            </w:pPr>
            <w:r>
              <w:rPr/>
              <w:t>March 7, 2023</w:t>
            </w:r>
            <w:r>
              <w:rPr>
                <w:position w:val="8"/>
                <w:sz w:val="19"/>
              </w:rPr>
              <w:t>(3)</w:t>
            </w:r>
          </w:p>
        </w:tc>
        <w:tc>
          <w:tcPr>
            <w:tcW w:w="1885" w:type="dxa"/>
            <w:tcBorders/>
            <w:shd w:fill="E6EFFF" w:val="clear"/>
            <w:vAlign w:val="center"/>
          </w:tcPr>
          <w:p>
            <w:pPr>
              <w:pStyle w:val="TableContents"/>
              <w:bidi w:val="0"/>
              <w:spacing w:before="0" w:after="0"/>
              <w:jc w:val="center"/>
              <w:rPr/>
            </w:pPr>
            <w:r>
              <w:rPr/>
              <w:t>102,000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$0.60</w:t>
            </w:r>
          </w:p>
        </w:tc>
      </w:tr>
      <w:tr>
        <w:trPr/>
        <w:tc>
          <w:tcPr>
            <w:tcW w:w="2278" w:type="dxa"/>
            <w:tcBorders/>
            <w:vAlign w:val="center"/>
          </w:tcPr>
          <w:p>
            <w:pPr>
              <w:pStyle w:val="TableContents"/>
              <w:bidi w:val="0"/>
              <w:spacing w:before="0" w:after="0"/>
              <w:ind w:left="0" w:right="113" w:hanging="0"/>
              <w:jc w:val="center"/>
              <w:rPr/>
            </w:pPr>
            <w:r>
              <w:rPr/>
              <w:t>March 8, 2023</w:t>
            </w:r>
            <w:r>
              <w:rPr>
                <w:position w:val="8"/>
                <w:sz w:val="19"/>
              </w:rPr>
              <w:t>(3)</w:t>
            </w:r>
          </w:p>
        </w:tc>
        <w:tc>
          <w:tcPr>
            <w:tcW w:w="1885" w:type="dxa"/>
            <w:tcBorders/>
            <w:vAlign w:val="center"/>
          </w:tcPr>
          <w:p>
            <w:pPr>
              <w:pStyle w:val="TableContents"/>
              <w:bidi w:val="0"/>
              <w:spacing w:before="0" w:after="0"/>
              <w:jc w:val="center"/>
              <w:rPr/>
            </w:pPr>
            <w:r>
              <w:rPr/>
              <w:t>50,000</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$0.60</w:t>
            </w:r>
          </w:p>
        </w:tc>
      </w:tr>
      <w:tr>
        <w:trPr/>
        <w:tc>
          <w:tcPr>
            <w:tcW w:w="2278" w:type="dxa"/>
            <w:tcBorders/>
            <w:shd w:fill="E6EFFF" w:val="clear"/>
            <w:vAlign w:val="center"/>
          </w:tcPr>
          <w:p>
            <w:pPr>
              <w:pStyle w:val="TableContents"/>
              <w:bidi w:val="0"/>
              <w:spacing w:before="0" w:after="0"/>
              <w:ind w:left="0" w:right="113" w:hanging="0"/>
              <w:jc w:val="center"/>
              <w:rPr/>
            </w:pPr>
            <w:r>
              <w:rPr/>
              <w:t>March 9, 2023</w:t>
            </w:r>
            <w:r>
              <w:rPr>
                <w:position w:val="8"/>
                <w:sz w:val="19"/>
              </w:rPr>
              <w:t>(3)</w:t>
            </w:r>
          </w:p>
        </w:tc>
        <w:tc>
          <w:tcPr>
            <w:tcW w:w="1885" w:type="dxa"/>
            <w:tcBorders/>
            <w:shd w:fill="E6EFFF" w:val="clear"/>
            <w:vAlign w:val="center"/>
          </w:tcPr>
          <w:p>
            <w:pPr>
              <w:pStyle w:val="TableContents"/>
              <w:bidi w:val="0"/>
              <w:spacing w:before="0" w:after="0"/>
              <w:jc w:val="center"/>
              <w:rPr/>
            </w:pPr>
            <w:r>
              <w:rPr/>
              <w:t>620,000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$0.55</w:t>
            </w:r>
          </w:p>
        </w:tc>
      </w:tr>
      <w:tr>
        <w:trPr/>
        <w:tc>
          <w:tcPr>
            <w:tcW w:w="2278" w:type="dxa"/>
            <w:tcBorders/>
            <w:vAlign w:val="center"/>
          </w:tcPr>
          <w:p>
            <w:pPr>
              <w:pStyle w:val="TableContents"/>
              <w:bidi w:val="0"/>
              <w:spacing w:before="0" w:after="0"/>
              <w:ind w:left="0" w:right="113" w:hanging="0"/>
              <w:jc w:val="center"/>
              <w:rPr/>
            </w:pPr>
            <w:r>
              <w:rPr/>
              <w:t>March 13, 2023</w:t>
            </w:r>
            <w:r>
              <w:rPr>
                <w:position w:val="8"/>
                <w:sz w:val="19"/>
              </w:rPr>
              <w:t>(3)</w:t>
            </w:r>
          </w:p>
        </w:tc>
        <w:tc>
          <w:tcPr>
            <w:tcW w:w="1885" w:type="dxa"/>
            <w:tcBorders/>
            <w:vAlign w:val="center"/>
          </w:tcPr>
          <w:p>
            <w:pPr>
              <w:pStyle w:val="TableContents"/>
              <w:bidi w:val="0"/>
              <w:spacing w:before="0" w:after="0"/>
              <w:jc w:val="center"/>
              <w:rPr/>
            </w:pPr>
            <w:r>
              <w:rPr/>
              <w:t>125,837</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$0.55</w:t>
            </w:r>
          </w:p>
        </w:tc>
      </w:tr>
      <w:tr>
        <w:trPr/>
        <w:tc>
          <w:tcPr>
            <w:tcW w:w="2278" w:type="dxa"/>
            <w:tcBorders/>
            <w:shd w:fill="E6EFFF" w:val="clear"/>
            <w:vAlign w:val="center"/>
          </w:tcPr>
          <w:p>
            <w:pPr>
              <w:pStyle w:val="TableContents"/>
              <w:bidi w:val="0"/>
              <w:spacing w:before="0" w:after="0"/>
              <w:ind w:left="0" w:right="113" w:hanging="0"/>
              <w:jc w:val="center"/>
              <w:rPr/>
            </w:pPr>
            <w:r>
              <w:rPr/>
              <w:t>March 14, 2023</w:t>
            </w:r>
            <w:r>
              <w:rPr>
                <w:position w:val="8"/>
                <w:sz w:val="19"/>
              </w:rPr>
              <w:t>(3)</w:t>
            </w:r>
          </w:p>
        </w:tc>
        <w:tc>
          <w:tcPr>
            <w:tcW w:w="1885" w:type="dxa"/>
            <w:tcBorders/>
            <w:shd w:fill="E6EFFF" w:val="clear"/>
            <w:vAlign w:val="center"/>
          </w:tcPr>
          <w:p>
            <w:pPr>
              <w:pStyle w:val="TableContents"/>
              <w:bidi w:val="0"/>
              <w:spacing w:before="0" w:after="0"/>
              <w:jc w:val="center"/>
              <w:rPr/>
            </w:pPr>
            <w:r>
              <w:rPr/>
              <w:t>446,000</w:t>
            </w:r>
          </w:p>
        </w:tc>
        <w:tc>
          <w:tcPr>
            <w:tcW w:w="1595" w:type="dxa"/>
            <w:tcBorders/>
            <w:shd w:fill="E6EFFF" w:val="clear"/>
            <w:vAlign w:val="center"/>
          </w:tcPr>
          <w:p>
            <w:pPr>
              <w:pStyle w:val="TableContents"/>
              <w:bidi w:val="0"/>
              <w:spacing w:before="0" w:after="0"/>
              <w:jc w:val="center"/>
              <w:rPr/>
            </w:pPr>
            <w:r>
              <w:rPr/>
              <w:t>Common Shares</w:t>
            </w:r>
          </w:p>
        </w:tc>
        <w:tc>
          <w:tcPr>
            <w:tcW w:w="2977" w:type="dxa"/>
            <w:tcBorders/>
            <w:shd w:fill="E6EFFF" w:val="clear"/>
            <w:vAlign w:val="center"/>
          </w:tcPr>
          <w:p>
            <w:pPr>
              <w:pStyle w:val="TableContents"/>
              <w:bidi w:val="0"/>
              <w:spacing w:before="0" w:after="0"/>
              <w:jc w:val="center"/>
              <w:rPr/>
            </w:pPr>
            <w:r>
              <w:rPr/>
              <w:t>$0.54</w:t>
            </w:r>
          </w:p>
        </w:tc>
      </w:tr>
      <w:tr>
        <w:trPr/>
        <w:tc>
          <w:tcPr>
            <w:tcW w:w="2278" w:type="dxa"/>
            <w:tcBorders/>
            <w:vAlign w:val="center"/>
          </w:tcPr>
          <w:p>
            <w:pPr>
              <w:pStyle w:val="TableContents"/>
              <w:bidi w:val="0"/>
              <w:spacing w:before="0" w:after="0"/>
              <w:ind w:left="0" w:right="113" w:hanging="0"/>
              <w:jc w:val="center"/>
              <w:rPr/>
            </w:pPr>
            <w:r>
              <w:rPr/>
              <w:t>March 14, 2023</w:t>
            </w:r>
            <w:r>
              <w:rPr>
                <w:position w:val="8"/>
                <w:sz w:val="19"/>
              </w:rPr>
              <w:t>(2)</w:t>
            </w:r>
          </w:p>
        </w:tc>
        <w:tc>
          <w:tcPr>
            <w:tcW w:w="1885" w:type="dxa"/>
            <w:tcBorders/>
            <w:vAlign w:val="center"/>
          </w:tcPr>
          <w:p>
            <w:pPr>
              <w:pStyle w:val="TableContents"/>
              <w:bidi w:val="0"/>
              <w:spacing w:before="0" w:after="0"/>
              <w:jc w:val="center"/>
              <w:rPr/>
            </w:pPr>
            <w:r>
              <w:rPr/>
              <w:t>2,387,222</w:t>
            </w:r>
          </w:p>
        </w:tc>
        <w:tc>
          <w:tcPr>
            <w:tcW w:w="1595" w:type="dxa"/>
            <w:tcBorders/>
            <w:vAlign w:val="center"/>
          </w:tcPr>
          <w:p>
            <w:pPr>
              <w:pStyle w:val="TableContents"/>
              <w:bidi w:val="0"/>
              <w:spacing w:before="0" w:after="0"/>
              <w:jc w:val="center"/>
              <w:rPr/>
            </w:pPr>
            <w:r>
              <w:rPr/>
              <w:t>Common Shares</w:t>
            </w:r>
          </w:p>
        </w:tc>
        <w:tc>
          <w:tcPr>
            <w:tcW w:w="2977" w:type="dxa"/>
            <w:tcBorders/>
            <w:vAlign w:val="center"/>
          </w:tcPr>
          <w:p>
            <w:pPr>
              <w:pStyle w:val="TableContents"/>
              <w:bidi w:val="0"/>
              <w:spacing w:before="0" w:after="0"/>
              <w:jc w:val="center"/>
              <w:rPr/>
            </w:pPr>
            <w:r>
              <w:rPr/>
              <w:t>$0.52</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36" w:name="page_23"/>
      <w:bookmarkStart w:id="37" w:name="page_23"/>
      <w:bookmarkEnd w:id="37"/>
    </w:p>
    <w:tbl>
      <w:tblPr>
        <w:tblW w:w="5045" w:type="dxa"/>
        <w:jc w:val="left"/>
        <w:tblInd w:w="0" w:type="dxa"/>
        <w:tblLayout w:type="fixed"/>
        <w:tblCellMar>
          <w:top w:w="0" w:type="dxa"/>
          <w:left w:w="0" w:type="dxa"/>
          <w:bottom w:w="0" w:type="dxa"/>
          <w:right w:w="0" w:type="dxa"/>
        </w:tblCellMar>
      </w:tblPr>
      <w:tblGrid>
        <w:gridCol w:w="1775"/>
        <w:gridCol w:w="1100"/>
        <w:gridCol w:w="1595"/>
        <w:gridCol w:w="575"/>
      </w:tblGrid>
      <w:tr>
        <w:trPr/>
        <w:tc>
          <w:tcPr>
            <w:tcW w:w="1775" w:type="dxa"/>
            <w:tcBorders/>
            <w:shd w:fill="E6EFFF" w:val="clear"/>
            <w:vAlign w:val="center"/>
          </w:tcPr>
          <w:p>
            <w:pPr>
              <w:pStyle w:val="TableContents"/>
              <w:bidi w:val="0"/>
              <w:spacing w:before="0" w:after="283"/>
              <w:jc w:val="center"/>
              <w:rPr/>
            </w:pPr>
            <w:r>
              <w:rPr/>
              <w:t>March 16, 2023</w:t>
            </w:r>
            <w:r>
              <w:rPr>
                <w:position w:val="8"/>
                <w:sz w:val="19"/>
              </w:rPr>
              <w:t>(3)</w:t>
            </w:r>
          </w:p>
        </w:tc>
        <w:tc>
          <w:tcPr>
            <w:tcW w:w="1100" w:type="dxa"/>
            <w:tcBorders/>
            <w:shd w:fill="E6EFFF" w:val="clear"/>
            <w:vAlign w:val="center"/>
          </w:tcPr>
          <w:p>
            <w:pPr>
              <w:pStyle w:val="TableContents"/>
              <w:bidi w:val="0"/>
              <w:spacing w:before="0" w:after="283"/>
              <w:jc w:val="center"/>
              <w:rPr/>
            </w:pPr>
            <w:r>
              <w:rPr/>
              <w:t>200,000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$0.53</w:t>
            </w:r>
          </w:p>
        </w:tc>
      </w:tr>
      <w:tr>
        <w:trPr/>
        <w:tc>
          <w:tcPr>
            <w:tcW w:w="1775" w:type="dxa"/>
            <w:tcBorders/>
            <w:vAlign w:val="center"/>
          </w:tcPr>
          <w:p>
            <w:pPr>
              <w:pStyle w:val="TableContents"/>
              <w:bidi w:val="0"/>
              <w:spacing w:before="0" w:after="283"/>
              <w:jc w:val="center"/>
              <w:rPr/>
            </w:pPr>
            <w:r>
              <w:rPr/>
              <w:t>March 17, 2023</w:t>
            </w:r>
            <w:r>
              <w:rPr>
                <w:position w:val="8"/>
                <w:sz w:val="19"/>
              </w:rPr>
              <w:t>(3)</w:t>
            </w:r>
          </w:p>
        </w:tc>
        <w:tc>
          <w:tcPr>
            <w:tcW w:w="1100" w:type="dxa"/>
            <w:tcBorders/>
            <w:vAlign w:val="center"/>
          </w:tcPr>
          <w:p>
            <w:pPr>
              <w:pStyle w:val="TableContents"/>
              <w:bidi w:val="0"/>
              <w:spacing w:before="0" w:after="283"/>
              <w:jc w:val="center"/>
              <w:rPr/>
            </w:pPr>
            <w:r>
              <w:rPr/>
              <w:t>80,000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$0.52</w:t>
            </w:r>
          </w:p>
        </w:tc>
      </w:tr>
      <w:tr>
        <w:trPr/>
        <w:tc>
          <w:tcPr>
            <w:tcW w:w="1775" w:type="dxa"/>
            <w:tcBorders/>
            <w:shd w:fill="E6EFFF" w:val="clear"/>
            <w:vAlign w:val="center"/>
          </w:tcPr>
          <w:p>
            <w:pPr>
              <w:pStyle w:val="TableContents"/>
              <w:bidi w:val="0"/>
              <w:spacing w:before="0" w:after="283"/>
              <w:jc w:val="center"/>
              <w:rPr/>
            </w:pPr>
            <w:r>
              <w:rPr/>
              <w:t>March 20, 2023</w:t>
            </w:r>
            <w:r>
              <w:rPr>
                <w:position w:val="8"/>
                <w:sz w:val="19"/>
              </w:rPr>
              <w:t>(3)</w:t>
            </w:r>
          </w:p>
        </w:tc>
        <w:tc>
          <w:tcPr>
            <w:tcW w:w="1100" w:type="dxa"/>
            <w:tcBorders/>
            <w:shd w:fill="E6EFFF" w:val="clear"/>
            <w:vAlign w:val="center"/>
          </w:tcPr>
          <w:p>
            <w:pPr>
              <w:pStyle w:val="TableContents"/>
              <w:bidi w:val="0"/>
              <w:spacing w:before="0" w:after="283"/>
              <w:jc w:val="center"/>
              <w:rPr/>
            </w:pPr>
            <w:r>
              <w:rPr/>
              <w:t>254,000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$0.51</w:t>
            </w:r>
          </w:p>
        </w:tc>
      </w:tr>
      <w:tr>
        <w:trPr/>
        <w:tc>
          <w:tcPr>
            <w:tcW w:w="1775" w:type="dxa"/>
            <w:tcBorders/>
            <w:vAlign w:val="center"/>
          </w:tcPr>
          <w:p>
            <w:pPr>
              <w:pStyle w:val="TableContents"/>
              <w:bidi w:val="0"/>
              <w:spacing w:before="0" w:after="283"/>
              <w:jc w:val="center"/>
              <w:rPr/>
            </w:pPr>
            <w:r>
              <w:rPr/>
              <w:t>March 21, 2023</w:t>
            </w:r>
            <w:r>
              <w:rPr>
                <w:position w:val="8"/>
                <w:sz w:val="19"/>
              </w:rPr>
              <w:t>(3)</w:t>
            </w:r>
          </w:p>
        </w:tc>
        <w:tc>
          <w:tcPr>
            <w:tcW w:w="1100" w:type="dxa"/>
            <w:tcBorders/>
            <w:vAlign w:val="center"/>
          </w:tcPr>
          <w:p>
            <w:pPr>
              <w:pStyle w:val="TableContents"/>
              <w:bidi w:val="0"/>
              <w:spacing w:before="0" w:after="283"/>
              <w:jc w:val="center"/>
              <w:rPr/>
            </w:pPr>
            <w:r>
              <w:rPr/>
              <w:t>180,000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$0.51</w:t>
            </w:r>
          </w:p>
        </w:tc>
      </w:tr>
      <w:tr>
        <w:trPr/>
        <w:tc>
          <w:tcPr>
            <w:tcW w:w="1775" w:type="dxa"/>
            <w:tcBorders/>
            <w:shd w:fill="E6EFFF" w:val="clear"/>
            <w:vAlign w:val="center"/>
          </w:tcPr>
          <w:p>
            <w:pPr>
              <w:pStyle w:val="TableContents"/>
              <w:bidi w:val="0"/>
              <w:spacing w:before="0" w:after="283"/>
              <w:jc w:val="center"/>
              <w:rPr/>
            </w:pPr>
            <w:r>
              <w:rPr/>
              <w:t>March 22, 2023</w:t>
            </w:r>
            <w:r>
              <w:rPr>
                <w:position w:val="8"/>
                <w:sz w:val="19"/>
              </w:rPr>
              <w:t>(3)</w:t>
            </w:r>
          </w:p>
        </w:tc>
        <w:tc>
          <w:tcPr>
            <w:tcW w:w="1100" w:type="dxa"/>
            <w:tcBorders/>
            <w:shd w:fill="E6EFFF" w:val="clear"/>
            <w:vAlign w:val="center"/>
          </w:tcPr>
          <w:p>
            <w:pPr>
              <w:pStyle w:val="TableContents"/>
              <w:bidi w:val="0"/>
              <w:spacing w:before="0" w:after="283"/>
              <w:jc w:val="center"/>
              <w:rPr/>
            </w:pPr>
            <w:r>
              <w:rPr/>
              <w:t>170,000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$0.50</w:t>
            </w:r>
          </w:p>
        </w:tc>
      </w:tr>
      <w:tr>
        <w:trPr/>
        <w:tc>
          <w:tcPr>
            <w:tcW w:w="1775" w:type="dxa"/>
            <w:tcBorders/>
            <w:vAlign w:val="center"/>
          </w:tcPr>
          <w:p>
            <w:pPr>
              <w:pStyle w:val="TableContents"/>
              <w:bidi w:val="0"/>
              <w:spacing w:before="0" w:after="283"/>
              <w:jc w:val="center"/>
              <w:rPr/>
            </w:pPr>
            <w:r>
              <w:rPr/>
              <w:t>March 28, 2023</w:t>
            </w:r>
            <w:r>
              <w:rPr>
                <w:position w:val="8"/>
                <w:sz w:val="19"/>
              </w:rPr>
              <w:t>(3)</w:t>
            </w:r>
          </w:p>
        </w:tc>
        <w:tc>
          <w:tcPr>
            <w:tcW w:w="1100" w:type="dxa"/>
            <w:tcBorders/>
            <w:vAlign w:val="center"/>
          </w:tcPr>
          <w:p>
            <w:pPr>
              <w:pStyle w:val="TableContents"/>
              <w:bidi w:val="0"/>
              <w:spacing w:before="0" w:after="283"/>
              <w:jc w:val="center"/>
              <w:rPr/>
            </w:pPr>
            <w:r>
              <w:rPr/>
              <w:t>439,000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$0.52</w:t>
            </w:r>
          </w:p>
        </w:tc>
      </w:tr>
      <w:tr>
        <w:trPr/>
        <w:tc>
          <w:tcPr>
            <w:tcW w:w="1775" w:type="dxa"/>
            <w:tcBorders/>
            <w:shd w:fill="E6EFFF" w:val="clear"/>
            <w:vAlign w:val="center"/>
          </w:tcPr>
          <w:p>
            <w:pPr>
              <w:pStyle w:val="TableContents"/>
              <w:bidi w:val="0"/>
              <w:spacing w:before="0" w:after="283"/>
              <w:jc w:val="center"/>
              <w:rPr/>
            </w:pPr>
            <w:r>
              <w:rPr/>
              <w:t>March 29, 2023</w:t>
            </w:r>
            <w:r>
              <w:rPr>
                <w:position w:val="8"/>
                <w:sz w:val="19"/>
              </w:rPr>
              <w:t>(3)</w:t>
            </w:r>
          </w:p>
        </w:tc>
        <w:tc>
          <w:tcPr>
            <w:tcW w:w="1100" w:type="dxa"/>
            <w:tcBorders/>
            <w:shd w:fill="E6EFFF" w:val="clear"/>
            <w:vAlign w:val="center"/>
          </w:tcPr>
          <w:p>
            <w:pPr>
              <w:pStyle w:val="TableContents"/>
              <w:bidi w:val="0"/>
              <w:spacing w:before="0" w:after="283"/>
              <w:jc w:val="center"/>
              <w:rPr/>
            </w:pPr>
            <w:r>
              <w:rPr/>
              <w:t>47,300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$0.51</w:t>
            </w:r>
          </w:p>
        </w:tc>
      </w:tr>
      <w:tr>
        <w:trPr/>
        <w:tc>
          <w:tcPr>
            <w:tcW w:w="1775" w:type="dxa"/>
            <w:tcBorders/>
            <w:vAlign w:val="center"/>
          </w:tcPr>
          <w:p>
            <w:pPr>
              <w:pStyle w:val="TableContents"/>
              <w:bidi w:val="0"/>
              <w:spacing w:before="0" w:after="283"/>
              <w:jc w:val="center"/>
              <w:rPr/>
            </w:pPr>
            <w:r>
              <w:rPr/>
              <w:t>April 19, 2023</w:t>
            </w:r>
            <w:r>
              <w:rPr>
                <w:position w:val="8"/>
                <w:sz w:val="19"/>
              </w:rPr>
              <w:t>(3)</w:t>
            </w:r>
          </w:p>
        </w:tc>
        <w:tc>
          <w:tcPr>
            <w:tcW w:w="1100" w:type="dxa"/>
            <w:tcBorders/>
            <w:vAlign w:val="center"/>
          </w:tcPr>
          <w:p>
            <w:pPr>
              <w:pStyle w:val="TableContents"/>
              <w:bidi w:val="0"/>
              <w:spacing w:before="0" w:after="283"/>
              <w:jc w:val="center"/>
              <w:rPr/>
            </w:pPr>
            <w:r>
              <w:rPr/>
              <w:t>350,000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$0.49</w:t>
            </w:r>
          </w:p>
        </w:tc>
      </w:tr>
      <w:tr>
        <w:trPr/>
        <w:tc>
          <w:tcPr>
            <w:tcW w:w="1775" w:type="dxa"/>
            <w:tcBorders/>
            <w:shd w:fill="E6EFFF" w:val="clear"/>
            <w:vAlign w:val="center"/>
          </w:tcPr>
          <w:p>
            <w:pPr>
              <w:pStyle w:val="TableContents"/>
              <w:bidi w:val="0"/>
              <w:spacing w:before="0" w:after="283"/>
              <w:jc w:val="center"/>
              <w:rPr/>
            </w:pPr>
            <w:r>
              <w:rPr/>
              <w:t>April 20, 2023</w:t>
            </w:r>
            <w:r>
              <w:rPr>
                <w:position w:val="8"/>
                <w:sz w:val="19"/>
              </w:rPr>
              <w:t>(3)</w:t>
            </w:r>
          </w:p>
        </w:tc>
        <w:tc>
          <w:tcPr>
            <w:tcW w:w="1100" w:type="dxa"/>
            <w:tcBorders/>
            <w:shd w:fill="E6EFFF" w:val="clear"/>
            <w:vAlign w:val="center"/>
          </w:tcPr>
          <w:p>
            <w:pPr>
              <w:pStyle w:val="TableContents"/>
              <w:bidi w:val="0"/>
              <w:spacing w:before="0" w:after="283"/>
              <w:jc w:val="center"/>
              <w:rPr/>
            </w:pPr>
            <w:r>
              <w:rPr/>
              <w:t>200,000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$0.48</w:t>
            </w:r>
          </w:p>
        </w:tc>
      </w:tr>
      <w:tr>
        <w:trPr/>
        <w:tc>
          <w:tcPr>
            <w:tcW w:w="1775" w:type="dxa"/>
            <w:tcBorders/>
            <w:vAlign w:val="center"/>
          </w:tcPr>
          <w:p>
            <w:pPr>
              <w:pStyle w:val="TableContents"/>
              <w:bidi w:val="0"/>
              <w:spacing w:before="0" w:after="283"/>
              <w:jc w:val="center"/>
              <w:rPr/>
            </w:pPr>
            <w:r>
              <w:rPr/>
              <w:t>April 21, 2023</w:t>
            </w:r>
            <w:r>
              <w:rPr>
                <w:position w:val="8"/>
                <w:sz w:val="19"/>
              </w:rPr>
              <w:t>(3)</w:t>
            </w:r>
          </w:p>
        </w:tc>
        <w:tc>
          <w:tcPr>
            <w:tcW w:w="1100" w:type="dxa"/>
            <w:tcBorders/>
            <w:vAlign w:val="center"/>
          </w:tcPr>
          <w:p>
            <w:pPr>
              <w:pStyle w:val="TableContents"/>
              <w:bidi w:val="0"/>
              <w:spacing w:before="0" w:after="283"/>
              <w:jc w:val="center"/>
              <w:rPr/>
            </w:pPr>
            <w:r>
              <w:rPr/>
              <w:t>153,000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$0.49</w:t>
            </w:r>
          </w:p>
        </w:tc>
      </w:tr>
      <w:tr>
        <w:trPr/>
        <w:tc>
          <w:tcPr>
            <w:tcW w:w="1775" w:type="dxa"/>
            <w:tcBorders/>
            <w:shd w:fill="E6EFFF" w:val="clear"/>
            <w:vAlign w:val="center"/>
          </w:tcPr>
          <w:p>
            <w:pPr>
              <w:pStyle w:val="TableContents"/>
              <w:bidi w:val="0"/>
              <w:spacing w:before="0" w:after="283"/>
              <w:jc w:val="center"/>
              <w:rPr/>
            </w:pPr>
            <w:r>
              <w:rPr/>
              <w:t>April 26, 2023</w:t>
            </w:r>
            <w:r>
              <w:rPr>
                <w:position w:val="8"/>
                <w:sz w:val="19"/>
              </w:rPr>
              <w:t>(3)</w:t>
            </w:r>
          </w:p>
        </w:tc>
        <w:tc>
          <w:tcPr>
            <w:tcW w:w="1100" w:type="dxa"/>
            <w:tcBorders/>
            <w:shd w:fill="E6EFFF" w:val="clear"/>
            <w:vAlign w:val="center"/>
          </w:tcPr>
          <w:p>
            <w:pPr>
              <w:pStyle w:val="TableContents"/>
              <w:bidi w:val="0"/>
              <w:spacing w:before="0" w:after="283"/>
              <w:jc w:val="center"/>
              <w:rPr/>
            </w:pPr>
            <w:r>
              <w:rPr/>
              <w:t>257,600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$0.47</w:t>
            </w:r>
          </w:p>
        </w:tc>
      </w:tr>
      <w:tr>
        <w:trPr/>
        <w:tc>
          <w:tcPr>
            <w:tcW w:w="1775" w:type="dxa"/>
            <w:tcBorders/>
            <w:vAlign w:val="center"/>
          </w:tcPr>
          <w:p>
            <w:pPr>
              <w:pStyle w:val="TableContents"/>
              <w:bidi w:val="0"/>
              <w:spacing w:before="0" w:after="283"/>
              <w:jc w:val="center"/>
              <w:rPr/>
            </w:pPr>
            <w:r>
              <w:rPr/>
              <w:t>May 4, 2023</w:t>
            </w:r>
            <w:r>
              <w:rPr>
                <w:position w:val="8"/>
                <w:sz w:val="19"/>
              </w:rPr>
              <w:t>(3)</w:t>
            </w:r>
          </w:p>
        </w:tc>
        <w:tc>
          <w:tcPr>
            <w:tcW w:w="1100" w:type="dxa"/>
            <w:tcBorders/>
            <w:vAlign w:val="center"/>
          </w:tcPr>
          <w:p>
            <w:pPr>
              <w:pStyle w:val="TableContents"/>
              <w:bidi w:val="0"/>
              <w:spacing w:before="0" w:after="283"/>
              <w:jc w:val="center"/>
              <w:rPr/>
            </w:pPr>
            <w:r>
              <w:rPr/>
              <w:t>300,000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$0.43</w:t>
            </w:r>
          </w:p>
        </w:tc>
      </w:tr>
      <w:tr>
        <w:trPr/>
        <w:tc>
          <w:tcPr>
            <w:tcW w:w="1775" w:type="dxa"/>
            <w:tcBorders/>
            <w:shd w:fill="E6EFFF" w:val="clear"/>
            <w:vAlign w:val="center"/>
          </w:tcPr>
          <w:p>
            <w:pPr>
              <w:pStyle w:val="TableContents"/>
              <w:bidi w:val="0"/>
              <w:spacing w:before="0" w:after="283"/>
              <w:jc w:val="center"/>
              <w:rPr/>
            </w:pPr>
            <w:r>
              <w:rPr/>
              <w:t>May 5, 2023</w:t>
            </w:r>
            <w:r>
              <w:rPr>
                <w:position w:val="8"/>
                <w:sz w:val="19"/>
              </w:rPr>
              <w:t>(3)</w:t>
            </w:r>
          </w:p>
        </w:tc>
        <w:tc>
          <w:tcPr>
            <w:tcW w:w="1100" w:type="dxa"/>
            <w:tcBorders/>
            <w:shd w:fill="E6EFFF" w:val="clear"/>
            <w:vAlign w:val="center"/>
          </w:tcPr>
          <w:p>
            <w:pPr>
              <w:pStyle w:val="TableContents"/>
              <w:bidi w:val="0"/>
              <w:spacing w:before="0" w:after="283"/>
              <w:jc w:val="center"/>
              <w:rPr/>
            </w:pPr>
            <w:r>
              <w:rPr/>
              <w:t>323,000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$0.42</w:t>
            </w:r>
          </w:p>
        </w:tc>
      </w:tr>
      <w:tr>
        <w:trPr/>
        <w:tc>
          <w:tcPr>
            <w:tcW w:w="1775" w:type="dxa"/>
            <w:tcBorders/>
            <w:vAlign w:val="center"/>
          </w:tcPr>
          <w:p>
            <w:pPr>
              <w:pStyle w:val="TableContents"/>
              <w:bidi w:val="0"/>
              <w:spacing w:before="0" w:after="283"/>
              <w:jc w:val="center"/>
              <w:rPr/>
            </w:pPr>
            <w:r>
              <w:rPr/>
              <w:t>May 9, 2023</w:t>
            </w:r>
            <w:r>
              <w:rPr>
                <w:position w:val="8"/>
                <w:sz w:val="19"/>
              </w:rPr>
              <w:t>(3)</w:t>
            </w:r>
          </w:p>
        </w:tc>
        <w:tc>
          <w:tcPr>
            <w:tcW w:w="1100" w:type="dxa"/>
            <w:tcBorders/>
            <w:vAlign w:val="center"/>
          </w:tcPr>
          <w:p>
            <w:pPr>
              <w:pStyle w:val="TableContents"/>
              <w:bidi w:val="0"/>
              <w:spacing w:before="0" w:after="283"/>
              <w:jc w:val="center"/>
              <w:rPr/>
            </w:pPr>
            <w:r>
              <w:rPr/>
              <w:t>250,000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$0.41</w:t>
            </w:r>
          </w:p>
        </w:tc>
      </w:tr>
      <w:tr>
        <w:trPr/>
        <w:tc>
          <w:tcPr>
            <w:tcW w:w="1775" w:type="dxa"/>
            <w:tcBorders/>
            <w:shd w:fill="E6EFFF" w:val="clear"/>
            <w:vAlign w:val="center"/>
          </w:tcPr>
          <w:p>
            <w:pPr>
              <w:pStyle w:val="TableContents"/>
              <w:bidi w:val="0"/>
              <w:spacing w:before="0" w:after="283"/>
              <w:jc w:val="center"/>
              <w:rPr/>
            </w:pPr>
            <w:r>
              <w:rPr/>
              <w:t>May 10, 2023</w:t>
            </w:r>
            <w:r>
              <w:rPr>
                <w:position w:val="8"/>
                <w:sz w:val="19"/>
              </w:rPr>
              <w:t>(3)</w:t>
            </w:r>
          </w:p>
        </w:tc>
        <w:tc>
          <w:tcPr>
            <w:tcW w:w="1100" w:type="dxa"/>
            <w:tcBorders/>
            <w:shd w:fill="E6EFFF" w:val="clear"/>
            <w:vAlign w:val="center"/>
          </w:tcPr>
          <w:p>
            <w:pPr>
              <w:pStyle w:val="TableContents"/>
              <w:bidi w:val="0"/>
              <w:spacing w:before="0" w:after="283"/>
              <w:jc w:val="center"/>
              <w:rPr/>
            </w:pPr>
            <w:r>
              <w:rPr/>
              <w:t>300,000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$0.40</w:t>
            </w:r>
          </w:p>
        </w:tc>
      </w:tr>
      <w:tr>
        <w:trPr/>
        <w:tc>
          <w:tcPr>
            <w:tcW w:w="1775" w:type="dxa"/>
            <w:tcBorders/>
            <w:vAlign w:val="center"/>
          </w:tcPr>
          <w:p>
            <w:pPr>
              <w:pStyle w:val="TableContents"/>
              <w:bidi w:val="0"/>
              <w:spacing w:before="0" w:after="283"/>
              <w:jc w:val="center"/>
              <w:rPr/>
            </w:pPr>
            <w:r>
              <w:rPr/>
              <w:t>May 11, 2023</w:t>
            </w:r>
            <w:r>
              <w:rPr>
                <w:position w:val="8"/>
                <w:sz w:val="19"/>
              </w:rPr>
              <w:t>(3)</w:t>
            </w:r>
          </w:p>
        </w:tc>
        <w:tc>
          <w:tcPr>
            <w:tcW w:w="1100" w:type="dxa"/>
            <w:tcBorders/>
            <w:vAlign w:val="center"/>
          </w:tcPr>
          <w:p>
            <w:pPr>
              <w:pStyle w:val="TableContents"/>
              <w:bidi w:val="0"/>
              <w:spacing w:before="0" w:after="283"/>
              <w:jc w:val="center"/>
              <w:rPr/>
            </w:pPr>
            <w:r>
              <w:rPr/>
              <w:t>250,000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$0.41</w:t>
            </w:r>
          </w:p>
        </w:tc>
      </w:tr>
      <w:tr>
        <w:trPr/>
        <w:tc>
          <w:tcPr>
            <w:tcW w:w="1775" w:type="dxa"/>
            <w:tcBorders/>
            <w:shd w:fill="E6EFFF" w:val="clear"/>
            <w:vAlign w:val="center"/>
          </w:tcPr>
          <w:p>
            <w:pPr>
              <w:pStyle w:val="TableContents"/>
              <w:bidi w:val="0"/>
              <w:spacing w:before="0" w:after="283"/>
              <w:jc w:val="center"/>
              <w:rPr/>
            </w:pPr>
            <w:r>
              <w:rPr/>
              <w:t>May 12, 2023</w:t>
            </w:r>
            <w:r>
              <w:rPr>
                <w:position w:val="8"/>
                <w:sz w:val="19"/>
              </w:rPr>
              <w:t>(3)</w:t>
            </w:r>
          </w:p>
        </w:tc>
        <w:tc>
          <w:tcPr>
            <w:tcW w:w="1100" w:type="dxa"/>
            <w:tcBorders/>
            <w:shd w:fill="E6EFFF" w:val="clear"/>
            <w:vAlign w:val="center"/>
          </w:tcPr>
          <w:p>
            <w:pPr>
              <w:pStyle w:val="TableContents"/>
              <w:bidi w:val="0"/>
              <w:spacing w:before="0" w:after="283"/>
              <w:jc w:val="center"/>
              <w:rPr/>
            </w:pPr>
            <w:r>
              <w:rPr/>
              <w:t>392,000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$0.40</w:t>
            </w:r>
          </w:p>
        </w:tc>
      </w:tr>
      <w:tr>
        <w:trPr/>
        <w:tc>
          <w:tcPr>
            <w:tcW w:w="1775" w:type="dxa"/>
            <w:tcBorders/>
            <w:vAlign w:val="center"/>
          </w:tcPr>
          <w:p>
            <w:pPr>
              <w:pStyle w:val="TableContents"/>
              <w:bidi w:val="0"/>
              <w:spacing w:before="0" w:after="283"/>
              <w:jc w:val="center"/>
              <w:rPr/>
            </w:pPr>
            <w:r>
              <w:rPr/>
              <w:t>May 16, 2023</w:t>
            </w:r>
            <w:r>
              <w:rPr>
                <w:position w:val="8"/>
                <w:sz w:val="19"/>
              </w:rPr>
              <w:t>(3)</w:t>
            </w:r>
          </w:p>
        </w:tc>
        <w:tc>
          <w:tcPr>
            <w:tcW w:w="1100" w:type="dxa"/>
            <w:tcBorders/>
            <w:vAlign w:val="center"/>
          </w:tcPr>
          <w:p>
            <w:pPr>
              <w:pStyle w:val="TableContents"/>
              <w:bidi w:val="0"/>
              <w:spacing w:before="0" w:after="283"/>
              <w:jc w:val="center"/>
              <w:rPr/>
            </w:pPr>
            <w:r>
              <w:rPr/>
              <w:t>400,000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$0.40</w:t>
            </w:r>
          </w:p>
        </w:tc>
      </w:tr>
      <w:tr>
        <w:trPr/>
        <w:tc>
          <w:tcPr>
            <w:tcW w:w="1775" w:type="dxa"/>
            <w:tcBorders/>
            <w:shd w:fill="E6EFFF" w:val="clear"/>
            <w:vAlign w:val="center"/>
          </w:tcPr>
          <w:p>
            <w:pPr>
              <w:pStyle w:val="TableContents"/>
              <w:bidi w:val="0"/>
              <w:spacing w:before="0" w:after="283"/>
              <w:jc w:val="center"/>
              <w:rPr/>
            </w:pPr>
            <w:r>
              <w:rPr/>
              <w:t>May 17, 2023</w:t>
            </w:r>
            <w:r>
              <w:rPr>
                <w:position w:val="8"/>
                <w:sz w:val="19"/>
              </w:rPr>
              <w:t>(3)</w:t>
            </w:r>
          </w:p>
        </w:tc>
        <w:tc>
          <w:tcPr>
            <w:tcW w:w="1100" w:type="dxa"/>
            <w:tcBorders/>
            <w:shd w:fill="E6EFFF" w:val="clear"/>
            <w:vAlign w:val="center"/>
          </w:tcPr>
          <w:p>
            <w:pPr>
              <w:pStyle w:val="TableContents"/>
              <w:bidi w:val="0"/>
              <w:spacing w:before="0" w:after="283"/>
              <w:jc w:val="center"/>
              <w:rPr/>
            </w:pPr>
            <w:r>
              <w:rPr/>
              <w:t>104,836</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$0.39</w:t>
            </w:r>
          </w:p>
        </w:tc>
      </w:tr>
      <w:tr>
        <w:trPr/>
        <w:tc>
          <w:tcPr>
            <w:tcW w:w="1775" w:type="dxa"/>
            <w:tcBorders/>
            <w:vAlign w:val="center"/>
          </w:tcPr>
          <w:p>
            <w:pPr>
              <w:pStyle w:val="TableContents"/>
              <w:bidi w:val="0"/>
              <w:spacing w:before="0" w:after="283"/>
              <w:jc w:val="center"/>
              <w:rPr/>
            </w:pPr>
            <w:r>
              <w:rPr/>
              <w:t>May 18, 2023</w:t>
            </w:r>
            <w:r>
              <w:rPr>
                <w:position w:val="8"/>
                <w:sz w:val="19"/>
              </w:rPr>
              <w:t>(3)</w:t>
            </w:r>
          </w:p>
        </w:tc>
        <w:tc>
          <w:tcPr>
            <w:tcW w:w="1100" w:type="dxa"/>
            <w:tcBorders/>
            <w:vAlign w:val="center"/>
          </w:tcPr>
          <w:p>
            <w:pPr>
              <w:pStyle w:val="TableContents"/>
              <w:bidi w:val="0"/>
              <w:spacing w:before="0" w:after="283"/>
              <w:jc w:val="center"/>
              <w:rPr/>
            </w:pPr>
            <w:r>
              <w:rPr/>
              <w:t>250,000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$0.40</w:t>
            </w:r>
          </w:p>
        </w:tc>
      </w:tr>
      <w:tr>
        <w:trPr/>
        <w:tc>
          <w:tcPr>
            <w:tcW w:w="1775" w:type="dxa"/>
            <w:tcBorders/>
            <w:shd w:fill="E6EFFF" w:val="clear"/>
            <w:vAlign w:val="center"/>
          </w:tcPr>
          <w:p>
            <w:pPr>
              <w:pStyle w:val="TableContents"/>
              <w:bidi w:val="0"/>
              <w:spacing w:before="0" w:after="283"/>
              <w:jc w:val="center"/>
              <w:rPr/>
            </w:pPr>
            <w:r>
              <w:rPr/>
              <w:t>May 19, 2023</w:t>
            </w:r>
            <w:r>
              <w:rPr>
                <w:position w:val="8"/>
                <w:sz w:val="19"/>
              </w:rPr>
              <w:t>(3)</w:t>
            </w:r>
          </w:p>
        </w:tc>
        <w:tc>
          <w:tcPr>
            <w:tcW w:w="1100" w:type="dxa"/>
            <w:tcBorders/>
            <w:shd w:fill="E6EFFF" w:val="clear"/>
            <w:vAlign w:val="center"/>
          </w:tcPr>
          <w:p>
            <w:pPr>
              <w:pStyle w:val="TableContents"/>
              <w:bidi w:val="0"/>
              <w:spacing w:before="0" w:after="283"/>
              <w:jc w:val="center"/>
              <w:rPr/>
            </w:pPr>
            <w:r>
              <w:rPr/>
              <w:t>275,000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$0.40</w:t>
            </w:r>
          </w:p>
        </w:tc>
      </w:tr>
      <w:tr>
        <w:trPr/>
        <w:tc>
          <w:tcPr>
            <w:tcW w:w="1775" w:type="dxa"/>
            <w:tcBorders/>
            <w:vAlign w:val="center"/>
          </w:tcPr>
          <w:p>
            <w:pPr>
              <w:pStyle w:val="TableContents"/>
              <w:bidi w:val="0"/>
              <w:spacing w:before="0" w:after="283"/>
              <w:jc w:val="center"/>
              <w:rPr/>
            </w:pPr>
            <w:r>
              <w:rPr/>
              <w:t>May 23, 2023</w:t>
            </w:r>
            <w:r>
              <w:rPr>
                <w:position w:val="8"/>
                <w:sz w:val="19"/>
              </w:rPr>
              <w:t>(3)</w:t>
            </w:r>
          </w:p>
        </w:tc>
        <w:tc>
          <w:tcPr>
            <w:tcW w:w="1100" w:type="dxa"/>
            <w:tcBorders/>
            <w:vAlign w:val="center"/>
          </w:tcPr>
          <w:p>
            <w:pPr>
              <w:pStyle w:val="TableContents"/>
              <w:bidi w:val="0"/>
              <w:spacing w:before="0" w:after="283"/>
              <w:jc w:val="center"/>
              <w:rPr/>
            </w:pPr>
            <w:r>
              <w:rPr/>
              <w:t>387,000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$0.39</w:t>
            </w:r>
          </w:p>
        </w:tc>
      </w:tr>
      <w:tr>
        <w:trPr/>
        <w:tc>
          <w:tcPr>
            <w:tcW w:w="1775" w:type="dxa"/>
            <w:tcBorders/>
            <w:shd w:fill="E6EFFF" w:val="clear"/>
            <w:vAlign w:val="center"/>
          </w:tcPr>
          <w:p>
            <w:pPr>
              <w:pStyle w:val="TableContents"/>
              <w:bidi w:val="0"/>
              <w:spacing w:before="0" w:after="283"/>
              <w:jc w:val="center"/>
              <w:rPr/>
            </w:pPr>
            <w:r>
              <w:rPr/>
              <w:t>May 23, 2023</w:t>
            </w:r>
            <w:r>
              <w:rPr>
                <w:position w:val="8"/>
                <w:sz w:val="19"/>
              </w:rPr>
              <w:t>(3)</w:t>
            </w:r>
          </w:p>
        </w:tc>
        <w:tc>
          <w:tcPr>
            <w:tcW w:w="1100" w:type="dxa"/>
            <w:tcBorders/>
            <w:shd w:fill="E6EFFF" w:val="clear"/>
            <w:vAlign w:val="center"/>
          </w:tcPr>
          <w:p>
            <w:pPr>
              <w:pStyle w:val="TableContents"/>
              <w:bidi w:val="0"/>
              <w:spacing w:before="0" w:after="283"/>
              <w:jc w:val="center"/>
              <w:rPr/>
            </w:pPr>
            <w:r>
              <w:rPr/>
              <w:t>429,000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$0.38</w:t>
            </w:r>
          </w:p>
        </w:tc>
      </w:tr>
      <w:tr>
        <w:trPr/>
        <w:tc>
          <w:tcPr>
            <w:tcW w:w="1775" w:type="dxa"/>
            <w:tcBorders/>
            <w:vAlign w:val="center"/>
          </w:tcPr>
          <w:p>
            <w:pPr>
              <w:pStyle w:val="TableContents"/>
              <w:bidi w:val="0"/>
              <w:spacing w:before="0" w:after="283"/>
              <w:jc w:val="center"/>
              <w:rPr/>
            </w:pPr>
            <w:r>
              <w:rPr/>
              <w:t>May 24, 2023</w:t>
            </w:r>
            <w:r>
              <w:rPr>
                <w:position w:val="8"/>
                <w:sz w:val="19"/>
              </w:rPr>
              <w:t>(3)</w:t>
            </w:r>
          </w:p>
        </w:tc>
        <w:tc>
          <w:tcPr>
            <w:tcW w:w="1100" w:type="dxa"/>
            <w:tcBorders/>
            <w:vAlign w:val="center"/>
          </w:tcPr>
          <w:p>
            <w:pPr>
              <w:pStyle w:val="TableContents"/>
              <w:bidi w:val="0"/>
              <w:spacing w:before="0" w:after="283"/>
              <w:jc w:val="center"/>
              <w:rPr/>
            </w:pPr>
            <w:r>
              <w:rPr/>
              <w:t>300,000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$0.37</w:t>
            </w:r>
          </w:p>
        </w:tc>
      </w:tr>
      <w:tr>
        <w:trPr/>
        <w:tc>
          <w:tcPr>
            <w:tcW w:w="1775" w:type="dxa"/>
            <w:tcBorders/>
            <w:shd w:fill="E6EFFF" w:val="clear"/>
            <w:vAlign w:val="center"/>
          </w:tcPr>
          <w:p>
            <w:pPr>
              <w:pStyle w:val="TableContents"/>
              <w:bidi w:val="0"/>
              <w:spacing w:before="0" w:after="283"/>
              <w:jc w:val="center"/>
              <w:rPr/>
            </w:pPr>
            <w:r>
              <w:rPr/>
              <w:t>May 25, 2023</w:t>
            </w:r>
            <w:r>
              <w:rPr>
                <w:position w:val="8"/>
                <w:sz w:val="19"/>
              </w:rPr>
              <w:t>(3)</w:t>
            </w:r>
          </w:p>
        </w:tc>
        <w:tc>
          <w:tcPr>
            <w:tcW w:w="1100" w:type="dxa"/>
            <w:tcBorders/>
            <w:shd w:fill="E6EFFF" w:val="clear"/>
            <w:vAlign w:val="center"/>
          </w:tcPr>
          <w:p>
            <w:pPr>
              <w:pStyle w:val="TableContents"/>
              <w:bidi w:val="0"/>
              <w:spacing w:before="0" w:after="283"/>
              <w:jc w:val="center"/>
              <w:rPr/>
            </w:pPr>
            <w:r>
              <w:rPr/>
              <w:t>463,000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$0.38</w:t>
            </w:r>
          </w:p>
        </w:tc>
      </w:tr>
      <w:tr>
        <w:trPr/>
        <w:tc>
          <w:tcPr>
            <w:tcW w:w="1775" w:type="dxa"/>
            <w:tcBorders/>
            <w:vAlign w:val="center"/>
          </w:tcPr>
          <w:p>
            <w:pPr>
              <w:pStyle w:val="TableContents"/>
              <w:bidi w:val="0"/>
              <w:spacing w:before="0" w:after="283"/>
              <w:jc w:val="center"/>
              <w:rPr/>
            </w:pPr>
            <w:r>
              <w:rPr/>
              <w:t>May 26, 2023</w:t>
            </w:r>
            <w:r>
              <w:rPr>
                <w:position w:val="8"/>
                <w:sz w:val="19"/>
              </w:rPr>
              <w:t>(3)</w:t>
            </w:r>
          </w:p>
        </w:tc>
        <w:tc>
          <w:tcPr>
            <w:tcW w:w="1100" w:type="dxa"/>
            <w:tcBorders/>
            <w:vAlign w:val="center"/>
          </w:tcPr>
          <w:p>
            <w:pPr>
              <w:pStyle w:val="TableContents"/>
              <w:bidi w:val="0"/>
              <w:spacing w:before="0" w:after="283"/>
              <w:jc w:val="center"/>
              <w:rPr/>
            </w:pPr>
            <w:r>
              <w:rPr/>
              <w:t>400,000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$0.37</w:t>
            </w:r>
          </w:p>
        </w:tc>
      </w:tr>
      <w:tr>
        <w:trPr/>
        <w:tc>
          <w:tcPr>
            <w:tcW w:w="1775" w:type="dxa"/>
            <w:tcBorders/>
            <w:shd w:fill="E6EFFF" w:val="clear"/>
            <w:vAlign w:val="center"/>
          </w:tcPr>
          <w:p>
            <w:pPr>
              <w:pStyle w:val="TableContents"/>
              <w:bidi w:val="0"/>
              <w:spacing w:before="0" w:after="283"/>
              <w:jc w:val="center"/>
              <w:rPr/>
            </w:pPr>
            <w:r>
              <w:rPr/>
              <w:t>May 30, 2023</w:t>
            </w:r>
            <w:r>
              <w:rPr>
                <w:position w:val="8"/>
                <w:sz w:val="19"/>
              </w:rPr>
              <w:t>(3)</w:t>
            </w:r>
          </w:p>
        </w:tc>
        <w:tc>
          <w:tcPr>
            <w:tcW w:w="1100" w:type="dxa"/>
            <w:tcBorders/>
            <w:shd w:fill="E6EFFF" w:val="clear"/>
            <w:vAlign w:val="center"/>
          </w:tcPr>
          <w:p>
            <w:pPr>
              <w:pStyle w:val="TableContents"/>
              <w:bidi w:val="0"/>
              <w:spacing w:before="0" w:after="283"/>
              <w:jc w:val="center"/>
              <w:rPr/>
            </w:pPr>
            <w:r>
              <w:rPr/>
              <w:t>248,400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$0.37</w:t>
            </w:r>
          </w:p>
        </w:tc>
      </w:tr>
      <w:tr>
        <w:trPr/>
        <w:tc>
          <w:tcPr>
            <w:tcW w:w="1775" w:type="dxa"/>
            <w:tcBorders/>
            <w:vAlign w:val="center"/>
          </w:tcPr>
          <w:p>
            <w:pPr>
              <w:pStyle w:val="TableContents"/>
              <w:bidi w:val="0"/>
              <w:spacing w:before="0" w:after="283"/>
              <w:jc w:val="center"/>
              <w:rPr/>
            </w:pPr>
            <w:r>
              <w:rPr/>
              <w:t>May 30, 2023</w:t>
            </w:r>
            <w:r>
              <w:rPr>
                <w:position w:val="8"/>
                <w:sz w:val="19"/>
              </w:rPr>
              <w:t>(4)</w:t>
            </w:r>
          </w:p>
        </w:tc>
        <w:tc>
          <w:tcPr>
            <w:tcW w:w="1100" w:type="dxa"/>
            <w:tcBorders/>
            <w:vAlign w:val="center"/>
          </w:tcPr>
          <w:p>
            <w:pPr>
              <w:pStyle w:val="TableContents"/>
              <w:bidi w:val="0"/>
              <w:spacing w:before="0" w:after="283"/>
              <w:jc w:val="center"/>
              <w:rPr/>
            </w:pPr>
            <w:r>
              <w:rPr/>
              <w:t>2,538,844</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$0.40</w:t>
            </w:r>
          </w:p>
        </w:tc>
      </w:tr>
      <w:tr>
        <w:trPr/>
        <w:tc>
          <w:tcPr>
            <w:tcW w:w="1775" w:type="dxa"/>
            <w:tcBorders/>
            <w:shd w:fill="E6EFFF" w:val="clear"/>
            <w:vAlign w:val="center"/>
          </w:tcPr>
          <w:p>
            <w:pPr>
              <w:pStyle w:val="TableContents"/>
              <w:bidi w:val="0"/>
              <w:spacing w:before="0" w:after="283"/>
              <w:jc w:val="center"/>
              <w:rPr/>
            </w:pPr>
            <w:r>
              <w:rPr/>
              <w:t>May 31, 2023</w:t>
            </w:r>
            <w:r>
              <w:rPr>
                <w:position w:val="8"/>
                <w:sz w:val="19"/>
              </w:rPr>
              <w:t>(5)</w:t>
            </w:r>
          </w:p>
        </w:tc>
        <w:tc>
          <w:tcPr>
            <w:tcW w:w="1100" w:type="dxa"/>
            <w:tcBorders/>
            <w:shd w:fill="E6EFFF" w:val="clear"/>
            <w:vAlign w:val="center"/>
          </w:tcPr>
          <w:p>
            <w:pPr>
              <w:pStyle w:val="TableContents"/>
              <w:bidi w:val="0"/>
              <w:spacing w:before="0" w:after="283"/>
              <w:jc w:val="center"/>
              <w:rPr/>
            </w:pPr>
            <w:r>
              <w:rPr/>
              <w:t>275,000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$0.34</w:t>
            </w:r>
          </w:p>
        </w:tc>
      </w:tr>
      <w:tr>
        <w:trPr/>
        <w:tc>
          <w:tcPr>
            <w:tcW w:w="1775" w:type="dxa"/>
            <w:tcBorders/>
            <w:vAlign w:val="center"/>
          </w:tcPr>
          <w:p>
            <w:pPr>
              <w:pStyle w:val="TableContents"/>
              <w:bidi w:val="0"/>
              <w:spacing w:before="0" w:after="283"/>
              <w:jc w:val="center"/>
              <w:rPr/>
            </w:pPr>
            <w:r>
              <w:rPr/>
              <w:t>June 1, 2023</w:t>
            </w:r>
            <w:r>
              <w:rPr>
                <w:position w:val="8"/>
                <w:sz w:val="19"/>
              </w:rPr>
              <w:t>(3)</w:t>
            </w:r>
          </w:p>
        </w:tc>
        <w:tc>
          <w:tcPr>
            <w:tcW w:w="1100" w:type="dxa"/>
            <w:tcBorders/>
            <w:vAlign w:val="center"/>
          </w:tcPr>
          <w:p>
            <w:pPr>
              <w:pStyle w:val="TableContents"/>
              <w:bidi w:val="0"/>
              <w:spacing w:before="0" w:after="283"/>
              <w:jc w:val="center"/>
              <w:rPr/>
            </w:pPr>
            <w:r>
              <w:rPr/>
              <w:t>300,000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$0.38</w:t>
            </w:r>
          </w:p>
        </w:tc>
      </w:tr>
      <w:tr>
        <w:trPr/>
        <w:tc>
          <w:tcPr>
            <w:tcW w:w="1775" w:type="dxa"/>
            <w:tcBorders/>
            <w:shd w:fill="E6EFFF" w:val="clear"/>
            <w:vAlign w:val="center"/>
          </w:tcPr>
          <w:p>
            <w:pPr>
              <w:pStyle w:val="TableContents"/>
              <w:bidi w:val="0"/>
              <w:spacing w:before="0" w:after="283"/>
              <w:jc w:val="center"/>
              <w:rPr/>
            </w:pPr>
            <w:r>
              <w:rPr/>
              <w:t>June 1, 2023</w:t>
            </w:r>
            <w:r>
              <w:rPr>
                <w:position w:val="8"/>
                <w:sz w:val="19"/>
              </w:rPr>
              <w:t>(5)</w:t>
            </w:r>
          </w:p>
        </w:tc>
        <w:tc>
          <w:tcPr>
            <w:tcW w:w="1100" w:type="dxa"/>
            <w:tcBorders/>
            <w:shd w:fill="E6EFFF" w:val="clear"/>
            <w:vAlign w:val="center"/>
          </w:tcPr>
          <w:p>
            <w:pPr>
              <w:pStyle w:val="TableContents"/>
              <w:bidi w:val="0"/>
              <w:spacing w:before="0" w:after="283"/>
              <w:jc w:val="center"/>
              <w:rPr/>
            </w:pPr>
            <w:r>
              <w:rPr/>
              <w:t>275,000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$0.34</w:t>
            </w:r>
          </w:p>
        </w:tc>
      </w:tr>
      <w:tr>
        <w:trPr/>
        <w:tc>
          <w:tcPr>
            <w:tcW w:w="1775" w:type="dxa"/>
            <w:tcBorders/>
            <w:vAlign w:val="center"/>
          </w:tcPr>
          <w:p>
            <w:pPr>
              <w:pStyle w:val="TableContents"/>
              <w:bidi w:val="0"/>
              <w:spacing w:before="0" w:after="283"/>
              <w:jc w:val="center"/>
              <w:rPr/>
            </w:pPr>
            <w:r>
              <w:rPr/>
              <w:t>June 2, 2023</w:t>
            </w:r>
            <w:r>
              <w:rPr>
                <w:position w:val="8"/>
                <w:sz w:val="19"/>
              </w:rPr>
              <w:t>(3)</w:t>
            </w:r>
          </w:p>
        </w:tc>
        <w:tc>
          <w:tcPr>
            <w:tcW w:w="1100" w:type="dxa"/>
            <w:tcBorders/>
            <w:vAlign w:val="center"/>
          </w:tcPr>
          <w:p>
            <w:pPr>
              <w:pStyle w:val="TableContents"/>
              <w:bidi w:val="0"/>
              <w:spacing w:before="0" w:after="283"/>
              <w:jc w:val="center"/>
              <w:rPr/>
            </w:pPr>
            <w:r>
              <w:rPr/>
              <w:t>337,000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$0.36</w:t>
            </w:r>
          </w:p>
        </w:tc>
      </w:tr>
      <w:tr>
        <w:trPr/>
        <w:tc>
          <w:tcPr>
            <w:tcW w:w="1775" w:type="dxa"/>
            <w:tcBorders/>
            <w:shd w:fill="E6EFFF" w:val="clear"/>
            <w:vAlign w:val="center"/>
          </w:tcPr>
          <w:p>
            <w:pPr>
              <w:pStyle w:val="TableContents"/>
              <w:bidi w:val="0"/>
              <w:spacing w:before="0" w:after="283"/>
              <w:jc w:val="center"/>
              <w:rPr/>
            </w:pPr>
            <w:r>
              <w:rPr/>
              <w:t>June 2, 2023</w:t>
            </w:r>
            <w:r>
              <w:rPr>
                <w:position w:val="8"/>
                <w:sz w:val="19"/>
              </w:rPr>
              <w:t>(5)</w:t>
            </w:r>
          </w:p>
        </w:tc>
        <w:tc>
          <w:tcPr>
            <w:tcW w:w="1100" w:type="dxa"/>
            <w:tcBorders/>
            <w:shd w:fill="E6EFFF" w:val="clear"/>
            <w:vAlign w:val="center"/>
          </w:tcPr>
          <w:p>
            <w:pPr>
              <w:pStyle w:val="TableContents"/>
              <w:bidi w:val="0"/>
              <w:spacing w:before="0" w:after="283"/>
              <w:jc w:val="center"/>
              <w:rPr/>
            </w:pPr>
            <w:r>
              <w:rPr/>
              <w:t>275,000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$0.34</w:t>
            </w:r>
          </w:p>
        </w:tc>
      </w:tr>
      <w:tr>
        <w:trPr/>
        <w:tc>
          <w:tcPr>
            <w:tcW w:w="1775" w:type="dxa"/>
            <w:tcBorders/>
            <w:vAlign w:val="center"/>
          </w:tcPr>
          <w:p>
            <w:pPr>
              <w:pStyle w:val="TableContents"/>
              <w:bidi w:val="0"/>
              <w:spacing w:before="0" w:after="283"/>
              <w:jc w:val="center"/>
              <w:rPr/>
            </w:pPr>
            <w:r>
              <w:rPr/>
              <w:t>June 5, 2023</w:t>
            </w:r>
            <w:r>
              <w:rPr>
                <w:position w:val="8"/>
                <w:sz w:val="19"/>
              </w:rPr>
              <w:t>(3)</w:t>
            </w:r>
          </w:p>
        </w:tc>
        <w:tc>
          <w:tcPr>
            <w:tcW w:w="1100" w:type="dxa"/>
            <w:tcBorders/>
            <w:vAlign w:val="center"/>
          </w:tcPr>
          <w:p>
            <w:pPr>
              <w:pStyle w:val="TableContents"/>
              <w:bidi w:val="0"/>
              <w:spacing w:before="0" w:after="283"/>
              <w:jc w:val="center"/>
              <w:rPr/>
            </w:pPr>
            <w:r>
              <w:rPr/>
              <w:t>245,000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$0.35</w:t>
            </w:r>
          </w:p>
        </w:tc>
      </w:tr>
      <w:tr>
        <w:trPr/>
        <w:tc>
          <w:tcPr>
            <w:tcW w:w="1775" w:type="dxa"/>
            <w:tcBorders/>
            <w:shd w:fill="E6EFFF" w:val="clear"/>
            <w:vAlign w:val="center"/>
          </w:tcPr>
          <w:p>
            <w:pPr>
              <w:pStyle w:val="TableContents"/>
              <w:bidi w:val="0"/>
              <w:spacing w:before="0" w:after="283"/>
              <w:jc w:val="center"/>
              <w:rPr/>
            </w:pPr>
            <w:r>
              <w:rPr/>
              <w:t>June 5, 2023</w:t>
            </w:r>
            <w:r>
              <w:rPr>
                <w:position w:val="8"/>
                <w:sz w:val="19"/>
              </w:rPr>
              <w:t>(5)</w:t>
            </w:r>
          </w:p>
        </w:tc>
        <w:tc>
          <w:tcPr>
            <w:tcW w:w="1100" w:type="dxa"/>
            <w:tcBorders/>
            <w:shd w:fill="E6EFFF" w:val="clear"/>
            <w:vAlign w:val="center"/>
          </w:tcPr>
          <w:p>
            <w:pPr>
              <w:pStyle w:val="TableContents"/>
              <w:bidi w:val="0"/>
              <w:spacing w:before="0" w:after="283"/>
              <w:jc w:val="center"/>
              <w:rPr/>
            </w:pPr>
            <w:r>
              <w:rPr/>
              <w:t>275,000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$0.34</w:t>
            </w:r>
          </w:p>
        </w:tc>
      </w:tr>
      <w:tr>
        <w:trPr/>
        <w:tc>
          <w:tcPr>
            <w:tcW w:w="1775" w:type="dxa"/>
            <w:tcBorders/>
            <w:vAlign w:val="center"/>
          </w:tcPr>
          <w:p>
            <w:pPr>
              <w:pStyle w:val="TableContents"/>
              <w:bidi w:val="0"/>
              <w:spacing w:before="0" w:after="283"/>
              <w:jc w:val="center"/>
              <w:rPr/>
            </w:pPr>
            <w:r>
              <w:rPr/>
              <w:t>June 6, 2023</w:t>
            </w:r>
            <w:r>
              <w:rPr>
                <w:position w:val="8"/>
                <w:sz w:val="19"/>
              </w:rPr>
              <w:t>(3)</w:t>
            </w:r>
          </w:p>
        </w:tc>
        <w:tc>
          <w:tcPr>
            <w:tcW w:w="1100" w:type="dxa"/>
            <w:tcBorders/>
            <w:vAlign w:val="center"/>
          </w:tcPr>
          <w:p>
            <w:pPr>
              <w:pStyle w:val="TableContents"/>
              <w:bidi w:val="0"/>
              <w:spacing w:before="0" w:after="283"/>
              <w:jc w:val="center"/>
              <w:rPr/>
            </w:pPr>
            <w:r>
              <w:rPr/>
              <w:t>39,733</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$0.35</w:t>
            </w:r>
          </w:p>
        </w:tc>
      </w:tr>
      <w:tr>
        <w:trPr/>
        <w:tc>
          <w:tcPr>
            <w:tcW w:w="1775" w:type="dxa"/>
            <w:tcBorders/>
            <w:shd w:fill="E6EFFF" w:val="clear"/>
            <w:vAlign w:val="center"/>
          </w:tcPr>
          <w:p>
            <w:pPr>
              <w:pStyle w:val="TableContents"/>
              <w:bidi w:val="0"/>
              <w:spacing w:before="0" w:after="283"/>
              <w:jc w:val="center"/>
              <w:rPr/>
            </w:pPr>
            <w:r>
              <w:rPr/>
              <w:t>June 7, 2023</w:t>
            </w:r>
            <w:r>
              <w:rPr>
                <w:position w:val="8"/>
                <w:sz w:val="19"/>
              </w:rPr>
              <w:t>(3)</w:t>
            </w:r>
          </w:p>
        </w:tc>
        <w:tc>
          <w:tcPr>
            <w:tcW w:w="1100" w:type="dxa"/>
            <w:tcBorders/>
            <w:shd w:fill="E6EFFF" w:val="clear"/>
            <w:vAlign w:val="center"/>
          </w:tcPr>
          <w:p>
            <w:pPr>
              <w:pStyle w:val="TableContents"/>
              <w:bidi w:val="0"/>
              <w:spacing w:before="0" w:after="283"/>
              <w:jc w:val="center"/>
              <w:rPr/>
            </w:pPr>
            <w:r>
              <w:rPr/>
              <w:t>244,000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$0.35</w:t>
            </w:r>
          </w:p>
        </w:tc>
      </w:tr>
      <w:tr>
        <w:trPr/>
        <w:tc>
          <w:tcPr>
            <w:tcW w:w="1775" w:type="dxa"/>
            <w:tcBorders/>
            <w:vAlign w:val="center"/>
          </w:tcPr>
          <w:p>
            <w:pPr>
              <w:pStyle w:val="TableContents"/>
              <w:bidi w:val="0"/>
              <w:spacing w:before="0" w:after="283"/>
              <w:jc w:val="center"/>
              <w:rPr/>
            </w:pPr>
            <w:r>
              <w:rPr/>
              <w:t>June 7, 2023</w:t>
            </w:r>
            <w:r>
              <w:rPr>
                <w:position w:val="8"/>
                <w:sz w:val="19"/>
              </w:rPr>
              <w:t>(5)</w:t>
            </w:r>
          </w:p>
        </w:tc>
        <w:tc>
          <w:tcPr>
            <w:tcW w:w="1100" w:type="dxa"/>
            <w:tcBorders/>
            <w:vAlign w:val="center"/>
          </w:tcPr>
          <w:p>
            <w:pPr>
              <w:pStyle w:val="TableContents"/>
              <w:bidi w:val="0"/>
              <w:spacing w:before="0" w:after="283"/>
              <w:jc w:val="center"/>
              <w:rPr/>
            </w:pPr>
            <w:r>
              <w:rPr/>
              <w:t>275,000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$0.31</w:t>
            </w:r>
          </w:p>
        </w:tc>
      </w:tr>
      <w:tr>
        <w:trPr/>
        <w:tc>
          <w:tcPr>
            <w:tcW w:w="1775" w:type="dxa"/>
            <w:tcBorders/>
            <w:shd w:fill="E6EFFF" w:val="clear"/>
            <w:vAlign w:val="center"/>
          </w:tcPr>
          <w:p>
            <w:pPr>
              <w:pStyle w:val="TableContents"/>
              <w:bidi w:val="0"/>
              <w:spacing w:before="0" w:after="283"/>
              <w:jc w:val="center"/>
              <w:rPr/>
            </w:pPr>
            <w:r>
              <w:rPr/>
              <w:t>June 8, 2023</w:t>
            </w:r>
            <w:r>
              <w:rPr>
                <w:position w:val="8"/>
                <w:sz w:val="19"/>
              </w:rPr>
              <w:t>(3)</w:t>
            </w:r>
          </w:p>
        </w:tc>
        <w:tc>
          <w:tcPr>
            <w:tcW w:w="1100" w:type="dxa"/>
            <w:tcBorders/>
            <w:shd w:fill="E6EFFF" w:val="clear"/>
            <w:vAlign w:val="center"/>
          </w:tcPr>
          <w:p>
            <w:pPr>
              <w:pStyle w:val="TableContents"/>
              <w:bidi w:val="0"/>
              <w:spacing w:before="0" w:after="283"/>
              <w:jc w:val="center"/>
              <w:rPr/>
            </w:pPr>
            <w:r>
              <w:rPr/>
              <w:t>451,000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$0.33</w:t>
            </w:r>
          </w:p>
        </w:tc>
      </w:tr>
      <w:tr>
        <w:trPr/>
        <w:tc>
          <w:tcPr>
            <w:tcW w:w="1775" w:type="dxa"/>
            <w:tcBorders/>
            <w:vAlign w:val="center"/>
          </w:tcPr>
          <w:p>
            <w:pPr>
              <w:pStyle w:val="TableContents"/>
              <w:bidi w:val="0"/>
              <w:spacing w:before="0" w:after="283"/>
              <w:jc w:val="center"/>
              <w:rPr/>
            </w:pPr>
            <w:r>
              <w:rPr/>
              <w:t>June 8, 2023</w:t>
            </w:r>
            <w:r>
              <w:rPr>
                <w:position w:val="8"/>
                <w:sz w:val="19"/>
              </w:rPr>
              <w:t>(5)</w:t>
            </w:r>
          </w:p>
        </w:tc>
        <w:tc>
          <w:tcPr>
            <w:tcW w:w="1100" w:type="dxa"/>
            <w:tcBorders/>
            <w:vAlign w:val="center"/>
          </w:tcPr>
          <w:p>
            <w:pPr>
              <w:pStyle w:val="TableContents"/>
              <w:bidi w:val="0"/>
              <w:spacing w:before="0" w:after="283"/>
              <w:jc w:val="center"/>
              <w:rPr/>
            </w:pPr>
            <w:r>
              <w:rPr/>
              <w:t>275,000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$0.30</w:t>
            </w:r>
          </w:p>
        </w:tc>
      </w:tr>
      <w:tr>
        <w:trPr/>
        <w:tc>
          <w:tcPr>
            <w:tcW w:w="1775" w:type="dxa"/>
            <w:tcBorders/>
            <w:shd w:fill="E6EFFF" w:val="clear"/>
            <w:vAlign w:val="center"/>
          </w:tcPr>
          <w:p>
            <w:pPr>
              <w:pStyle w:val="TableContents"/>
              <w:bidi w:val="0"/>
              <w:spacing w:before="0" w:after="283"/>
              <w:jc w:val="center"/>
              <w:rPr/>
            </w:pPr>
            <w:r>
              <w:rPr/>
              <w:t>June 9, 2023</w:t>
            </w:r>
            <w:r>
              <w:rPr>
                <w:position w:val="8"/>
                <w:sz w:val="19"/>
              </w:rPr>
              <w:t>(3)</w:t>
            </w:r>
          </w:p>
        </w:tc>
        <w:tc>
          <w:tcPr>
            <w:tcW w:w="1100" w:type="dxa"/>
            <w:tcBorders/>
            <w:shd w:fill="E6EFFF" w:val="clear"/>
            <w:vAlign w:val="center"/>
          </w:tcPr>
          <w:p>
            <w:pPr>
              <w:pStyle w:val="TableContents"/>
              <w:bidi w:val="0"/>
              <w:spacing w:before="0" w:after="283"/>
              <w:jc w:val="center"/>
              <w:rPr/>
            </w:pPr>
            <w:r>
              <w:rPr/>
              <w:t>167,500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$0.33</w:t>
            </w:r>
          </w:p>
        </w:tc>
      </w:tr>
      <w:tr>
        <w:trPr/>
        <w:tc>
          <w:tcPr>
            <w:tcW w:w="1775" w:type="dxa"/>
            <w:tcBorders/>
            <w:vAlign w:val="center"/>
          </w:tcPr>
          <w:p>
            <w:pPr>
              <w:pStyle w:val="TableContents"/>
              <w:bidi w:val="0"/>
              <w:spacing w:before="0" w:after="283"/>
              <w:jc w:val="center"/>
              <w:rPr/>
            </w:pPr>
            <w:r>
              <w:rPr/>
              <w:t>June 9, 2023</w:t>
            </w:r>
            <w:r>
              <w:rPr>
                <w:position w:val="8"/>
                <w:sz w:val="19"/>
              </w:rPr>
              <w:t>(5)</w:t>
            </w:r>
          </w:p>
        </w:tc>
        <w:tc>
          <w:tcPr>
            <w:tcW w:w="1100" w:type="dxa"/>
            <w:tcBorders/>
            <w:vAlign w:val="center"/>
          </w:tcPr>
          <w:p>
            <w:pPr>
              <w:pStyle w:val="TableContents"/>
              <w:bidi w:val="0"/>
              <w:spacing w:before="0" w:after="283"/>
              <w:jc w:val="center"/>
              <w:rPr/>
            </w:pPr>
            <w:r>
              <w:rPr/>
              <w:t>275,000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$0.29</w:t>
            </w:r>
          </w:p>
        </w:tc>
      </w:tr>
      <w:tr>
        <w:trPr/>
        <w:tc>
          <w:tcPr>
            <w:tcW w:w="1775" w:type="dxa"/>
            <w:tcBorders/>
            <w:shd w:fill="E6EFFF" w:val="clear"/>
            <w:vAlign w:val="center"/>
          </w:tcPr>
          <w:p>
            <w:pPr>
              <w:pStyle w:val="TableContents"/>
              <w:bidi w:val="0"/>
              <w:spacing w:before="0" w:after="283"/>
              <w:jc w:val="center"/>
              <w:rPr/>
            </w:pPr>
            <w:r>
              <w:rPr/>
              <w:t>June 12, 2023</w:t>
            </w:r>
            <w:r>
              <w:rPr>
                <w:position w:val="8"/>
                <w:sz w:val="19"/>
              </w:rPr>
              <w:t>(3)</w:t>
            </w:r>
          </w:p>
        </w:tc>
        <w:tc>
          <w:tcPr>
            <w:tcW w:w="1100" w:type="dxa"/>
            <w:tcBorders/>
            <w:shd w:fill="E6EFFF" w:val="clear"/>
            <w:vAlign w:val="center"/>
          </w:tcPr>
          <w:p>
            <w:pPr>
              <w:pStyle w:val="TableContents"/>
              <w:bidi w:val="0"/>
              <w:spacing w:before="0" w:after="283"/>
              <w:jc w:val="center"/>
              <w:rPr/>
            </w:pPr>
            <w:r>
              <w:rPr/>
              <w:t>191,000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$0.31</w:t>
            </w:r>
          </w:p>
        </w:tc>
      </w:tr>
      <w:tr>
        <w:trPr/>
        <w:tc>
          <w:tcPr>
            <w:tcW w:w="1775" w:type="dxa"/>
            <w:tcBorders/>
            <w:vAlign w:val="center"/>
          </w:tcPr>
          <w:p>
            <w:pPr>
              <w:pStyle w:val="TableContents"/>
              <w:bidi w:val="0"/>
              <w:spacing w:before="0" w:after="283"/>
              <w:jc w:val="center"/>
              <w:rPr/>
            </w:pPr>
            <w:r>
              <w:rPr/>
              <w:t>June 14, 2023</w:t>
            </w:r>
            <w:r>
              <w:rPr>
                <w:position w:val="8"/>
                <w:sz w:val="19"/>
              </w:rPr>
              <w:t>(3)</w:t>
            </w:r>
          </w:p>
        </w:tc>
        <w:tc>
          <w:tcPr>
            <w:tcW w:w="1100" w:type="dxa"/>
            <w:tcBorders/>
            <w:vAlign w:val="center"/>
          </w:tcPr>
          <w:p>
            <w:pPr>
              <w:pStyle w:val="TableContents"/>
              <w:bidi w:val="0"/>
              <w:spacing w:before="0" w:after="283"/>
              <w:jc w:val="center"/>
              <w:rPr/>
            </w:pPr>
            <w:r>
              <w:rPr/>
              <w:t>162,200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$0.31</w:t>
            </w:r>
          </w:p>
        </w:tc>
      </w:tr>
      <w:tr>
        <w:trPr/>
        <w:tc>
          <w:tcPr>
            <w:tcW w:w="1775" w:type="dxa"/>
            <w:tcBorders/>
            <w:shd w:fill="E6EFFF" w:val="clear"/>
            <w:vAlign w:val="center"/>
          </w:tcPr>
          <w:p>
            <w:pPr>
              <w:pStyle w:val="TableContents"/>
              <w:bidi w:val="0"/>
              <w:spacing w:before="0" w:after="283"/>
              <w:jc w:val="center"/>
              <w:rPr/>
            </w:pPr>
            <w:r>
              <w:rPr/>
              <w:t>June 26, 2023</w:t>
            </w:r>
            <w:r>
              <w:rPr>
                <w:position w:val="8"/>
                <w:sz w:val="19"/>
              </w:rPr>
              <w:t>(3)</w:t>
            </w:r>
          </w:p>
        </w:tc>
        <w:tc>
          <w:tcPr>
            <w:tcW w:w="1100" w:type="dxa"/>
            <w:tcBorders/>
            <w:shd w:fill="E6EFFF" w:val="clear"/>
            <w:vAlign w:val="center"/>
          </w:tcPr>
          <w:p>
            <w:pPr>
              <w:pStyle w:val="TableContents"/>
              <w:bidi w:val="0"/>
              <w:spacing w:before="0" w:after="283"/>
              <w:jc w:val="center"/>
              <w:rPr/>
            </w:pPr>
            <w:r>
              <w:rPr/>
              <w:t>363,000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$0.38</w:t>
            </w:r>
          </w:p>
        </w:tc>
      </w:tr>
      <w:tr>
        <w:trPr/>
        <w:tc>
          <w:tcPr>
            <w:tcW w:w="1775" w:type="dxa"/>
            <w:tcBorders/>
            <w:vAlign w:val="center"/>
          </w:tcPr>
          <w:p>
            <w:pPr>
              <w:pStyle w:val="TableContents"/>
              <w:bidi w:val="0"/>
              <w:spacing w:before="0" w:after="283"/>
              <w:jc w:val="center"/>
              <w:rPr/>
            </w:pPr>
            <w:r>
              <w:rPr/>
              <w:t>June 28, 2023</w:t>
            </w:r>
          </w:p>
        </w:tc>
        <w:tc>
          <w:tcPr>
            <w:tcW w:w="1100" w:type="dxa"/>
            <w:tcBorders/>
            <w:vAlign w:val="center"/>
          </w:tcPr>
          <w:p>
            <w:pPr>
              <w:pStyle w:val="TableContents"/>
              <w:bidi w:val="0"/>
              <w:spacing w:before="0" w:after="283"/>
              <w:jc w:val="center"/>
              <w:rPr/>
            </w:pPr>
            <w:r>
              <w:rPr/>
              <w:t>11,615,000</w:t>
            </w:r>
          </w:p>
        </w:tc>
        <w:tc>
          <w:tcPr>
            <w:tcW w:w="1595" w:type="dxa"/>
            <w:tcBorders/>
            <w:vAlign w:val="center"/>
          </w:tcPr>
          <w:p>
            <w:pPr>
              <w:pStyle w:val="TableContents"/>
              <w:bidi w:val="0"/>
              <w:spacing w:before="0" w:after="283"/>
              <w:jc w:val="center"/>
              <w:rPr/>
            </w:pPr>
            <w:r>
              <w:rPr/>
              <w:t>Options</w:t>
            </w:r>
          </w:p>
        </w:tc>
        <w:tc>
          <w:tcPr>
            <w:tcW w:w="575" w:type="dxa"/>
            <w:tcBorders/>
            <w:vAlign w:val="center"/>
          </w:tcPr>
          <w:p>
            <w:pPr>
              <w:pStyle w:val="TableContents"/>
              <w:bidi w:val="0"/>
              <w:spacing w:before="0" w:after="0"/>
              <w:jc w:val="center"/>
              <w:rPr/>
            </w:pPr>
            <w:r>
              <w:rPr/>
              <w:t>$0.44</w:t>
            </w:r>
          </w:p>
        </w:tc>
      </w:tr>
      <w:tr>
        <w:trPr/>
        <w:tc>
          <w:tcPr>
            <w:tcW w:w="1775" w:type="dxa"/>
            <w:tcBorders/>
            <w:shd w:fill="E6EFFF" w:val="clear"/>
            <w:vAlign w:val="center"/>
          </w:tcPr>
          <w:p>
            <w:pPr>
              <w:pStyle w:val="TableContents"/>
              <w:bidi w:val="0"/>
              <w:spacing w:before="0" w:after="283"/>
              <w:jc w:val="center"/>
              <w:rPr/>
            </w:pPr>
            <w:r>
              <w:rPr/>
              <w:t>July 7, 2023</w:t>
            </w:r>
            <w:r>
              <w:rPr>
                <w:position w:val="8"/>
                <w:sz w:val="19"/>
              </w:rPr>
              <w:t>(3)</w:t>
            </w:r>
          </w:p>
        </w:tc>
        <w:tc>
          <w:tcPr>
            <w:tcW w:w="1100" w:type="dxa"/>
            <w:tcBorders/>
            <w:shd w:fill="E6EFFF" w:val="clear"/>
            <w:vAlign w:val="center"/>
          </w:tcPr>
          <w:p>
            <w:pPr>
              <w:pStyle w:val="TableContents"/>
              <w:bidi w:val="0"/>
              <w:spacing w:before="0" w:after="283"/>
              <w:jc w:val="center"/>
              <w:rPr/>
            </w:pPr>
            <w:r>
              <w:rPr/>
              <w:t>82,602</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$0.69</w:t>
            </w:r>
          </w:p>
        </w:tc>
      </w:tr>
      <w:tr>
        <w:trPr/>
        <w:tc>
          <w:tcPr>
            <w:tcW w:w="1775" w:type="dxa"/>
            <w:tcBorders/>
            <w:vAlign w:val="center"/>
          </w:tcPr>
          <w:p>
            <w:pPr>
              <w:pStyle w:val="TableContents"/>
              <w:bidi w:val="0"/>
              <w:spacing w:before="0" w:after="283"/>
              <w:jc w:val="center"/>
              <w:rPr/>
            </w:pPr>
            <w:r>
              <w:rPr/>
              <w:t>July 10, 2023</w:t>
            </w:r>
            <w:r>
              <w:rPr>
                <w:position w:val="8"/>
                <w:sz w:val="19"/>
              </w:rPr>
              <w:t>(3)</w:t>
            </w:r>
          </w:p>
        </w:tc>
        <w:tc>
          <w:tcPr>
            <w:tcW w:w="1100" w:type="dxa"/>
            <w:tcBorders/>
            <w:vAlign w:val="center"/>
          </w:tcPr>
          <w:p>
            <w:pPr>
              <w:pStyle w:val="TableContents"/>
              <w:bidi w:val="0"/>
              <w:spacing w:before="0" w:after="283"/>
              <w:jc w:val="center"/>
              <w:rPr/>
            </w:pPr>
            <w:r>
              <w:rPr/>
              <w:t>419,000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$0.62</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38" w:name="page_24"/>
      <w:bookmarkStart w:id="39" w:name="page_24"/>
      <w:bookmarkEnd w:id="39"/>
    </w:p>
    <w:tbl>
      <w:tblPr>
        <w:tblW w:w="5435" w:type="dxa"/>
        <w:jc w:val="left"/>
        <w:tblInd w:w="0" w:type="dxa"/>
        <w:tblLayout w:type="fixed"/>
        <w:tblCellMar>
          <w:top w:w="0" w:type="dxa"/>
          <w:left w:w="0" w:type="dxa"/>
          <w:bottom w:w="0" w:type="dxa"/>
          <w:right w:w="0" w:type="dxa"/>
        </w:tblCellMar>
      </w:tblPr>
      <w:tblGrid>
        <w:gridCol w:w="2165"/>
        <w:gridCol w:w="1100"/>
        <w:gridCol w:w="1595"/>
        <w:gridCol w:w="575"/>
      </w:tblGrid>
      <w:tr>
        <w:trPr/>
        <w:tc>
          <w:tcPr>
            <w:tcW w:w="2165" w:type="dxa"/>
            <w:tcBorders/>
            <w:shd w:fill="E6EFFF" w:val="clear"/>
            <w:vAlign w:val="center"/>
          </w:tcPr>
          <w:p>
            <w:pPr>
              <w:pStyle w:val="TableContents"/>
              <w:bidi w:val="0"/>
              <w:spacing w:before="0" w:after="283"/>
              <w:jc w:val="center"/>
              <w:rPr/>
            </w:pPr>
            <w:r>
              <w:rPr/>
              <w:t>July 11, 2023</w:t>
            </w:r>
            <w:r>
              <w:rPr>
                <w:position w:val="8"/>
                <w:sz w:val="19"/>
              </w:rPr>
              <w:t>(3)</w:t>
            </w:r>
          </w:p>
        </w:tc>
        <w:tc>
          <w:tcPr>
            <w:tcW w:w="1100" w:type="dxa"/>
            <w:tcBorders/>
            <w:shd w:fill="E6EFFF" w:val="clear"/>
            <w:vAlign w:val="center"/>
          </w:tcPr>
          <w:p>
            <w:pPr>
              <w:pStyle w:val="TableContents"/>
              <w:bidi w:val="0"/>
              <w:spacing w:before="0" w:after="283"/>
              <w:jc w:val="center"/>
              <w:rPr/>
            </w:pPr>
            <w:r>
              <w:rPr/>
              <w:t>147,000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$0.61</w:t>
            </w:r>
          </w:p>
        </w:tc>
      </w:tr>
      <w:tr>
        <w:trPr/>
        <w:tc>
          <w:tcPr>
            <w:tcW w:w="2165" w:type="dxa"/>
            <w:tcBorders/>
            <w:vAlign w:val="center"/>
          </w:tcPr>
          <w:p>
            <w:pPr>
              <w:pStyle w:val="TableContents"/>
              <w:bidi w:val="0"/>
              <w:spacing w:before="0" w:after="283"/>
              <w:jc w:val="center"/>
              <w:rPr/>
            </w:pPr>
            <w:r>
              <w:rPr/>
              <w:t>July 12, 2023</w:t>
            </w:r>
            <w:r>
              <w:rPr>
                <w:position w:val="8"/>
                <w:sz w:val="19"/>
              </w:rPr>
              <w:t>(3)</w:t>
            </w:r>
          </w:p>
        </w:tc>
        <w:tc>
          <w:tcPr>
            <w:tcW w:w="1100" w:type="dxa"/>
            <w:tcBorders/>
            <w:vAlign w:val="center"/>
          </w:tcPr>
          <w:p>
            <w:pPr>
              <w:pStyle w:val="TableContents"/>
              <w:bidi w:val="0"/>
              <w:spacing w:before="0" w:after="283"/>
              <w:jc w:val="center"/>
              <w:rPr/>
            </w:pPr>
            <w:r>
              <w:rPr/>
              <w:t>341,080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$0.58</w:t>
            </w:r>
          </w:p>
        </w:tc>
      </w:tr>
      <w:tr>
        <w:trPr/>
        <w:tc>
          <w:tcPr>
            <w:tcW w:w="2165" w:type="dxa"/>
            <w:tcBorders/>
            <w:shd w:fill="E6EFFF" w:val="clear"/>
            <w:vAlign w:val="center"/>
          </w:tcPr>
          <w:p>
            <w:pPr>
              <w:pStyle w:val="TableContents"/>
              <w:bidi w:val="0"/>
              <w:spacing w:before="0" w:after="283"/>
              <w:jc w:val="center"/>
              <w:rPr/>
            </w:pPr>
            <w:r>
              <w:rPr/>
              <w:t>July 17, 2023</w:t>
            </w:r>
            <w:r>
              <w:rPr>
                <w:position w:val="8"/>
                <w:sz w:val="19"/>
              </w:rPr>
              <w:t>(3)</w:t>
            </w:r>
          </w:p>
        </w:tc>
        <w:tc>
          <w:tcPr>
            <w:tcW w:w="1100" w:type="dxa"/>
            <w:tcBorders/>
            <w:shd w:fill="E6EFFF" w:val="clear"/>
            <w:vAlign w:val="center"/>
          </w:tcPr>
          <w:p>
            <w:pPr>
              <w:pStyle w:val="TableContents"/>
              <w:bidi w:val="0"/>
              <w:spacing w:before="0" w:after="283"/>
              <w:jc w:val="center"/>
              <w:rPr/>
            </w:pPr>
            <w:r>
              <w:rPr/>
              <w:t>618,000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$0.59</w:t>
            </w:r>
          </w:p>
        </w:tc>
      </w:tr>
      <w:tr>
        <w:trPr/>
        <w:tc>
          <w:tcPr>
            <w:tcW w:w="2165" w:type="dxa"/>
            <w:tcBorders/>
            <w:vAlign w:val="center"/>
          </w:tcPr>
          <w:p>
            <w:pPr>
              <w:pStyle w:val="TableContents"/>
              <w:bidi w:val="0"/>
              <w:spacing w:before="0" w:after="283"/>
              <w:jc w:val="center"/>
              <w:rPr/>
            </w:pPr>
            <w:r>
              <w:rPr/>
              <w:t>July 18, 2023</w:t>
            </w:r>
            <w:r>
              <w:rPr>
                <w:position w:val="8"/>
                <w:sz w:val="19"/>
              </w:rPr>
              <w:t>(3)</w:t>
            </w:r>
          </w:p>
        </w:tc>
        <w:tc>
          <w:tcPr>
            <w:tcW w:w="1100" w:type="dxa"/>
            <w:tcBorders/>
            <w:vAlign w:val="center"/>
          </w:tcPr>
          <w:p>
            <w:pPr>
              <w:pStyle w:val="TableContents"/>
              <w:bidi w:val="0"/>
              <w:spacing w:before="0" w:after="283"/>
              <w:jc w:val="center"/>
              <w:rPr/>
            </w:pPr>
            <w:r>
              <w:rPr/>
              <w:t>485,000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$0.56</w:t>
            </w:r>
          </w:p>
        </w:tc>
      </w:tr>
      <w:tr>
        <w:trPr/>
        <w:tc>
          <w:tcPr>
            <w:tcW w:w="2165" w:type="dxa"/>
            <w:tcBorders/>
            <w:shd w:fill="E6EFFF" w:val="clear"/>
            <w:vAlign w:val="center"/>
          </w:tcPr>
          <w:p>
            <w:pPr>
              <w:pStyle w:val="TableContents"/>
              <w:bidi w:val="0"/>
              <w:spacing w:before="0" w:after="283"/>
              <w:jc w:val="center"/>
              <w:rPr/>
            </w:pPr>
            <w:r>
              <w:rPr/>
              <w:t>August 4, 2023</w:t>
            </w:r>
            <w:r>
              <w:rPr>
                <w:position w:val="8"/>
                <w:sz w:val="19"/>
              </w:rPr>
              <w:t>(6)</w:t>
            </w:r>
          </w:p>
        </w:tc>
        <w:tc>
          <w:tcPr>
            <w:tcW w:w="1100" w:type="dxa"/>
            <w:tcBorders/>
            <w:shd w:fill="E6EFFF" w:val="clear"/>
            <w:vAlign w:val="center"/>
          </w:tcPr>
          <w:p>
            <w:pPr>
              <w:pStyle w:val="TableContents"/>
              <w:bidi w:val="0"/>
              <w:spacing w:before="0" w:after="283"/>
              <w:jc w:val="center"/>
              <w:rPr/>
            </w:pPr>
            <w:r>
              <w:rPr/>
              <w:t>24,264,706</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$0.45</w:t>
            </w:r>
          </w:p>
        </w:tc>
      </w:tr>
      <w:tr>
        <w:trPr/>
        <w:tc>
          <w:tcPr>
            <w:tcW w:w="2165" w:type="dxa"/>
            <w:tcBorders/>
            <w:vAlign w:val="center"/>
          </w:tcPr>
          <w:p>
            <w:pPr>
              <w:pStyle w:val="TableContents"/>
              <w:bidi w:val="0"/>
              <w:spacing w:before="0" w:after="283"/>
              <w:jc w:val="center"/>
              <w:rPr/>
            </w:pPr>
            <w:r>
              <w:rPr/>
              <w:t>September 18, 2023</w:t>
            </w:r>
            <w:r>
              <w:rPr>
                <w:position w:val="8"/>
                <w:sz w:val="19"/>
              </w:rPr>
              <w:t>(7)</w:t>
            </w:r>
          </w:p>
        </w:tc>
        <w:tc>
          <w:tcPr>
            <w:tcW w:w="1100" w:type="dxa"/>
            <w:tcBorders/>
            <w:vAlign w:val="center"/>
          </w:tcPr>
          <w:p>
            <w:pPr>
              <w:pStyle w:val="TableContents"/>
              <w:bidi w:val="0"/>
              <w:spacing w:before="0" w:after="283"/>
              <w:jc w:val="center"/>
              <w:rPr/>
            </w:pPr>
            <w:r>
              <w:rPr/>
              <w:t>19,079,194</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$0.41</w:t>
            </w:r>
          </w:p>
        </w:tc>
      </w:tr>
      <w:tr>
        <w:trPr/>
        <w:tc>
          <w:tcPr>
            <w:tcW w:w="2165" w:type="dxa"/>
            <w:tcBorders/>
            <w:shd w:fill="E6EFFF" w:val="clear"/>
            <w:vAlign w:val="center"/>
          </w:tcPr>
          <w:p>
            <w:pPr>
              <w:pStyle w:val="TableContents"/>
              <w:bidi w:val="0"/>
              <w:spacing w:before="0" w:after="283"/>
              <w:jc w:val="center"/>
              <w:rPr/>
            </w:pPr>
            <w:r>
              <w:rPr/>
              <w:t>September 20, 2023</w:t>
            </w:r>
            <w:r>
              <w:rPr>
                <w:position w:val="8"/>
                <w:sz w:val="19"/>
              </w:rPr>
              <w:t>(7)</w:t>
            </w:r>
          </w:p>
        </w:tc>
        <w:tc>
          <w:tcPr>
            <w:tcW w:w="1100" w:type="dxa"/>
            <w:tcBorders/>
            <w:shd w:fill="E6EFFF" w:val="clear"/>
            <w:vAlign w:val="center"/>
          </w:tcPr>
          <w:p>
            <w:pPr>
              <w:pStyle w:val="TableContents"/>
              <w:bidi w:val="0"/>
              <w:spacing w:before="0" w:after="283"/>
              <w:jc w:val="center"/>
              <w:rPr/>
            </w:pPr>
            <w:r>
              <w:rPr/>
              <w:t>400,000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$0.58</w:t>
            </w:r>
          </w:p>
        </w:tc>
      </w:tr>
      <w:tr>
        <w:trPr/>
        <w:tc>
          <w:tcPr>
            <w:tcW w:w="2165" w:type="dxa"/>
            <w:tcBorders/>
            <w:vAlign w:val="center"/>
          </w:tcPr>
          <w:p>
            <w:pPr>
              <w:pStyle w:val="TableContents"/>
              <w:bidi w:val="0"/>
              <w:spacing w:before="0" w:after="283"/>
              <w:jc w:val="center"/>
              <w:rPr/>
            </w:pPr>
            <w:r>
              <w:rPr/>
              <w:t>September 21, 2023</w:t>
            </w:r>
            <w:r>
              <w:rPr>
                <w:position w:val="8"/>
                <w:sz w:val="19"/>
              </w:rPr>
              <w:t>(7)</w:t>
            </w:r>
          </w:p>
        </w:tc>
        <w:tc>
          <w:tcPr>
            <w:tcW w:w="1100" w:type="dxa"/>
            <w:tcBorders/>
            <w:vAlign w:val="center"/>
          </w:tcPr>
          <w:p>
            <w:pPr>
              <w:pStyle w:val="TableContents"/>
              <w:bidi w:val="0"/>
              <w:spacing w:before="0" w:after="283"/>
              <w:jc w:val="center"/>
              <w:rPr/>
            </w:pPr>
            <w:r>
              <w:rPr/>
              <w:t>221,000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$0.59</w:t>
            </w:r>
          </w:p>
        </w:tc>
      </w:tr>
      <w:tr>
        <w:trPr/>
        <w:tc>
          <w:tcPr>
            <w:tcW w:w="2165" w:type="dxa"/>
            <w:tcBorders/>
            <w:shd w:fill="E6EFFF" w:val="clear"/>
            <w:vAlign w:val="center"/>
          </w:tcPr>
          <w:p>
            <w:pPr>
              <w:pStyle w:val="TableContents"/>
              <w:bidi w:val="0"/>
              <w:spacing w:before="0" w:after="283"/>
              <w:jc w:val="center"/>
              <w:rPr/>
            </w:pPr>
            <w:r>
              <w:rPr/>
              <w:t>September 22, 2023</w:t>
            </w:r>
            <w:r>
              <w:rPr>
                <w:position w:val="8"/>
                <w:sz w:val="19"/>
              </w:rPr>
              <w:t>(7)</w:t>
            </w:r>
          </w:p>
        </w:tc>
        <w:tc>
          <w:tcPr>
            <w:tcW w:w="1100" w:type="dxa"/>
            <w:tcBorders/>
            <w:shd w:fill="E6EFFF" w:val="clear"/>
            <w:vAlign w:val="center"/>
          </w:tcPr>
          <w:p>
            <w:pPr>
              <w:pStyle w:val="TableContents"/>
              <w:bidi w:val="0"/>
              <w:spacing w:before="0" w:after="283"/>
              <w:jc w:val="center"/>
              <w:rPr/>
            </w:pPr>
            <w:r>
              <w:rPr/>
              <w:t>207,700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$0.59</w:t>
            </w:r>
          </w:p>
        </w:tc>
      </w:tr>
      <w:tr>
        <w:trPr/>
        <w:tc>
          <w:tcPr>
            <w:tcW w:w="2165" w:type="dxa"/>
            <w:tcBorders/>
            <w:vAlign w:val="center"/>
          </w:tcPr>
          <w:p>
            <w:pPr>
              <w:pStyle w:val="TableContents"/>
              <w:bidi w:val="0"/>
              <w:spacing w:before="0" w:after="283"/>
              <w:jc w:val="center"/>
              <w:rPr/>
            </w:pPr>
            <w:r>
              <w:rPr/>
              <w:t>September 25, 2023</w:t>
            </w:r>
            <w:r>
              <w:rPr>
                <w:position w:val="8"/>
                <w:sz w:val="19"/>
              </w:rPr>
              <w:t>(7)</w:t>
            </w:r>
          </w:p>
        </w:tc>
        <w:tc>
          <w:tcPr>
            <w:tcW w:w="1100" w:type="dxa"/>
            <w:tcBorders/>
            <w:vAlign w:val="center"/>
          </w:tcPr>
          <w:p>
            <w:pPr>
              <w:pStyle w:val="TableContents"/>
              <w:bidi w:val="0"/>
              <w:spacing w:before="0" w:after="283"/>
              <w:jc w:val="center"/>
              <w:rPr/>
            </w:pPr>
            <w:r>
              <w:rPr/>
              <w:t>210,000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$0.62</w:t>
            </w:r>
          </w:p>
        </w:tc>
      </w:tr>
      <w:tr>
        <w:trPr/>
        <w:tc>
          <w:tcPr>
            <w:tcW w:w="2165" w:type="dxa"/>
            <w:tcBorders/>
            <w:shd w:fill="E6EFFF" w:val="clear"/>
            <w:vAlign w:val="center"/>
          </w:tcPr>
          <w:p>
            <w:pPr>
              <w:pStyle w:val="TableContents"/>
              <w:bidi w:val="0"/>
              <w:spacing w:before="0" w:after="283"/>
              <w:jc w:val="center"/>
              <w:rPr/>
            </w:pPr>
            <w:r>
              <w:rPr/>
              <w:t>September 26, 2023</w:t>
            </w:r>
            <w:r>
              <w:rPr>
                <w:position w:val="8"/>
                <w:sz w:val="19"/>
              </w:rPr>
              <w:t>(7)</w:t>
            </w:r>
          </w:p>
        </w:tc>
        <w:tc>
          <w:tcPr>
            <w:tcW w:w="1100" w:type="dxa"/>
            <w:tcBorders/>
            <w:shd w:fill="E6EFFF" w:val="clear"/>
            <w:vAlign w:val="center"/>
          </w:tcPr>
          <w:p>
            <w:pPr>
              <w:pStyle w:val="TableContents"/>
              <w:bidi w:val="0"/>
              <w:spacing w:before="0" w:after="283"/>
              <w:jc w:val="center"/>
              <w:rPr/>
            </w:pPr>
            <w:r>
              <w:rPr/>
              <w:t>500,000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$0.72</w:t>
            </w:r>
          </w:p>
        </w:tc>
      </w:tr>
      <w:tr>
        <w:trPr/>
        <w:tc>
          <w:tcPr>
            <w:tcW w:w="2165" w:type="dxa"/>
            <w:tcBorders/>
            <w:vAlign w:val="center"/>
          </w:tcPr>
          <w:p>
            <w:pPr>
              <w:pStyle w:val="TableContents"/>
              <w:bidi w:val="0"/>
              <w:spacing w:before="0" w:after="283"/>
              <w:jc w:val="center"/>
              <w:rPr/>
            </w:pPr>
            <w:r>
              <w:rPr/>
              <w:t>September 27, 2023</w:t>
            </w:r>
            <w:r>
              <w:rPr>
                <w:position w:val="8"/>
                <w:sz w:val="19"/>
              </w:rPr>
              <w:t>(7)</w:t>
            </w:r>
          </w:p>
        </w:tc>
        <w:tc>
          <w:tcPr>
            <w:tcW w:w="1100" w:type="dxa"/>
            <w:tcBorders/>
            <w:vAlign w:val="center"/>
          </w:tcPr>
          <w:p>
            <w:pPr>
              <w:pStyle w:val="TableContents"/>
              <w:bidi w:val="0"/>
              <w:spacing w:before="0" w:after="283"/>
              <w:jc w:val="center"/>
              <w:rPr/>
            </w:pPr>
            <w:r>
              <w:rPr/>
              <w:t>911,400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$0.84</w:t>
            </w:r>
          </w:p>
        </w:tc>
      </w:tr>
      <w:tr>
        <w:trPr/>
        <w:tc>
          <w:tcPr>
            <w:tcW w:w="2165" w:type="dxa"/>
            <w:tcBorders/>
            <w:shd w:fill="E6EFFF" w:val="clear"/>
            <w:vAlign w:val="center"/>
          </w:tcPr>
          <w:p>
            <w:pPr>
              <w:pStyle w:val="TableContents"/>
              <w:bidi w:val="0"/>
              <w:spacing w:before="0" w:after="283"/>
              <w:jc w:val="center"/>
              <w:rPr/>
            </w:pPr>
            <w:r>
              <w:rPr/>
              <w:t>September 29, 2023</w:t>
            </w:r>
            <w:r>
              <w:rPr>
                <w:position w:val="8"/>
                <w:sz w:val="19"/>
              </w:rPr>
              <w:t>(7)</w:t>
            </w:r>
          </w:p>
        </w:tc>
        <w:tc>
          <w:tcPr>
            <w:tcW w:w="1100" w:type="dxa"/>
            <w:tcBorders/>
            <w:shd w:fill="E6EFFF" w:val="clear"/>
            <w:vAlign w:val="center"/>
          </w:tcPr>
          <w:p>
            <w:pPr>
              <w:pStyle w:val="TableContents"/>
              <w:bidi w:val="0"/>
              <w:spacing w:before="0" w:after="283"/>
              <w:jc w:val="center"/>
              <w:rPr/>
            </w:pPr>
            <w:r>
              <w:rPr/>
              <w:t>261,000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$0.74</w:t>
            </w:r>
          </w:p>
        </w:tc>
      </w:tr>
      <w:tr>
        <w:trPr/>
        <w:tc>
          <w:tcPr>
            <w:tcW w:w="2165" w:type="dxa"/>
            <w:tcBorders/>
            <w:vAlign w:val="center"/>
          </w:tcPr>
          <w:p>
            <w:pPr>
              <w:pStyle w:val="TableContents"/>
              <w:bidi w:val="0"/>
              <w:spacing w:before="0" w:after="283"/>
              <w:jc w:val="center"/>
              <w:rPr/>
            </w:pPr>
            <w:r>
              <w:rPr/>
              <w:t>October 2, 2023</w:t>
            </w:r>
            <w:r>
              <w:rPr>
                <w:position w:val="8"/>
                <w:sz w:val="19"/>
              </w:rPr>
              <w:t>(7)</w:t>
            </w:r>
          </w:p>
        </w:tc>
        <w:tc>
          <w:tcPr>
            <w:tcW w:w="1100" w:type="dxa"/>
            <w:tcBorders/>
            <w:vAlign w:val="center"/>
          </w:tcPr>
          <w:p>
            <w:pPr>
              <w:pStyle w:val="TableContents"/>
              <w:bidi w:val="0"/>
              <w:spacing w:before="0" w:after="283"/>
              <w:jc w:val="center"/>
              <w:rPr/>
            </w:pPr>
            <w:r>
              <w:rPr/>
              <w:t>100,000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$0.68</w:t>
            </w:r>
          </w:p>
        </w:tc>
      </w:tr>
      <w:tr>
        <w:trPr/>
        <w:tc>
          <w:tcPr>
            <w:tcW w:w="2165" w:type="dxa"/>
            <w:tcBorders/>
            <w:shd w:fill="E6EFFF" w:val="clear"/>
            <w:vAlign w:val="center"/>
          </w:tcPr>
          <w:p>
            <w:pPr>
              <w:pStyle w:val="TableContents"/>
              <w:bidi w:val="0"/>
              <w:spacing w:before="0" w:after="283"/>
              <w:jc w:val="center"/>
              <w:rPr/>
            </w:pPr>
            <w:r>
              <w:rPr/>
              <w:t>October 4, 2023</w:t>
            </w:r>
            <w:r>
              <w:rPr>
                <w:position w:val="8"/>
                <w:sz w:val="19"/>
              </w:rPr>
              <w:t>(7)</w:t>
            </w:r>
          </w:p>
        </w:tc>
        <w:tc>
          <w:tcPr>
            <w:tcW w:w="1100" w:type="dxa"/>
            <w:tcBorders/>
            <w:shd w:fill="E6EFFF" w:val="clear"/>
            <w:vAlign w:val="center"/>
          </w:tcPr>
          <w:p>
            <w:pPr>
              <w:pStyle w:val="TableContents"/>
              <w:bidi w:val="0"/>
              <w:spacing w:before="0" w:after="283"/>
              <w:jc w:val="center"/>
              <w:rPr/>
            </w:pPr>
            <w:r>
              <w:rPr/>
              <w:t>175,000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$0.80</w:t>
            </w:r>
          </w:p>
        </w:tc>
      </w:tr>
      <w:tr>
        <w:trPr/>
        <w:tc>
          <w:tcPr>
            <w:tcW w:w="2165" w:type="dxa"/>
            <w:tcBorders/>
            <w:vAlign w:val="center"/>
          </w:tcPr>
          <w:p>
            <w:pPr>
              <w:pStyle w:val="TableContents"/>
              <w:bidi w:val="0"/>
              <w:spacing w:before="0" w:after="283"/>
              <w:jc w:val="center"/>
              <w:rPr/>
            </w:pPr>
            <w:r>
              <w:rPr/>
              <w:t>October 11, 2023</w:t>
            </w:r>
            <w:r>
              <w:rPr>
                <w:position w:val="8"/>
                <w:sz w:val="19"/>
              </w:rPr>
              <w:t>(7)</w:t>
            </w:r>
          </w:p>
        </w:tc>
        <w:tc>
          <w:tcPr>
            <w:tcW w:w="1100" w:type="dxa"/>
            <w:tcBorders/>
            <w:vAlign w:val="center"/>
          </w:tcPr>
          <w:p>
            <w:pPr>
              <w:pStyle w:val="TableContents"/>
              <w:bidi w:val="0"/>
              <w:spacing w:before="0" w:after="283"/>
              <w:jc w:val="center"/>
              <w:rPr/>
            </w:pPr>
            <w:r>
              <w:rPr/>
              <w:t>1,143,084</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$0.76</w:t>
            </w:r>
          </w:p>
        </w:tc>
      </w:tr>
      <w:tr>
        <w:trPr/>
        <w:tc>
          <w:tcPr>
            <w:tcW w:w="2165" w:type="dxa"/>
            <w:tcBorders/>
            <w:shd w:fill="E6EFFF" w:val="clear"/>
            <w:vAlign w:val="center"/>
          </w:tcPr>
          <w:p>
            <w:pPr>
              <w:pStyle w:val="TableContents"/>
              <w:bidi w:val="0"/>
              <w:spacing w:before="0" w:after="283"/>
              <w:jc w:val="center"/>
              <w:rPr/>
            </w:pPr>
            <w:r>
              <w:rPr/>
              <w:t>October 11, 2023</w:t>
            </w:r>
            <w:r>
              <w:rPr>
                <w:position w:val="8"/>
                <w:sz w:val="19"/>
              </w:rPr>
              <w:t>(7)</w:t>
            </w:r>
          </w:p>
        </w:tc>
        <w:tc>
          <w:tcPr>
            <w:tcW w:w="1100" w:type="dxa"/>
            <w:tcBorders/>
            <w:shd w:fill="E6EFFF" w:val="clear"/>
            <w:vAlign w:val="center"/>
          </w:tcPr>
          <w:p>
            <w:pPr>
              <w:pStyle w:val="TableContents"/>
              <w:bidi w:val="0"/>
              <w:spacing w:before="0" w:after="283"/>
              <w:jc w:val="center"/>
              <w:rPr/>
            </w:pPr>
            <w:r>
              <w:rPr/>
              <w:t>79,278</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$0.76</w:t>
            </w:r>
          </w:p>
        </w:tc>
      </w:tr>
      <w:tr>
        <w:trPr/>
        <w:tc>
          <w:tcPr>
            <w:tcW w:w="2165" w:type="dxa"/>
            <w:tcBorders/>
            <w:vAlign w:val="center"/>
          </w:tcPr>
          <w:p>
            <w:pPr>
              <w:pStyle w:val="TableContents"/>
              <w:bidi w:val="0"/>
              <w:spacing w:before="0" w:after="283"/>
              <w:jc w:val="center"/>
              <w:rPr/>
            </w:pPr>
            <w:r>
              <w:rPr/>
              <w:t>October 12, 2023</w:t>
            </w:r>
            <w:r>
              <w:rPr>
                <w:position w:val="8"/>
                <w:sz w:val="19"/>
              </w:rPr>
              <w:t>(7)</w:t>
            </w:r>
          </w:p>
        </w:tc>
        <w:tc>
          <w:tcPr>
            <w:tcW w:w="1100" w:type="dxa"/>
            <w:tcBorders/>
            <w:vAlign w:val="center"/>
          </w:tcPr>
          <w:p>
            <w:pPr>
              <w:pStyle w:val="TableContents"/>
              <w:bidi w:val="0"/>
              <w:spacing w:before="0" w:after="283"/>
              <w:jc w:val="center"/>
              <w:rPr/>
            </w:pPr>
            <w:r>
              <w:rPr/>
              <w:t>175,000</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$0.85</w:t>
            </w:r>
          </w:p>
        </w:tc>
      </w:tr>
      <w:tr>
        <w:trPr/>
        <w:tc>
          <w:tcPr>
            <w:tcW w:w="2165" w:type="dxa"/>
            <w:tcBorders/>
            <w:shd w:fill="E6EFFF" w:val="clear"/>
            <w:vAlign w:val="center"/>
          </w:tcPr>
          <w:p>
            <w:pPr>
              <w:pStyle w:val="TableContents"/>
              <w:bidi w:val="0"/>
              <w:spacing w:before="0" w:after="283"/>
              <w:jc w:val="center"/>
              <w:rPr/>
            </w:pPr>
            <w:r>
              <w:rPr/>
              <w:t>October 16, 2023</w:t>
            </w:r>
            <w:r>
              <w:rPr>
                <w:position w:val="8"/>
                <w:sz w:val="19"/>
              </w:rPr>
              <w:t>(7)</w:t>
            </w:r>
          </w:p>
        </w:tc>
        <w:tc>
          <w:tcPr>
            <w:tcW w:w="1100" w:type="dxa"/>
            <w:tcBorders/>
            <w:shd w:fill="E6EFFF" w:val="clear"/>
            <w:vAlign w:val="center"/>
          </w:tcPr>
          <w:p>
            <w:pPr>
              <w:pStyle w:val="TableContents"/>
              <w:bidi w:val="0"/>
              <w:spacing w:before="0" w:after="283"/>
              <w:jc w:val="center"/>
              <w:rPr/>
            </w:pPr>
            <w:r>
              <w:rPr/>
              <w:t>51,900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$0.82</w:t>
            </w:r>
          </w:p>
        </w:tc>
      </w:tr>
      <w:tr>
        <w:trPr/>
        <w:tc>
          <w:tcPr>
            <w:tcW w:w="2165" w:type="dxa"/>
            <w:tcBorders/>
            <w:vAlign w:val="center"/>
          </w:tcPr>
          <w:p>
            <w:pPr>
              <w:pStyle w:val="TableContents"/>
              <w:bidi w:val="0"/>
              <w:spacing w:before="0" w:after="283"/>
              <w:jc w:val="center"/>
              <w:rPr/>
            </w:pPr>
            <w:r>
              <w:rPr/>
              <w:t>October 23, 2023</w:t>
            </w:r>
            <w:r>
              <w:rPr>
                <w:position w:val="8"/>
                <w:sz w:val="19"/>
              </w:rPr>
              <w:t>(8)</w:t>
            </w:r>
          </w:p>
        </w:tc>
        <w:tc>
          <w:tcPr>
            <w:tcW w:w="1100" w:type="dxa"/>
            <w:tcBorders/>
            <w:vAlign w:val="center"/>
          </w:tcPr>
          <w:p>
            <w:pPr>
              <w:pStyle w:val="TableContents"/>
              <w:bidi w:val="0"/>
              <w:spacing w:before="0" w:after="283"/>
              <w:jc w:val="center"/>
              <w:rPr/>
            </w:pPr>
            <w:r>
              <w:rPr/>
              <w:t>80,945,254</w:t>
            </w:r>
          </w:p>
        </w:tc>
        <w:tc>
          <w:tcPr>
            <w:tcW w:w="1595" w:type="dxa"/>
            <w:tcBorders/>
            <w:vAlign w:val="center"/>
          </w:tcPr>
          <w:p>
            <w:pPr>
              <w:pStyle w:val="TableContents"/>
              <w:bidi w:val="0"/>
              <w:spacing w:before="0" w:after="283"/>
              <w:jc w:val="center"/>
              <w:rPr/>
            </w:pPr>
            <w:r>
              <w:rPr/>
              <w:t>Common Shares</w:t>
            </w:r>
          </w:p>
        </w:tc>
        <w:tc>
          <w:tcPr>
            <w:tcW w:w="575" w:type="dxa"/>
            <w:tcBorders/>
            <w:vAlign w:val="center"/>
          </w:tcPr>
          <w:p>
            <w:pPr>
              <w:pStyle w:val="TableContents"/>
              <w:bidi w:val="0"/>
              <w:spacing w:before="0" w:after="0"/>
              <w:jc w:val="center"/>
              <w:rPr/>
            </w:pPr>
            <w:r>
              <w:rPr/>
              <w:t>$0.64</w:t>
            </w:r>
          </w:p>
        </w:tc>
      </w:tr>
      <w:tr>
        <w:trPr/>
        <w:tc>
          <w:tcPr>
            <w:tcW w:w="2165" w:type="dxa"/>
            <w:tcBorders/>
            <w:shd w:fill="E6EFFF" w:val="clear"/>
            <w:vAlign w:val="center"/>
          </w:tcPr>
          <w:p>
            <w:pPr>
              <w:pStyle w:val="TableContents"/>
              <w:bidi w:val="0"/>
              <w:spacing w:before="0" w:after="283"/>
              <w:jc w:val="center"/>
              <w:rPr/>
            </w:pPr>
            <w:r>
              <w:rPr/>
              <w:t>November 7, 2023</w:t>
            </w:r>
            <w:r>
              <w:rPr>
                <w:position w:val="8"/>
                <w:sz w:val="19"/>
              </w:rPr>
              <w:t>(9)</w:t>
            </w:r>
          </w:p>
        </w:tc>
        <w:tc>
          <w:tcPr>
            <w:tcW w:w="1100" w:type="dxa"/>
            <w:tcBorders/>
            <w:shd w:fill="E6EFFF" w:val="clear"/>
            <w:vAlign w:val="center"/>
          </w:tcPr>
          <w:p>
            <w:pPr>
              <w:pStyle w:val="TableContents"/>
              <w:bidi w:val="0"/>
              <w:spacing w:before="0" w:after="283"/>
              <w:jc w:val="center"/>
              <w:rPr/>
            </w:pPr>
            <w:r>
              <w:rPr/>
              <w:t>99,000</w:t>
            </w:r>
          </w:p>
        </w:tc>
        <w:tc>
          <w:tcPr>
            <w:tcW w:w="1595" w:type="dxa"/>
            <w:tcBorders/>
            <w:shd w:fill="E6EFFF" w:val="clear"/>
            <w:vAlign w:val="center"/>
          </w:tcPr>
          <w:p>
            <w:pPr>
              <w:pStyle w:val="TableContents"/>
              <w:bidi w:val="0"/>
              <w:spacing w:before="0" w:after="283"/>
              <w:jc w:val="center"/>
              <w:rPr/>
            </w:pPr>
            <w:r>
              <w:rPr/>
              <w:t>Common Shares</w:t>
            </w:r>
          </w:p>
        </w:tc>
        <w:tc>
          <w:tcPr>
            <w:tcW w:w="575" w:type="dxa"/>
            <w:tcBorders/>
            <w:shd w:fill="E6EFFF" w:val="clear"/>
            <w:vAlign w:val="center"/>
          </w:tcPr>
          <w:p>
            <w:pPr>
              <w:pStyle w:val="TableContents"/>
              <w:bidi w:val="0"/>
              <w:spacing w:before="0" w:after="0"/>
              <w:jc w:val="center"/>
              <w:rPr/>
            </w:pPr>
            <w:r>
              <w:rPr/>
              <w:t>$0.53</w:t>
            </w:r>
          </w:p>
        </w:tc>
      </w:tr>
    </w:tbl>
    <w:p>
      <w:pPr>
        <w:pStyle w:val="TextBody"/>
        <w:bidi w:val="0"/>
        <w:jc w:val="both"/>
        <w:rPr>
          <w:b/>
          <w:u w:val="single"/>
        </w:rPr>
      </w:pPr>
      <w:r>
        <w:rPr>
          <w:b/>
          <w:u w:val="single"/>
        </w:rPr>
        <w:t>Notes:</w:t>
      </w:r>
    </w:p>
    <w:p>
      <w:pPr>
        <w:pStyle w:val="TextBody"/>
        <w:bidi w:val="0"/>
        <w:spacing w:before="0" w:after="0"/>
        <w:ind w:left="720" w:right="0" w:hanging="0"/>
        <w:jc w:val="both"/>
        <w:rPr/>
      </w:pPr>
      <w:r>
        <w:rPr/>
        <w:t>(1) Certain amounts have been converted from USD to CAD based on the average exchange rate posted by the Bank of Canada for the year ended December 31, 2022, being US$1.00 = C$1.3282.</w:t>
      </w:r>
    </w:p>
    <w:p>
      <w:pPr>
        <w:pStyle w:val="TextBody"/>
        <w:bidi w:val="0"/>
        <w:spacing w:before="0" w:after="0"/>
        <w:ind w:left="720" w:right="0" w:hanging="0"/>
        <w:jc w:val="both"/>
        <w:rPr/>
      </w:pPr>
      <w:r>
        <w:rPr/>
        <w:t>(2) Common Shares issued in exchange for Class B Shares.</w:t>
      </w:r>
    </w:p>
    <w:p>
      <w:pPr>
        <w:pStyle w:val="TextBody"/>
        <w:bidi w:val="0"/>
        <w:spacing w:before="0" w:after="0"/>
        <w:ind w:left="720" w:right="0" w:hanging="0"/>
        <w:jc w:val="both"/>
        <w:rPr/>
      </w:pPr>
      <w:r>
        <w:rPr/>
        <w:t>(3) Common Shares issued in connection with the Corporation's prior ATM Program which allows the Corporation to issue and sell up to US$35,000,000 of Common Shares to the public, from time to time, at its discretion. The ATM Program was qualified by the prospectus supplement dated August 8, 2022.</w:t>
      </w:r>
    </w:p>
    <w:p>
      <w:pPr>
        <w:pStyle w:val="TextBody"/>
        <w:bidi w:val="0"/>
        <w:spacing w:before="0" w:after="0"/>
        <w:ind w:left="720" w:right="0" w:hanging="0"/>
        <w:jc w:val="both"/>
        <w:rPr/>
      </w:pPr>
      <w:r>
        <w:rPr/>
        <w:t>(4) Common Shares issued to LPC on May 30, 2023 pursuant to the Purchase Agreement.</w:t>
      </w:r>
    </w:p>
    <w:p>
      <w:pPr>
        <w:pStyle w:val="TextBody"/>
        <w:bidi w:val="0"/>
        <w:spacing w:before="0" w:after="0"/>
        <w:ind w:left="720" w:right="0" w:hanging="0"/>
        <w:jc w:val="both"/>
        <w:rPr/>
      </w:pPr>
      <w:r>
        <w:rPr/>
        <w:t>(5) Common Shares issued to LPC pursuant to the Purchase Agreement.</w:t>
      </w:r>
    </w:p>
    <w:p>
      <w:pPr>
        <w:pStyle w:val="TextBody"/>
        <w:bidi w:val="0"/>
        <w:spacing w:before="0" w:after="0"/>
        <w:ind w:left="720" w:right="0" w:hanging="0"/>
        <w:jc w:val="both"/>
        <w:rPr/>
      </w:pPr>
      <w:r>
        <w:rPr/>
        <w:t>(6) Common Shares issued pursuant to the Offering.</w:t>
      </w:r>
    </w:p>
    <w:p>
      <w:pPr>
        <w:pStyle w:val="TextBody"/>
        <w:bidi w:val="0"/>
        <w:spacing w:before="0" w:after="0"/>
        <w:ind w:left="720" w:right="0" w:hanging="0"/>
        <w:jc w:val="both"/>
        <w:rPr/>
      </w:pPr>
      <w:r>
        <w:rPr/>
        <w:t>(7) Common Shares issued in connection with the 2023 ATM Program.</w:t>
      </w:r>
    </w:p>
    <w:p>
      <w:pPr>
        <w:pStyle w:val="TextBody"/>
        <w:bidi w:val="0"/>
        <w:spacing w:before="0" w:after="0"/>
        <w:ind w:left="720" w:right="0" w:hanging="0"/>
        <w:jc w:val="both"/>
        <w:rPr/>
      </w:pPr>
      <w:r>
        <w:rPr/>
        <w:t>(8) Common Shares issued to Small Pharma on closing of the Arrangement.</w:t>
      </w:r>
    </w:p>
    <w:p>
      <w:pPr>
        <w:pStyle w:val="TextBody"/>
        <w:bidi w:val="0"/>
        <w:spacing w:before="0" w:after="283"/>
        <w:ind w:left="720" w:right="0" w:hanging="0"/>
        <w:jc w:val="both"/>
        <w:rPr/>
      </w:pPr>
      <w:r>
        <w:rPr/>
        <w:t>(9) Common Shares issued on exercise of the Common Share purchase warrants issued in connection with the August 2023 Unit Offering.</w:t>
      </w:r>
    </w:p>
    <w:p>
      <w:pPr>
        <w:pStyle w:val="TextBody"/>
        <w:bidi w:val="0"/>
        <w:jc w:val="center"/>
        <w:rPr>
          <w:b/>
        </w:rPr>
      </w:pPr>
      <w:r>
        <w:rPr>
          <w:b/>
        </w:rPr>
        <w:t>RISK FACTORS</w:t>
      </w:r>
    </w:p>
    <w:p>
      <w:pPr>
        <w:pStyle w:val="TextBody"/>
        <w:bidi w:val="0"/>
        <w:jc w:val="both"/>
        <w:rPr>
          <w:i/>
        </w:rPr>
      </w:pPr>
      <w:r>
        <w:rPr>
          <w:i/>
        </w:rPr>
        <w:t>An investment in the Securities is highly speculative and subject to a number of risks. Before deciding whether to invest, investors should consider carefully the risk factors set forth below and in the documents incorporated by reference in the Base Shelf Prospectus and this Prospectus Supplement (including those discussed under the heading "Risk Factors" in the Base Shelf Prospectus and the Corporation's most recent Annual Information Form and Interim MD&amp;A)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pStyle w:val="TextBody"/>
        <w:bidi w:val="0"/>
        <w:jc w:val="both"/>
        <w:rPr>
          <w:b/>
        </w:rPr>
      </w:pPr>
      <w:r>
        <w:rPr>
          <w:b/>
        </w:rPr>
        <w:t xml:space="preserve">Risk Factors Related to the Offering </w:t>
      </w:r>
    </w:p>
    <w:p>
      <w:pPr>
        <w:pStyle w:val="TextBody"/>
        <w:bidi w:val="0"/>
        <w:jc w:val="both"/>
        <w:rPr>
          <w:b/>
          <w:i/>
        </w:rPr>
      </w:pPr>
      <w:r>
        <w:rPr>
          <w:b/>
          <w:i/>
        </w:rPr>
        <w:t>An Investment in the Units is Highly Speculative</w:t>
      </w:r>
    </w:p>
    <w:p>
      <w:pPr>
        <w:pStyle w:val="TextBody"/>
        <w:bidi w:val="0"/>
        <w:jc w:val="both"/>
        <w:rPr/>
      </w:pPr>
      <w:r>
        <w:rPr/>
        <w:t>An investment in the Units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0" w:name="page_25"/>
      <w:bookmarkEnd w:id="40"/>
      <w:r>
        <w:rPr>
          <w:b/>
          <w:i/>
        </w:rPr>
        <w:t>Completion of the Offering</w:t>
      </w:r>
    </w:p>
    <w:p>
      <w:pPr>
        <w:pStyle w:val="TextBody"/>
        <w:bidi w:val="0"/>
        <w:jc w:val="both"/>
        <w:rPr/>
      </w:pPr>
      <w:r>
        <w:rPr/>
        <w:t xml:space="preserve">The completion of the Offering remains subject to a number of conditions, and there can be no certainty that the Offering will be completed. If the Offering is not completed, the Corporation may not be able to raise the funds set out herein for the purposes contemplated under </w:t>
      </w:r>
      <w:r>
        <w:rPr>
          <w:i/>
        </w:rPr>
        <w:t>"Use of Proceeds"</w:t>
      </w:r>
      <w:r>
        <w:rPr/>
        <w:t xml:space="preserve"> from other sources on commercially reasonable terms, or at all.</w:t>
      </w:r>
    </w:p>
    <w:p>
      <w:pPr>
        <w:pStyle w:val="TextBody"/>
        <w:bidi w:val="0"/>
        <w:jc w:val="both"/>
        <w:rPr>
          <w:b/>
          <w:i/>
        </w:rPr>
      </w:pPr>
      <w:r>
        <w:rPr>
          <w:b/>
          <w:i/>
        </w:rPr>
        <w:t>Negative Operating Cash Flow and Going Concern</w:t>
      </w:r>
    </w:p>
    <w:p>
      <w:pPr>
        <w:pStyle w:val="TextBody"/>
        <w:bidi w:val="0"/>
        <w:jc w:val="both"/>
        <w:rPr/>
      </w:pPr>
      <w:r>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   </w:t>
      </w:r>
    </w:p>
    <w:p>
      <w:pPr>
        <w:pStyle w:val="TextBody"/>
        <w:bidi w:val="0"/>
        <w:jc w:val="both"/>
        <w:rPr/>
      </w:pPr>
      <w:r>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i/>
        </w:rPr>
        <w:t>"Risk Factors - Risks Related to the Offering - Need for Additional Financing"</w:t>
      </w:r>
      <w:r>
        <w:rPr/>
        <w:t>.</w:t>
      </w:r>
    </w:p>
    <w:p>
      <w:pPr>
        <w:pStyle w:val="TextBody"/>
        <w:bidi w:val="0"/>
        <w:jc w:val="both"/>
        <w:rPr>
          <w:b/>
          <w:i/>
        </w:rPr>
      </w:pPr>
      <w:r>
        <w:rPr>
          <w:b/>
          <w:i/>
        </w:rPr>
        <w:t>Discretion in the Use of Proceeds</w:t>
      </w:r>
    </w:p>
    <w:p>
      <w:pPr>
        <w:pStyle w:val="TextBody"/>
        <w:bidi w:val="0"/>
        <w:jc w:val="both"/>
        <w:rPr/>
      </w:pPr>
      <w:r>
        <w:rPr/>
        <w:t xml:space="preserve">The Corporation will have discretion concerning the use of the net proceeds of the Offering as well as the timing of their expenditures, and may apply the net proceeds of the Offering in ways other than as described under </w:t>
      </w:r>
      <w:r>
        <w:rPr>
          <w:i/>
        </w:rPr>
        <w:t>"Use of Proceeds"</w:t>
      </w:r>
      <w:r>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pStyle w:val="TextBody"/>
        <w:bidi w:val="0"/>
        <w:jc w:val="both"/>
        <w:rPr>
          <w:b/>
          <w:i/>
        </w:rPr>
      </w:pPr>
      <w:r>
        <w:rPr>
          <w:b/>
          <w:i/>
        </w:rPr>
        <w:t>Need for Additional Financing</w:t>
      </w:r>
    </w:p>
    <w:p>
      <w:pPr>
        <w:pStyle w:val="TextBody"/>
        <w:bidi w:val="0"/>
        <w:jc w:val="both"/>
        <w:rPr/>
      </w:pPr>
      <w:r>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i/>
        </w:rPr>
        <w:t xml:space="preserve">See "Risk Factors - Risks Related to the Offering - Negative Operating Cash Flow and Going Concern" </w:t>
      </w:r>
      <w:r>
        <w:rPr/>
        <w:t xml:space="preserve">and </w:t>
      </w:r>
      <w:r>
        <w:rPr>
          <w:i/>
        </w:rPr>
        <w:t>"Risk Factors - Risks Related to the Offering - Potential Dilution".</w:t>
      </w:r>
    </w:p>
    <w:p>
      <w:pPr>
        <w:pStyle w:val="TextBody"/>
        <w:bidi w:val="0"/>
        <w:jc w:val="both"/>
        <w:rPr>
          <w:b/>
          <w:i/>
        </w:rPr>
      </w:pPr>
      <w:r>
        <w:rPr>
          <w:b/>
          <w:i/>
        </w:rPr>
        <w:t>Potential Dilution</w:t>
      </w:r>
    </w:p>
    <w:p>
      <w:pPr>
        <w:pStyle w:val="TextBody"/>
        <w:bidi w:val="0"/>
        <w:jc w:val="both"/>
        <w:rPr/>
      </w:pPr>
      <w:r>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See </w:t>
      </w:r>
      <w:r>
        <w:rPr>
          <w:i/>
        </w:rPr>
        <w:t>"Risk Factors - Risks Related to an Offering - Need for Additional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1" w:name="page_26"/>
      <w:bookmarkEnd w:id="41"/>
      <w:r>
        <w:rPr>
          <w:b/>
          <w:i/>
        </w:rPr>
        <w:t>Trading Market</w:t>
      </w:r>
    </w:p>
    <w:p>
      <w:pPr>
        <w:pStyle w:val="TextBody"/>
        <w:bidi w:val="0"/>
        <w:jc w:val="both"/>
        <w:rPr/>
      </w:pPr>
      <w:r>
        <w:rPr/>
        <w:t>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w:t>
      </w:r>
    </w:p>
    <w:p>
      <w:pPr>
        <w:pStyle w:val="TextBody"/>
        <w:bidi w:val="0"/>
        <w:jc w:val="both"/>
        <w:rPr>
          <w:b/>
          <w:i/>
        </w:rPr>
      </w:pPr>
      <w:r>
        <w:rPr>
          <w:b/>
          <w:i/>
        </w:rPr>
        <w:t>Significant Sales of Common Shares</w:t>
      </w:r>
    </w:p>
    <w:p>
      <w:pPr>
        <w:pStyle w:val="TextBody"/>
        <w:bidi w:val="0"/>
        <w:jc w:val="both"/>
        <w:rPr/>
      </w:pPr>
      <w:r>
        <w:rPr/>
        <w:t>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w:t>
      </w:r>
    </w:p>
    <w:p>
      <w:pPr>
        <w:pStyle w:val="TextBody"/>
        <w:bidi w:val="0"/>
        <w:jc w:val="both"/>
        <w:rPr>
          <w:b/>
          <w:i/>
        </w:rPr>
      </w:pPr>
      <w:r>
        <w:rPr>
          <w:b/>
          <w:i/>
        </w:rPr>
        <w:t>Positive Return Not Guaranteed</w:t>
      </w:r>
    </w:p>
    <w:p>
      <w:pPr>
        <w:pStyle w:val="TextBody"/>
        <w:bidi w:val="0"/>
        <w:jc w:val="both"/>
        <w:rPr/>
      </w:pPr>
      <w:r>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pStyle w:val="TextBody"/>
        <w:bidi w:val="0"/>
        <w:jc w:val="both"/>
        <w:rPr>
          <w:b/>
          <w:i/>
        </w:rPr>
      </w:pPr>
      <w:r>
        <w:rPr>
          <w:b/>
          <w:i/>
        </w:rPr>
        <w:t>Application and Interpretation of Tax Laws</w:t>
      </w:r>
    </w:p>
    <w:p>
      <w:pPr>
        <w:pStyle w:val="TextBody"/>
        <w:bidi w:val="0"/>
        <w:jc w:val="both"/>
        <w:rPr/>
      </w:pPr>
      <w:r>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pStyle w:val="TextBody"/>
        <w:bidi w:val="0"/>
        <w:jc w:val="both"/>
        <w:rPr>
          <w:b/>
          <w:i/>
        </w:rPr>
      </w:pPr>
      <w:r>
        <w:rPr>
          <w:b/>
          <w:i/>
        </w:rPr>
        <w:t>Listing of the Unit Shares and Warrant Shares</w:t>
      </w:r>
    </w:p>
    <w:p>
      <w:pPr>
        <w:pStyle w:val="TextBody"/>
        <w:bidi w:val="0"/>
        <w:jc w:val="both"/>
        <w:rPr/>
      </w:pPr>
      <w:r>
        <w:rPr/>
        <w:t>The Corporation has applied to list the Unit Shares and Warrant Shares on the NEO and the NYSE American. Any potential listing remains subject to the approval of the NEO and the NYSE American and the satisfaction of all applicable regulatory requirements. No assurance can be given that the application will be approved.</w:t>
      </w:r>
    </w:p>
    <w:p>
      <w:pPr>
        <w:pStyle w:val="TextBody"/>
        <w:bidi w:val="0"/>
        <w:jc w:val="both"/>
        <w:rPr>
          <w:b/>
          <w:i/>
        </w:rPr>
      </w:pPr>
      <w:r>
        <w:rPr>
          <w:b/>
          <w:i/>
        </w:rPr>
        <w:t>Enforcement of Civil Liabilities</w:t>
      </w:r>
    </w:p>
    <w:p>
      <w:pPr>
        <w:pStyle w:val="TextBody"/>
        <w:bidi w:val="0"/>
        <w:jc w:val="both"/>
        <w:rPr/>
      </w:pPr>
      <w:r>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pStyle w:val="TextBody"/>
        <w:bidi w:val="0"/>
        <w:jc w:val="both"/>
        <w:rPr/>
      </w:pPr>
      <w:r>
        <w:rPr/>
        <w:t>The Corporation has subsidiaries incorporated in the United States and Ireland.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 consuming and costly process. Certain matters of procedure will also be governed by foreign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2" w:name="page_27"/>
      <w:bookmarkEnd w:id="42"/>
      <w:r>
        <w:rPr>
          <w:b/>
          <w:i/>
        </w:rPr>
        <w:t>The Corporation expects to be a "passive foreign investment company", which may have adverse U.S. federal income tax consequences for U.S. investors</w:t>
      </w:r>
    </w:p>
    <w:p>
      <w:pPr>
        <w:pStyle w:val="TextBody"/>
        <w:bidi w:val="0"/>
        <w:jc w:val="both"/>
        <w:rPr/>
      </w:pPr>
      <w:r>
        <w:rPr/>
        <w:t>Based on current business plans and financial expectations, the Corporation expects to be a PFIC (as defined below) for its current tax year and may be a PFIC in future tax years. If the Corporation is a PFIC for any year during a U.S. Holder's (as defined below) holding period of Common Shares, Warrants or Warrant Shares, as applicable, then such U.S. Holder generally will be required to treat any gain realized upon a disposition of the Common Shares, Warrants or Warrant Shares, as applicable, or any so-called "excess distribution" received on its Common Shares or Warrant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mitigated if a U.S. Holder makes a timely and effective QEF Election (as defined below) or a Mark-to-Market Election (as defined below). Subject to certain limitations, such elections may be made with respect to the Common Shares.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Holder who makes the Mark-to-Market Election generally must include as ordinary income each year the excess of the fair market value of the Common Shares over the U.S. Holder's basis therein. Under proposed Treasury Regulations, a U.S. Holder may not make a QEF Election or Mark-to-Market Election in respect of the Warrants and, as a result, may not be able to make timely QEF Election with respect to Warrant Shares received upon exercise of the Warrants</w:t>
      </w:r>
      <w:r>
        <w:rPr>
          <w:b/>
        </w:rPr>
        <w:t>.</w:t>
      </w:r>
      <w:r>
        <w:rPr/>
        <w:t xml:space="preserve"> This paragraph is qualified in its entirety by the discussion below under the heading "</w:t>
      </w:r>
      <w:r>
        <w:rPr>
          <w:i/>
        </w:rPr>
        <w:t>Certain United States Federal Income Tax Considerations to U.S. Holders - Passive Foreign Investment Company Rules</w:t>
      </w:r>
      <w:r>
        <w:rPr/>
        <w:t>." Each potential investor who is a U.S. Holder should consult its own tax advisor regarding the tax consequences of the PFIC rules and the acquisition, ownership, and disposition of the Units, Common Shares, Warrants and Warrant Shares. </w:t>
      </w:r>
    </w:p>
    <w:p>
      <w:pPr>
        <w:pStyle w:val="TextBody"/>
        <w:bidi w:val="0"/>
        <w:jc w:val="both"/>
        <w:rPr>
          <w:b/>
          <w:i/>
        </w:rPr>
      </w:pPr>
      <w:r>
        <w:rPr>
          <w:b/>
          <w:i/>
        </w:rPr>
        <w:t>Speculative Nature of Warrants</w:t>
      </w:r>
    </w:p>
    <w:p>
      <w:pPr>
        <w:pStyle w:val="TextBody"/>
        <w:bidi w:val="0"/>
        <w:jc w:val="both"/>
        <w:rPr/>
      </w:pPr>
      <w:r>
        <w:rPr/>
        <w:t>The Warrants do not confer any rights of Common Share ownership on its holders, such as voting rights or the right to receive dividends, but rather merely represent the right to acquire Unit Shares at a fixed price for a limited period of time. Specifically, commencing on the date of issuance, holders of the Warrants may exercise their right to acquire Unit Shares and pay an exercise price of US$0.51 per Warrant Share, subject to certain adjustments, prior to the Warrant Expiry Date, after which date any unexercised Warrants will expire and have no further value. Moreover, following completion of the Offering, the market value of the Warrants, if any, is uncertain and there can be no assurance that the market value of the Warrants will equal or exceed their imputed offering price. There can be no assurance that the market price of the Unit Shares will ever equal or exceed the exercise price of the Warrants, and consequently, whether it will ever be profitable for holders of the Warrants to exercise the Warrants.</w:t>
      </w:r>
    </w:p>
    <w:p>
      <w:pPr>
        <w:pStyle w:val="TextBody"/>
        <w:bidi w:val="0"/>
        <w:jc w:val="both"/>
        <w:rPr/>
      </w:pPr>
      <w:r>
        <w:rPr/>
        <w:t>There is no existing trading market for the Warrants and there can be no assurance that a liquid market will develop or be maintained for the Warrants, or that an investor will be able to sell any of the Warrants at a particular time (if at all).</w:t>
      </w:r>
    </w:p>
    <w:p>
      <w:pPr>
        <w:pStyle w:val="TextBody"/>
        <w:bidi w:val="0"/>
        <w:jc w:val="center"/>
        <w:rPr>
          <w:b/>
        </w:rPr>
      </w:pPr>
      <w:r>
        <w:rPr>
          <w:b/>
        </w:rPr>
        <w:t>CERTAIN CANADIAN INCOME TAX CONSIDERATIONS</w:t>
      </w:r>
    </w:p>
    <w:p>
      <w:pPr>
        <w:pStyle w:val="TextBody"/>
        <w:bidi w:val="0"/>
        <w:jc w:val="both"/>
        <w:rPr/>
      </w:pPr>
      <w:r>
        <w:rPr/>
        <w:t>The following is, as of the date hereof, a summary of the principal Canadian federal income tax considerations under the Tax Act, generally applicable to an investor who acquires, as beneficial owner, Unit Shares and Warrants pursuant to the Offering, and Warrant Shares upon the exercise of the Warrants, and who, for the purposes of the Tax Act and at all relevant times, holds the Unit Shares, including any Warrant Shares acquired on the exercise of the Warrants, and Warrants as capital property and deals at arm's length and is not affiliated with the Corporation, the Underwriter and any subsequent purchaser of such securities  (a "</w:t>
      </w:r>
      <w:r>
        <w:rPr>
          <w:b/>
        </w:rPr>
        <w:t>Holder</w:t>
      </w:r>
      <w:r>
        <w:rPr/>
        <w:t>"). Generally, the Unit Shares, Warrant Shares and Warrants will be considered to be capital property to a Holder, provided the Holder does not hold or use the Unit Shares, Warrant Shares and Warrants in the course of carrying on a business of trading or dealing in securities and such Holder has not acquired them in one or more transactions considered to be an adventure or concern in the nature of trade.</w:t>
      </w:r>
    </w:p>
    <w:p>
      <w:pPr>
        <w:pStyle w:val="TextBody"/>
        <w:bidi w:val="0"/>
        <w:jc w:val="both"/>
        <w:rPr/>
      </w:pPr>
      <w:r>
        <w:rPr/>
        <w:t>This summary is not applicable to a Holder (i) that is a "financial institution", as defined in the Tax Act, for the purposes of the mark-to-market rules in the Tax Act; (ii) that is a "specified financial institution", as defined in the Tax Act; (iii) an interest in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as those terms are defined in the Tax Act, with respect to the Unit Shares, Warrants or Warrant Shares; or (vi) that receives dividends on the Unit Shares or Warrant Shares under or as part of a "dividend rental arrangement", as defined in the Tax Act. Such holders should consult their own tax advisors with respect to an investment in offered Units. In addition, this summary does not address the deductibility of interest by a Holder who has borrowed money or otherwise incurred debt in connection with the acquisition of Unit Shares, Warrants or Warrant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3" w:name="page_28"/>
      <w:bookmarkEnd w:id="43"/>
      <w:r>
        <w:rPr/>
        <w:t>Additional considerations, not discussed herein, may be applicable to a Holder that is a corporation resident in Canada, and is, or becomes, or does not deal at arm's length for purposes of the Tax Act with a corporation resident in Canada that is or becomes, as part of a transaction or event or series of transactions or events that includes the acquisition of the Units, controlled by a non-resident person, or group of non-resident persons that do not deal at arm's length with each other, for purposes of the "foreign affiliate dumping" rules in section 212.3 of the Tax Act. Such Holders should consult their tax advisors with respect to the consequences of acquiring offered Units.</w:t>
      </w:r>
    </w:p>
    <w:p>
      <w:pPr>
        <w:pStyle w:val="TextBody"/>
        <w:bidi w:val="0"/>
        <w:jc w:val="both"/>
        <w:rPr/>
      </w:pPr>
      <w:r>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b/>
        </w:rPr>
        <w:t>CRA</w:t>
      </w:r>
      <w:r>
        <w:rPr/>
        <w:t>"). This summary takes into account all specific proposals to amend the Tax Act and the regulations thereunder publicly announced by or on behalf of the Minister of Finance (Canada) prior to the date hereof (the "</w:t>
      </w:r>
      <w:r>
        <w:rPr>
          <w:b/>
        </w:rPr>
        <w:t>Tax Proposals</w:t>
      </w:r>
      <w:r>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pStyle w:val="TextBody"/>
        <w:bidi w:val="0"/>
        <w:jc w:val="both"/>
        <w:rPr/>
      </w:pPr>
      <w:r>
        <w:rPr/>
        <w:t>This summary is not exhaustive of all possible Canadian federal income tax considerations applicable to a Holder in respect of the transactions described herein. The income or other tax consequences will vary depending on the particular circumstances of the Holder, including the province or provinces in which the Holder resides or carries on business. Accordingly, this summary is of a general nature only and is not intended to be, nor should it be construed to be, legal or tax advice or representations to any particular Holder. Holders should consult their own legal and tax advisors for advice with respect to the tax consequences of an investment in the Units based on their particular circumstances.</w:t>
      </w:r>
    </w:p>
    <w:p>
      <w:pPr>
        <w:pStyle w:val="TextBody"/>
        <w:bidi w:val="0"/>
        <w:jc w:val="both"/>
        <w:rPr>
          <w:b/>
        </w:rPr>
      </w:pPr>
      <w:r>
        <w:rPr>
          <w:b/>
        </w:rPr>
        <w:t>Currency Conversion</w:t>
      </w:r>
    </w:p>
    <w:p>
      <w:pPr>
        <w:pStyle w:val="TextBody"/>
        <w:bidi w:val="0"/>
        <w:jc w:val="both"/>
        <w:rPr/>
      </w:pPr>
      <w:r>
        <w:rPr/>
        <w:t xml:space="preserve">For purposes of the Tax Act and the Regulations, all amounts relating to the acquisition, holding or disposition of Unit Shares, Warrants and Warrant Shares (including dividends, adjusted cost base and proceeds of disposition) must generally be expressed in Canadian Dollars. Amounts denominated in any other currency must be converted into Canadian Dollars generally based on the exchange rate quoted by the Bank of Canada on the date such amounts arise or such other rate of exchange as is acceptable to the </w:t>
      </w:r>
      <w:r>
        <w:rPr>
          <w:i/>
        </w:rPr>
        <w:t xml:space="preserve">Minister of National Revenue </w:t>
      </w:r>
      <w:r>
        <w:rPr/>
        <w:t>(Canada).</w:t>
      </w:r>
    </w:p>
    <w:p>
      <w:pPr>
        <w:pStyle w:val="TextBody"/>
        <w:bidi w:val="0"/>
        <w:jc w:val="both"/>
        <w:rPr>
          <w:b/>
        </w:rPr>
      </w:pPr>
      <w:r>
        <w:rPr>
          <w:b/>
        </w:rPr>
        <w:t>Allocation of Cost</w:t>
      </w:r>
    </w:p>
    <w:p>
      <w:pPr>
        <w:pStyle w:val="TextBody"/>
        <w:bidi w:val="0"/>
        <w:jc w:val="both"/>
        <w:rPr/>
      </w:pPr>
      <w:r>
        <w:rPr/>
        <w:t>Holders will be required to allocate the purchase price of each Unit between the Common Share and the Warrant comprising a Unit on a reasonable basis to determine their respective costs for the purposes of the Tax Act.</w:t>
      </w:r>
    </w:p>
    <w:p>
      <w:pPr>
        <w:pStyle w:val="TextBody"/>
        <w:bidi w:val="0"/>
        <w:jc w:val="both"/>
        <w:rPr/>
      </w:pPr>
      <w:r>
        <w:rPr/>
        <w:t>The Corporation intends to allocate the proceeds of the Offering to Unit Shares and Warrants based on a pro-rata fair value allocation, which currently is estimated to be US$0.3825 of the issue price of each Unit as consideration for the issue of each Unit Share and US$0.0675 of the issue price of each Unit for the issue of each Warrant. As of the date of this Prospectus Supplement, the Corporation believes that such allocation is reasonable, but such allocation will not be binding on the CRA or a Holder. Counsels express no opinion with respect to such allocation.</w:t>
      </w:r>
    </w:p>
    <w:p>
      <w:pPr>
        <w:pStyle w:val="TextBody"/>
        <w:bidi w:val="0"/>
        <w:jc w:val="both"/>
        <w:rPr/>
      </w:pPr>
      <w:r>
        <w:rPr/>
        <w:t>The adjusted cost base to a Holder of a Unit Share acquired as part of an offered Unit will be determined by averaging the cost allocated to such Unit Share with the adjusted cost base to the Holder of all Common Shares of the Corporation held by the Holder as capital property immediately before such acquisition.</w:t>
      </w:r>
    </w:p>
    <w:p>
      <w:pPr>
        <w:pStyle w:val="TextBody"/>
        <w:bidi w:val="0"/>
        <w:jc w:val="both"/>
        <w:rPr>
          <w:b/>
        </w:rPr>
      </w:pPr>
      <w:r>
        <w:rPr>
          <w:b/>
        </w:rPr>
        <w:t>Exercise of Warrants</w:t>
      </w:r>
    </w:p>
    <w:p>
      <w:pPr>
        <w:pStyle w:val="TextBody"/>
        <w:bidi w:val="0"/>
        <w:jc w:val="both"/>
        <w:rPr/>
      </w:pPr>
      <w:r>
        <w:rPr/>
        <w:t>No gain or loss will be realized by a Holder on the exercise of a Warrant to acquire a Warrant Share. When a Warrant is exercised, the Holder's cost of the Warrant Share acquired thereby will be equal to the aggregate of the Holder's adjusted cost base of such Warrant and the exercise price paid for the Warrant Share. The Holder's adjusted cost base of the Warrant Share so acquired will be determined by averaging the cost of the Warrant Share with the adjusted cost base to the Holder of all Common Shares of the Corporation held as capital property immediately before the acquisition of the Warrant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44" w:name="page_29"/>
      <w:bookmarkEnd w:id="44"/>
      <w:r>
        <w:rPr>
          <w:b/>
        </w:rPr>
        <w:t>Taxation of Resident Holders</w:t>
      </w:r>
    </w:p>
    <w:p>
      <w:pPr>
        <w:pStyle w:val="TextBody"/>
        <w:bidi w:val="0"/>
        <w:jc w:val="both"/>
        <w:rPr/>
      </w:pPr>
      <w:r>
        <w:rPr/>
        <w:t>The following portion of this summary applies to Holders who, for the purposes of the Tax Act, are or are deemed to be resident in Canada at all relevant times (herein, "</w:t>
      </w:r>
      <w:r>
        <w:rPr>
          <w:b/>
        </w:rPr>
        <w:t>Resident Holders</w:t>
      </w:r>
      <w:r>
        <w:rPr/>
        <w:t>"). Certain Resident Holders whose Unit Shares or Warrant Shares might not constitute capital property may, in certain circumstances, be entitled to make an irrevocable election permitted by subsection 39(4) of the Tax Act to have them, and every other "Canadian security" (as defined in the Tax Act) held by such Resident Holder in the taxation year of the election and each subsequent taxation year, be treated as capital property. This election does not apply to Warrants. Resident Holders contemplating making such an election should consult their own tax advisors for advice as to whether it is available and, if available, whether it is advisable in their particular circumstances.</w:t>
      </w:r>
    </w:p>
    <w:p>
      <w:pPr>
        <w:pStyle w:val="TextBody"/>
        <w:bidi w:val="0"/>
        <w:jc w:val="both"/>
        <w:rPr>
          <w:i/>
        </w:rPr>
      </w:pPr>
      <w:r>
        <w:rPr>
          <w:i/>
        </w:rPr>
        <w:t>Expiry of Warrants</w:t>
      </w:r>
    </w:p>
    <w:p>
      <w:pPr>
        <w:pStyle w:val="TextBody"/>
        <w:bidi w:val="0"/>
        <w:jc w:val="both"/>
        <w:rPr/>
      </w:pPr>
      <w:r>
        <w:rPr/>
        <w:t>The expiry of an unexercised Warrant will generally result in the Resident Holder realizing a capital loss equal to the adjusted cost base to the Resident Holder of the Warrant immediately before its expiry. See discussion below under the heading "Capital Gains and Capital Losses".</w:t>
      </w:r>
    </w:p>
    <w:p>
      <w:pPr>
        <w:pStyle w:val="TextBody"/>
        <w:bidi w:val="0"/>
        <w:jc w:val="both"/>
        <w:rPr>
          <w:i/>
        </w:rPr>
      </w:pPr>
      <w:r>
        <w:rPr>
          <w:i/>
        </w:rPr>
        <w:t>Taxation of Dividends</w:t>
      </w:r>
    </w:p>
    <w:p>
      <w:pPr>
        <w:pStyle w:val="TextBody"/>
        <w:bidi w:val="0"/>
        <w:jc w:val="both"/>
        <w:rPr/>
      </w:pPr>
      <w:r>
        <w:rPr/>
        <w:t>A Resident Holder will be required to include in computing income for a taxation year any dividends received, or deemed to be received, in the year by the Resident Holder on the Unit Shares or Warrant Shares. In the case of a Resident Holder that is an individual (other than certain trusts), such dividends will be subject to the gross-up and dividend tax credit rules normally applicable under the Tax Act to "taxable dividends" received from "taxable Canadian corporations" (as defined in the Tax Act), including the enhanced gross-up and dividend tax credit provisions where the Corporation designates the dividend as an "eligible dividend" in accordance with the provisions of the Tax Act. There may be restrictions on the ability of the Corporation to designate any particular dividend as an "eligible dividend".</w:t>
      </w:r>
    </w:p>
    <w:p>
      <w:pPr>
        <w:pStyle w:val="TextBody"/>
        <w:bidi w:val="0"/>
        <w:jc w:val="both"/>
        <w:rPr/>
      </w:pPr>
      <w:r>
        <w:rPr/>
        <w:t>A dividend received or deemed to be received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by a Resident Holder that is a corporation as proceeds of disposition or a capital gain. A corporation that is a "private corporation" or a "subject corporation" (each as defined in the Tax Act), generally will be liable to pay an additional tax (refundable under certain circumstances) under Part IV of the Tax Act on dividends received or deemed to be received on the Unit Shares or Warrant Shares in a year to the extent such dividends are deductible in computing taxable income for the year.</w:t>
      </w:r>
    </w:p>
    <w:p>
      <w:pPr>
        <w:pStyle w:val="TextBody"/>
        <w:bidi w:val="0"/>
        <w:jc w:val="both"/>
        <w:rPr>
          <w:i/>
        </w:rPr>
      </w:pPr>
      <w:r>
        <w:rPr>
          <w:i/>
        </w:rPr>
        <w:t>Disposition of Unit Shares, Warrants and Warrant Shares</w:t>
      </w:r>
    </w:p>
    <w:p>
      <w:pPr>
        <w:pStyle w:val="TextBody"/>
        <w:bidi w:val="0"/>
        <w:jc w:val="both"/>
        <w:rPr/>
      </w:pPr>
      <w:r>
        <w:rPr/>
        <w:t>A Resident Holder who disposes, or is deemed to dispose, of a Unit Share or a Warrant Share (other than a disposition to the Corporation that is not a sale in the open market in the manner in which shares would normally be purchased by any member of the public in an open market) or a Warrant (other than a disposition arising on the expiry or exercise thereof) generally will realize a capital gain (or capital loss) equal to the amount, if any, by which the proceeds of disposition, net of any reasonable costs of disposition, exceed (or are exceeded by) the adjusted cost base to the Resident Holder of such Unit Shares, Warrants or Warrant Shares, as the case may be, immediately before the disposition or deemed disposition. The taxation of capital gains and losses is generally described below under the heading "Capital Gains and Capital Losses".</w:t>
      </w:r>
    </w:p>
    <w:p>
      <w:pPr>
        <w:pStyle w:val="TextBody"/>
        <w:bidi w:val="0"/>
        <w:jc w:val="both"/>
        <w:rPr>
          <w:i/>
        </w:rPr>
      </w:pPr>
      <w:r>
        <w:rPr>
          <w:i/>
        </w:rPr>
        <w:t>Capital Gains and Capital Losses</w:t>
      </w:r>
    </w:p>
    <w:p>
      <w:pPr>
        <w:pStyle w:val="TextBody"/>
        <w:bidi w:val="0"/>
        <w:jc w:val="both"/>
        <w:rPr/>
      </w:pPr>
      <w:r>
        <w:rPr/>
        <w:t>Generally, a Resident Holder is required to include in computing income for a taxation year one-half of the amount of any capital gain (a "</w:t>
      </w:r>
      <w:r>
        <w:rPr>
          <w:b/>
        </w:rPr>
        <w:t>taxable capital gain</w:t>
      </w:r>
      <w:r>
        <w:rPr/>
        <w:t>") realized by the Resident Holder in such taxation year. Subject to and in accordance with the rules contained in the Tax Act, a Resident Holder is required to deduct one-half of the amount of any capital loss (an "</w:t>
      </w:r>
      <w:r>
        <w:rPr>
          <w:b/>
        </w:rPr>
        <w:t>allowable capital loss</w:t>
      </w:r>
      <w:r>
        <w:rPr/>
        <w:t>") realized in a particular taxation year against taxable capital gains realized by the Resident Holder in the year. 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pStyle w:val="TextBody"/>
        <w:bidi w:val="0"/>
        <w:jc w:val="both"/>
        <w:rPr/>
      </w:pPr>
      <w:r>
        <w:rPr/>
        <w:t>The amount of any capital loss realized by a Resident Holder that is a corporation on the disposition or deemed disposition of a Unit Share or a Warrant Share may be reduced by the amount of any dividends received or deemed to have been received by such Resident Holder on such shares, to the extent and under the circumstances described in the Tax Act. Similar rules may apply where a Resident Holder that is a corporation is a member of a partnership or a beneficiary of a trust that owns Unit Shares or Warrant Shares, directly or indirectly, through a partnership or trust. Resident Holders to whom these rules may be relevant should consult their own tax advisors.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5" w:name="page_30"/>
      <w:bookmarkEnd w:id="45"/>
      <w:r>
        <w:rPr/>
        <w:t>A Resident Holder that is throughout the relevant taxation year a "Canadian-controlled private corporation" (as defined in the Tax Act) or, at any time in the year, a "substantive CCPC" (as proposed to be defined in the Tax Act pursuant to Proposed Amendments released on August 9, 2022) may be liable to pay an additional tax (refundable in certain circumstances) on certain investment income, including amounts in respect of net taxable capital gains. Such Resident Holders should consult their own tax advisors.</w:t>
      </w:r>
    </w:p>
    <w:p>
      <w:pPr>
        <w:pStyle w:val="TextBody"/>
        <w:bidi w:val="0"/>
        <w:jc w:val="both"/>
        <w:rPr>
          <w:i/>
        </w:rPr>
      </w:pPr>
      <w:r>
        <w:rPr>
          <w:i/>
        </w:rPr>
        <w:t>Minimum Tax</w:t>
      </w:r>
    </w:p>
    <w:p>
      <w:pPr>
        <w:pStyle w:val="TextBody"/>
        <w:bidi w:val="0"/>
        <w:jc w:val="both"/>
        <w:rPr/>
      </w:pPr>
      <w:r>
        <w:rPr/>
        <w:t>Capital gains realized (or deemed to be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pStyle w:val="TextBody"/>
        <w:bidi w:val="0"/>
        <w:jc w:val="both"/>
        <w:rPr>
          <w:b/>
        </w:rPr>
      </w:pPr>
      <w:r>
        <w:rPr>
          <w:b/>
        </w:rPr>
        <w:t>Taxation of Non-Resident Holders</w:t>
      </w:r>
    </w:p>
    <w:p>
      <w:pPr>
        <w:pStyle w:val="TextBody"/>
        <w:bidi w:val="0"/>
        <w:jc w:val="both"/>
        <w:rPr/>
      </w:pPr>
      <w:r>
        <w:rPr/>
        <w:t>The following portion of this summary is generally applicable to Holders who, for the purposes of the Tax Act and at all relevant times: (i) are neither resident nor deemed to be resident in Canada for the purposes of the Tax Act and any applicable income tax treaty and convention, and (ii) do not use or hold, and are not deemed to use or hold, Unit Shares, Warrants or Warrant Shares in the course of business carried on or deemed to be carried on in Canada. Holders who meet all of the foregoing requirements are referred to herein as "</w:t>
      </w:r>
      <w:r>
        <w:rPr>
          <w:b/>
        </w:rPr>
        <w:t>Non-Resident Holders</w:t>
      </w:r>
      <w:r>
        <w:rPr/>
        <w:t>", and this portion of the summary only addresses such Non-Resident Holders.</w:t>
      </w:r>
    </w:p>
    <w:p>
      <w:pPr>
        <w:pStyle w:val="TextBody"/>
        <w:bidi w:val="0"/>
        <w:jc w:val="both"/>
        <w:rPr/>
      </w:pPr>
      <w:r>
        <w:rPr/>
        <w:t>Special rules, which are not discussed in this summary, may apply to a Non-Resident Holder that is an insurer carrying on, or deemed to carry on, business in Canada and elsewhere or that is an "authorized foreign bank" (as defined in the Tax Act). Such Non-Resident Holders should consult their own tax advisors.</w:t>
      </w:r>
    </w:p>
    <w:p>
      <w:pPr>
        <w:pStyle w:val="TextBody"/>
        <w:bidi w:val="0"/>
        <w:jc w:val="both"/>
        <w:rPr>
          <w:i/>
        </w:rPr>
      </w:pPr>
      <w:r>
        <w:rPr>
          <w:i/>
        </w:rPr>
        <w:t>Receipt of Dividends</w:t>
      </w:r>
    </w:p>
    <w:p>
      <w:pPr>
        <w:pStyle w:val="TextBody"/>
        <w:bidi w:val="0"/>
        <w:jc w:val="both"/>
        <w:rPr/>
      </w:pPr>
      <w:r>
        <w:rPr/>
        <w:t xml:space="preserve">Dividends paid or credited or deemed to be paid or credited to a Non-Resident Holder by the Corporation are subject to Canadian withholding tax at the rate of 25% of the gross amount of the dividend unless such rate is reduced by the terms of an applicable tax treaty or convention between Canada and the country in which the Non-Resident Holder is resident. For example, under the </w:t>
      </w:r>
      <w:r>
        <w:rPr>
          <w:i/>
        </w:rPr>
        <w:t xml:space="preserve">Canada-United States Tax Convention (1980), </w:t>
      </w:r>
      <w:r>
        <w:rPr/>
        <w:t>as amended (the "</w:t>
      </w:r>
      <w:r>
        <w:rPr>
          <w:b/>
        </w:rPr>
        <w:t>Treaty</w:t>
      </w:r>
      <w:r>
        <w:rPr/>
        <w:t>"), the rate of withholding tax on dividends paid or credited to a Non-Resident Holder who is the beneficial owner of the dividends, resident in the U.S. for purposes of the Treaty and entitled to full benefits under the Treaty (a "</w:t>
      </w:r>
      <w:r>
        <w:rPr>
          <w:b/>
        </w:rPr>
        <w:t>U.S. Holder</w:t>
      </w:r>
      <w:r>
        <w:rPr/>
        <w:t>") is generally reduced to 15% of the gross amount of the dividend (or 5% in the case of a U.S. Holder that is a company beneficially owning at least 10% of the Corporation's voting shares). Non-Resident Holders should consult their own tax advisors to determine their entitlement to benefits under any applicable tax treaty or convention based on their particular circumstances.</w:t>
      </w:r>
    </w:p>
    <w:p>
      <w:pPr>
        <w:pStyle w:val="TextBody"/>
        <w:bidi w:val="0"/>
        <w:jc w:val="both"/>
        <w:rPr>
          <w:i/>
        </w:rPr>
      </w:pPr>
      <w:r>
        <w:rPr>
          <w:i/>
        </w:rPr>
        <w:t>Disposition of Unit Shares, Warrants and Warrant Shares</w:t>
      </w:r>
    </w:p>
    <w:p>
      <w:pPr>
        <w:pStyle w:val="TextBody"/>
        <w:bidi w:val="0"/>
        <w:jc w:val="both"/>
        <w:rPr/>
      </w:pPr>
      <w:r>
        <w:rPr/>
        <w:t>A Non-Resident Holder generally will not be subject to tax under the Tax Act in respect of a capital gain realized on the disposition or deemed disposition of a Unit Share, a Warrant or a Warrant Share unless such Unit Share, Warrant or Warrant Share, as the case may be, constitutes "taxable Canadian property" (as defined in the Tax Act) of the Non-Resident Holder at the time of disposition and the gain is not exempt from tax pursuant to the terms of an applicable tax treaty or convention. In addition, capital losses arising on the disposition or deemed disposition of a Unit Share, Warrant or Warrant Share will not be recognized under the Tax Act, unless the Common Share constitutes "taxable Canadian property" to the Non-Resident Holder thereof for purposes of the Tax Act, and the Non-Resident Holder is not entitled to relief under the terms of an applicable tax treaty or convention.</w:t>
      </w:r>
    </w:p>
    <w:p>
      <w:pPr>
        <w:pStyle w:val="TextBody"/>
        <w:bidi w:val="0"/>
        <w:jc w:val="both"/>
        <w:rPr/>
      </w:pPr>
      <w:r>
        <w:rPr/>
        <w:t>Provided the Shares are listed on a "designated stock exchange", as defined in the Tax Act (which currently includes the NEO) at the time of disposition, the Unit Shares, Warrants and Warrant Shares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shares of the Corporation; and (ii) more than 50% of the fair market value of the Unit Shares and Warrant Shares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Unit Shares, Warrants and Warrant Shares may be deemed to be taxable Canadian property of a Non-Resident Holder. Non-Resident Holders should consult their own tax advisors as to whether their Unit Shares, Warrants and Warrant Shares constitute "taxable Canadian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6" w:name="page_31"/>
      <w:bookmarkEnd w:id="46"/>
      <w:r>
        <w:rPr/>
        <w:t>Even if the Unit Shares, Warrants and Warrant Shares are taxable Canadian property of a Non-Resident Holder, such Non-Resident Holder may be exempt from tax under the Tax Act in respect of any capital gain arising on the disposition of such Unit Shares, Warrants and Warrant Shares by virtue of an applicable income tax treaty or convention. In cases where a Non-Resident Holder disposes, or is deemed to have disposed, of a Unit Share, a Warrant (other than on the exercise thereof) or a Warrant Share that is taxable Canadian property of that Non-Resident Holder, and the Non-Resident Holder is not entitled to an exemption from tax under the Tax Act or pursuant to the terms of an applicable income tax treaty or convention, the consequences under the heading "Taxation of Resident Holders - Capital Gains and Capital Losses" will generally be applicable to such disposition. Non-Resident Holders who may hold Unit Shares, Warrants and Warrant Shares as taxable Canadian property should consult their own tax advisors.</w:t>
      </w:r>
    </w:p>
    <w:p>
      <w:pPr>
        <w:pStyle w:val="TextBody"/>
        <w:bidi w:val="0"/>
        <w:jc w:val="center"/>
        <w:rPr>
          <w:b/>
        </w:rPr>
      </w:pPr>
      <w:r>
        <w:rPr>
          <w:b/>
        </w:rPr>
        <w:t>CERTAIN UNITED STATES FEDERAL INCOME TAX CONSIDERATIONS TO U.S. HOLDERS</w:t>
      </w:r>
    </w:p>
    <w:p>
      <w:pPr>
        <w:pStyle w:val="TextBody"/>
        <w:bidi w:val="0"/>
        <w:jc w:val="both"/>
        <w:rPr/>
      </w:pPr>
      <w:r>
        <w:rPr/>
        <w:t>The following is a general summary of certain material U.S. federal income tax considerations applicable to a U.S. Holder (as defined below) arising from and relating to the acquisition, ownership and disposition of Units, the acquisition, ownership, and disposition of Common Shares acquired as part of the Units, the exercise, disposition and lapse of Warrants acquired as part of the Units, and the acquisition, ownership, and disposition of Warrant Shares received upon exercise of the Warrants, all as acquired pursuant to this Offering. This summary is for general information purposes only and does not purport to be a complete analysis or listing of all potential U.S. federal income tax considerations that may apply to a U.S. Holder arising from or relating to the acquisition, ownership and disposition of Units, Common Shares, Warrants and Warrant Shares acquired pursuant to this Offering. In addition, this summary does not take into account the individual facts and circumstances of any particular U.S. Holder that may affect the U.S. federal income tax consequences to such U.S. Holder, including, without limitation, specific tax consequences to a U.S. Holder under an applicable income tax treaty. Accordingly, this summary is not intended to be, and should not be construed as, legal or U.S. federal income tax advice with respect to any U.S. Holder. This summary does not address the U.S. federal alternative minimum, U.S. federal net investment income, U.S. federal estate and gift, U.S. state and local, and non-U.S. tax consequences to U.S. Holders of the acquisition, ownership and disposition of Units, Common Shares, Warrants and Warrant Shares. In addition, except as specifically set forth below, this summary does not discuss applicable income tax reporting requirements. Each prospective U.S. Holder should consult its own tax advisors regarding the U.S. federal, U.S. federal alternative minimum, U.S. federal net investment income, U.S. federal estate and gift, U.S. state and local, and non-U.S. tax consequences relating to the acquisition, ownership and disposition of Units, Common Shares, Warrants and Warrant Shares.</w:t>
      </w:r>
    </w:p>
    <w:p>
      <w:pPr>
        <w:pStyle w:val="TextBody"/>
        <w:bidi w:val="0"/>
        <w:jc w:val="both"/>
        <w:rPr/>
      </w:pPr>
      <w:r>
        <w:rPr/>
        <w:t>No ruling from the Internal Revenue Service (the "</w:t>
      </w:r>
      <w:r>
        <w:rPr>
          <w:b/>
        </w:rPr>
        <w:t>IRS</w:t>
      </w:r>
      <w:r>
        <w:rPr/>
        <w:t>") has been requested, or will be obtained, regarding the U.S. federal income tax consequences of the acquisition, ownership and disposition of Units, Common Shares, Warrants and Warrant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w:t>
      </w:r>
    </w:p>
    <w:p>
      <w:pPr>
        <w:pStyle w:val="TextBody"/>
        <w:bidi w:val="0"/>
        <w:jc w:val="both"/>
        <w:rPr>
          <w:b/>
        </w:rPr>
      </w:pPr>
      <w:r>
        <w:rPr>
          <w:b/>
        </w:rPr>
        <w:t xml:space="preserve">Scope of this Summary </w:t>
      </w:r>
    </w:p>
    <w:p>
      <w:pPr>
        <w:pStyle w:val="TextBody"/>
        <w:bidi w:val="0"/>
        <w:jc w:val="both"/>
        <w:rPr>
          <w:i/>
        </w:rPr>
      </w:pPr>
      <w:r>
        <w:rPr>
          <w:i/>
        </w:rPr>
        <w:t>Authorities</w:t>
      </w:r>
    </w:p>
    <w:p>
      <w:pPr>
        <w:pStyle w:val="TextBody"/>
        <w:bidi w:val="0"/>
        <w:jc w:val="both"/>
        <w:rPr/>
      </w:pPr>
      <w:r>
        <w:rPr/>
        <w:t>This summary is based on the U.S. Internal Revenue Code of 1986, as amended (the "</w:t>
      </w:r>
      <w:r>
        <w:rPr>
          <w:b/>
        </w:rPr>
        <w:t>Code</w:t>
      </w:r>
      <w:r>
        <w:rPr/>
        <w:t>"), Treasury Regulations (whether final, temporary, or proposed), published rulings of the IRS, published administrative positions of the IRS, the current provisions of the Canada-United States Tax Convention (1980) (the "</w:t>
      </w:r>
      <w:r>
        <w:rPr>
          <w:b/>
        </w:rPr>
        <w:t>Canada-U.S. Tax Convention</w:t>
      </w:r>
      <w:r>
        <w:rPr/>
        <w:t>"), and U.S. court decisions that are applicable, and, in each case, as in effect and available, as of the date of this document. Any of the authorities on which this summary is based could be changed in a material and adverse manner at any time, and any such change could be applied on a retroactive or prospective basis, which could affect the U.S. federal income tax considerations described in this summary. Except as provided herein, this summary does not discuss the potential effects, whether adverse or beneficial, of any proposed legislation that, if enacted, could be applied on a retroactive or prospective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i/>
        </w:rPr>
      </w:pPr>
      <w:bookmarkStart w:id="47" w:name="page_32"/>
      <w:bookmarkEnd w:id="47"/>
      <w:r>
        <w:rPr>
          <w:i/>
        </w:rPr>
        <w:t xml:space="preserve">U.S. Holders </w:t>
      </w:r>
    </w:p>
    <w:p>
      <w:pPr>
        <w:pStyle w:val="TextBody"/>
        <w:bidi w:val="0"/>
        <w:jc w:val="both"/>
        <w:rPr/>
      </w:pPr>
      <w:r>
        <w:rPr/>
        <w:t>For purposes of this summary, the term "U.S. Holder" means a beneficial owner of Units, Common Shares, Warrants and Warrant Shares acquired pursuant to this Offering that is for U.S. federal income tax purposes:</w:t>
      </w:r>
    </w:p>
    <w:p>
      <w:pPr>
        <w:pStyle w:val="TextBody"/>
        <w:numPr>
          <w:ilvl w:val="0"/>
          <w:numId w:val="5"/>
        </w:numPr>
        <w:pBdr/>
        <w:tabs>
          <w:tab w:val="clear" w:pos="1134"/>
          <w:tab w:val="left" w:pos="1261" w:leader="none"/>
        </w:tabs>
        <w:bidi w:val="0"/>
        <w:ind w:left="1261" w:right="0" w:hanging="283"/>
        <w:jc w:val="both"/>
        <w:rPr/>
      </w:pPr>
      <w:r>
        <w:rPr/>
        <w:t>An individual who is a citizen or resident of the United States;</w:t>
      </w:r>
    </w:p>
    <w:p>
      <w:pPr>
        <w:pStyle w:val="TextBody"/>
        <w:numPr>
          <w:ilvl w:val="0"/>
          <w:numId w:val="5"/>
        </w:numPr>
        <w:pBdr/>
        <w:tabs>
          <w:tab w:val="clear" w:pos="1134"/>
          <w:tab w:val="left" w:pos="1261" w:leader="none"/>
        </w:tabs>
        <w:bidi w:val="0"/>
        <w:ind w:left="1261" w:right="0" w:hanging="283"/>
        <w:jc w:val="both"/>
        <w:rPr/>
      </w:pPr>
      <w:r>
        <w:rPr/>
        <w:t>a corporation (or other entity treated as a corporation for U.S. federal income tax purposes) organized under the laws of the United States, any state thereof or the District of Columbia;</w:t>
      </w:r>
    </w:p>
    <w:p>
      <w:pPr>
        <w:pStyle w:val="TextBody"/>
        <w:numPr>
          <w:ilvl w:val="0"/>
          <w:numId w:val="5"/>
        </w:numPr>
        <w:pBdr/>
        <w:tabs>
          <w:tab w:val="clear" w:pos="1134"/>
          <w:tab w:val="left" w:pos="1261" w:leader="none"/>
        </w:tabs>
        <w:bidi w:val="0"/>
        <w:ind w:left="1261" w:right="0" w:hanging="283"/>
        <w:jc w:val="both"/>
        <w:rPr/>
      </w:pPr>
      <w:r>
        <w:rPr/>
        <w:t>an estate whose income is subject to U.S. federal income taxation regardless of its source; or</w:t>
      </w:r>
    </w:p>
    <w:p>
      <w:pPr>
        <w:pStyle w:val="TextBody"/>
        <w:numPr>
          <w:ilvl w:val="0"/>
          <w:numId w:val="5"/>
        </w:numPr>
        <w:pBdr/>
        <w:tabs>
          <w:tab w:val="clear" w:pos="1134"/>
          <w:tab w:val="left" w:pos="1261" w:leader="none"/>
        </w:tabs>
        <w:bidi w:val="0"/>
        <w:ind w:left="1261" w:right="0" w:hanging="283"/>
        <w:jc w:val="both"/>
        <w:rPr/>
      </w:pPr>
      <w:r>
        <w:rPr/>
        <w:t>a trust that (1) is subject to the primary supervision of a court within the U.S. and the control of one or more U.S. persons for all substantial decisions or (2) has a valid election in effect under applicable Treasury Regulations to be treated as a U.S. person.</w:t>
      </w:r>
    </w:p>
    <w:p>
      <w:pPr>
        <w:pStyle w:val="TextBody"/>
        <w:bidi w:val="0"/>
        <w:ind w:left="552" w:right="0" w:hanging="0"/>
        <w:jc w:val="both"/>
        <w:rPr>
          <w:i/>
        </w:rPr>
      </w:pPr>
      <w:r>
        <w:rPr>
          <w:i/>
        </w:rPr>
        <w:t>Non-U.S. Holders</w:t>
      </w:r>
    </w:p>
    <w:p>
      <w:pPr>
        <w:pStyle w:val="TextBody"/>
        <w:bidi w:val="0"/>
        <w:jc w:val="both"/>
        <w:rPr/>
      </w:pPr>
      <w:r>
        <w:rPr/>
        <w:t>For purposes of this summary, a "non-U.S. Holder" is a beneficial owner of Units, Common Shares, Warrants and Warrant Shares that is not a U.S. Holder or an entity classified as a partnership for U.S. federal income tax purposes. This summary does not address the U.S. federal, state or local tax consequences to non-U.S. Holders arising from or relating to the acquisition, ownership and disposition of Units, Common Shares, Warrants and Warrant Shares. Accordingly, a non-U.S. Holder should consult its own tax advisors regarding the U.S. federal, state or local and non-U.S. tax consequences (including the potential application of and operation of any income tax treaties) relating to the acquisition, ownership and disposition of Units, Common Shares, Warrants and Warrant Shares.</w:t>
      </w:r>
    </w:p>
    <w:p>
      <w:pPr>
        <w:pStyle w:val="TextBody"/>
        <w:bidi w:val="0"/>
        <w:jc w:val="both"/>
        <w:rPr>
          <w:i/>
        </w:rPr>
      </w:pPr>
      <w:r>
        <w:rPr>
          <w:i/>
        </w:rPr>
        <w:t xml:space="preserve">U.S. Holders Subject to Special U.S. Federal Income Tax Rules Not Addressed </w:t>
      </w:r>
    </w:p>
    <w:p>
      <w:pPr>
        <w:pStyle w:val="TextBody"/>
        <w:bidi w:val="0"/>
        <w:jc w:val="both"/>
        <w:rPr/>
      </w:pPr>
      <w:r>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Units, Common Shares, Warrants or Warrant Shares as part of a straddle, hedging transaction, conversion transaction, constructive sale, or other integrated transaction; (f) acquire Units, Common Shares, Warrants and Warrant Shares in connection with the exercise of employee stock options or otherwise as compensation for services; (g) hold Units, Common Shares, Warrants and Warrant Shares other than as a capital asset within the meaning of Section 1221 of the Code (generally, property held for investment purposes); (h) are subject to the alternative minimum tax; (i) are subject to special tax accounting rules with respect to Units, Common Shares, Warrants and Warrant Shares; (j) are partnerships or other "pass-through" entities (and partners or other owners thereof); (k) are S corporations (and shareholders thereof); (l) are U.S. expatriates or former long-term residents of the United States subject to Section 877 or 877A of the Code; (m) hold Units, Common Shares, Warrants and Warrant Shares in connection with a trade or business, permanent establishment, or fixed base outside the United States; or (n) own or have owned or will own (directly, indirectly, or by attribution) 10% or more of the total combined voting power or value of the outstanding shares of the Corporation. U.S. Holders that are subject to special provisions under the Code, including, but not limited to, U.S. Holders described immediately above, should consult their own tax advisors regarding the U.S. federal, U.S. federal alternative minimum, U.S. federal net investment income, U.S. federal estate and gift, U.S. state and local, and non-U.S. tax consequences relating to the acquisition, ownership and disposition of Units, Common Shares, Warrants and Warrant Shares.</w:t>
      </w:r>
    </w:p>
    <w:p>
      <w:pPr>
        <w:pStyle w:val="TextBody"/>
        <w:bidi w:val="0"/>
        <w:jc w:val="both"/>
        <w:rPr/>
      </w:pPr>
      <w:r>
        <w:rPr/>
        <w:t>If an entity or arrangement that is classified as a partnership (or other "pass-through" entity) for U.S. federal income tax purposes holds Units, Common Shares, Warrants and Warrant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Units, Common Shares, Warrants and Warrant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48" w:name="page_33"/>
      <w:bookmarkEnd w:id="48"/>
      <w:r>
        <w:rPr>
          <w:b/>
        </w:rPr>
        <w:t>U.S. Federal Income Tax Consequences of the Acquisition of Units</w:t>
      </w:r>
    </w:p>
    <w:p>
      <w:pPr>
        <w:pStyle w:val="TextBody"/>
        <w:bidi w:val="0"/>
        <w:jc w:val="both"/>
        <w:rPr/>
      </w:pPr>
      <w:r>
        <w:rPr/>
        <w:t>For U.S. federal income tax purposes, the acquisition by a U.S. Holder of a Unit will be treated as the acquisition of one Common Share and one Warrant. The purchase price for each Unit will be allocated between these two components in proportion to their relative fair market values at the time the Unit is purchased by the U.S. Holder. This allocation of the purchase price for each Unit will establish a U.S. Holder's initial tax basis for U.S. federal income tax purposes in the one Common Share and the one Warrant that comprise each unit.</w:t>
      </w:r>
    </w:p>
    <w:p>
      <w:pPr>
        <w:pStyle w:val="TextBody"/>
        <w:bidi w:val="0"/>
        <w:jc w:val="both"/>
        <w:rPr/>
      </w:pPr>
      <w:r>
        <w:rPr/>
        <w:t>For this purpose, the Corporation will allocate US$0.3825 of the purchase price for each Unit to the one Common Share and US$0.0675 of the purchase price for each Unit to the one Warrant. However, the IRS will not be bound by such allocation of the purchase price for the Units, and therefore, the IRS or a U.S. court may not respect the allocation set forth above. Each U.S. Holder should consult its own tax advisor regarding the allocation of the purchase price for the Units.</w:t>
      </w:r>
    </w:p>
    <w:p>
      <w:pPr>
        <w:pStyle w:val="TextBody"/>
        <w:bidi w:val="0"/>
        <w:jc w:val="both"/>
        <w:rPr>
          <w:b/>
        </w:rPr>
      </w:pPr>
      <w:r>
        <w:rPr>
          <w:b/>
        </w:rPr>
        <w:t xml:space="preserve">Passive Foreign Investment Company Rules </w:t>
      </w:r>
    </w:p>
    <w:p>
      <w:pPr>
        <w:pStyle w:val="TextBody"/>
        <w:bidi w:val="0"/>
        <w:jc w:val="both"/>
        <w:rPr>
          <w:i/>
        </w:rPr>
      </w:pPr>
      <w:r>
        <w:rPr>
          <w:i/>
        </w:rPr>
        <w:t>PFIC Status</w:t>
      </w:r>
    </w:p>
    <w:p>
      <w:pPr>
        <w:pStyle w:val="TextBody"/>
        <w:bidi w:val="0"/>
        <w:jc w:val="both"/>
        <w:rPr/>
      </w:pPr>
      <w:r>
        <w:rPr/>
        <w:t>If the Corporation was to constitute a "passive foreign investment company" under the meaning of Section 1297 of the Code (a "</w:t>
      </w:r>
      <w:r>
        <w:rPr>
          <w:b/>
        </w:rPr>
        <w:t>PFIC</w:t>
      </w:r>
      <w:r>
        <w:rPr/>
        <w:t>", as defined below) for any year during a U.S. Holder's holding period, then certain potentially adverse rules would affect the U.S. federal income tax consequences to a U.S. Holder as a result of the acquisition, ownership and disposition of Units, Common Shares, Warrants and Warrant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depends on the assets and income of such corporation over the course of each such tax year and, as a result,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pStyle w:val="TextBody"/>
        <w:bidi w:val="0"/>
        <w:jc w:val="both"/>
        <w:rPr/>
      </w:pPr>
      <w:r>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pStyle w:val="TextBody"/>
        <w:bidi w:val="0"/>
        <w:jc w:val="both"/>
        <w:rPr/>
      </w:pPr>
      <w:r>
        <w:rPr/>
        <w:t>The Corporation generally will be a PFIC if, for a tax year, (a) 75% or more of the gross income of the Corporation is passive income (the "</w:t>
      </w:r>
      <w:r>
        <w:rPr>
          <w:b/>
        </w:rPr>
        <w:t>PFIC income test</w:t>
      </w:r>
      <w:r>
        <w:rPr/>
        <w:t>") or (b) 50% or more of the value of the Corporation's assets either produce passive income or are held for the production of passive income, based on the quarterly average of the fair market value of such assets (the "</w:t>
      </w:r>
      <w:r>
        <w:rPr>
          <w:b/>
        </w:rPr>
        <w:t>PFIC asset test</w:t>
      </w:r>
      <w:r>
        <w:rPr/>
        <w:t>"). "Gross income" generally includes all sales revenues less the cost of goods sold, plus income from investments and from incidental or outside operations or sources, and "passive income" generally includes, for example, dividends, interest, certain rents and royalties, certain gains from the sale of stock and securities, and certain gains from commodities transactions. Active business gains arising from the sale of commodities generally are excluded from passive income if substantially all of a foreign corporation's commodities are stock in trade or inventory, depreciable property used in a trade or business, or supplies regularly used or consumed in the ordinary course of its trade or business, and certain other requirements are satisfied.</w:t>
      </w:r>
    </w:p>
    <w:p>
      <w:pPr>
        <w:pStyle w:val="TextBody"/>
        <w:bidi w:val="0"/>
        <w:jc w:val="both"/>
        <w:rPr/>
      </w:pPr>
      <w:r>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pStyle w:val="TextBody"/>
        <w:bidi w:val="0"/>
        <w:jc w:val="both"/>
        <w:rPr/>
      </w:pPr>
      <w:r>
        <w:rPr/>
        <w:t>Under certain attribution rules, if the Corporation is a PFIC, U.S. Holders will generally be deemed to own their proportionate share of the Corporation's direct or indirect equity interest in any company that is also a PFIC (a "</w:t>
      </w:r>
      <w:r>
        <w:rPr>
          <w:b/>
        </w:rPr>
        <w:t>Subsidiary PFIC</w:t>
      </w:r>
      <w:r>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Units, Common Shares, Warrants and Warrant Shares. Accordingly, U.S. Holders should be aware that they could be subject to tax under the PFIC rules even if no distributions are received and no redemptions or other dispositions of Units, Common Shares, Warrants and Warrant Shares are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i/>
        </w:rPr>
      </w:pPr>
      <w:bookmarkStart w:id="49" w:name="page_34"/>
      <w:bookmarkEnd w:id="49"/>
      <w:r>
        <w:rPr>
          <w:i/>
        </w:rPr>
        <w:t>Default PFIC Rules Under Section 1291 of the Code</w:t>
      </w:r>
    </w:p>
    <w:p>
      <w:pPr>
        <w:pStyle w:val="TextBody"/>
        <w:bidi w:val="0"/>
        <w:jc w:val="both"/>
        <w:rPr/>
      </w:pPr>
      <w:r>
        <w:rPr/>
        <w:t>If the Corporation is a PFIC for any tax year during which a U.S. Holder owns Common Shares, Warrants and Warrant Shares, the U.S. federal income tax consequences to such U.S. Holder of the acquisition, ownership, and disposition of Common Shares, Warrants and Warrant Shares will depend on whether and when such U.S. Holder makes an election to treat the Corporation and each Subsidiary PFIC, if any, as a "qualified electing fund" or "QEF" under Section 1295 of the Code (a "</w:t>
      </w:r>
      <w:r>
        <w:rPr>
          <w:b/>
        </w:rPr>
        <w:t>QEF Election</w:t>
      </w:r>
      <w:r>
        <w:rPr/>
        <w:t>") or makes a mark-to-market election under Section 1296 of the Code (a "</w:t>
      </w:r>
      <w:r>
        <w:rPr>
          <w:b/>
        </w:rPr>
        <w:t>Mark-to-Market Election</w:t>
      </w:r>
      <w:r>
        <w:rPr/>
        <w:t>"). A U.S. Holder that does not make either a QEF Election or a Mark-to-Market Election will be referred to in this summary as a "Non-Electing U.S. Holder".</w:t>
      </w:r>
    </w:p>
    <w:p>
      <w:pPr>
        <w:pStyle w:val="TextBody"/>
        <w:bidi w:val="0"/>
        <w:jc w:val="both"/>
        <w:rPr/>
      </w:pPr>
      <w:r>
        <w:rPr/>
        <w:t>A Non-Electing U.S. Holder will be subject to the rules of Section 1291 of the Code (described below) with respect to: (a) any gain recognized on the sale or other taxable disposition of Common Shares, Warrants or Warrant Shares; and (b) any "excess distribution" received on the Common Shares or Warrant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Common Shares or Warrant Shares, if shorter).</w:t>
      </w:r>
    </w:p>
    <w:p>
      <w:pPr>
        <w:pStyle w:val="TextBody"/>
        <w:bidi w:val="0"/>
        <w:jc w:val="both"/>
        <w:rPr/>
      </w:pPr>
      <w:r>
        <w:rPr/>
        <w:t>Under Section 1291 of the Code, any gain recognized on the sale or other taxable disposition of Common Shares, Warrants and Warrant Shares (including an indirect disposition of the stock of any Subsidiary PFIC), and any "excess distribution" received on Common Shares, Warrant Shares or with respect to the stock of a Subsidiary PFIC, must be ratably allocated to each day in a Non-Electing U.S. Holder's holding period for the respective Common Shares or Warrant Shares (as applicable).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pStyle w:val="TextBody"/>
        <w:bidi w:val="0"/>
        <w:jc w:val="both"/>
        <w:rPr/>
      </w:pPr>
      <w:r>
        <w:rPr/>
        <w:t>If the Corporation is a PFIC for any tax year during which a Non-Electing U.S. Holder holds Common Shares, Warrants and Warrant Shares, the Corporation will continue to be treated as a PFIC with respect to such Non-Electing U.S. Holder, regardless of whether the Corporation ceases to be a PFIC in one or more subsequent tax years. If the Corporation ceases to be a PFIC, a Non-Electing U.S. Holder may terminate this deemed PFIC status with respect to the Common Shares and Warrant Shares by electing to recognize gain (which will be taxed under the rules of Section 1291 of the Code discussed above), but not loss, as if such Common Shares or Warrant Shares were sold on the last day of the last tax year for which the Corporation was a PFIC. No such election, however, may be made with respect to the Warrants.</w:t>
      </w:r>
    </w:p>
    <w:p>
      <w:pPr>
        <w:pStyle w:val="TextBody"/>
        <w:bidi w:val="0"/>
        <w:jc w:val="both"/>
        <w:rPr/>
      </w:pPr>
      <w:r>
        <w:rPr/>
        <w:t>Under proposed Treasury Regulations (the "</w:t>
      </w:r>
      <w:r>
        <w:rPr>
          <w:b/>
        </w:rPr>
        <w:t>Proposed Treasury Regulations</w:t>
      </w:r>
      <w:r>
        <w:rPr/>
        <w:t>"), if a U.S. Holder has an option, warrant or other right to acquire stock of a PFIC (such as the Warrants comprising a part of the Units), such option, warrant or other right is considered to be PFIC stock subject to the default rules of Section 1291 of the Code. Under rules described below, the holding period for the Warrant Shares will begin on the date a U.S. Holder acquires the Units. This will impact the availability of the QEF Election and Mark-to-Market Election with respect to the Warrant Shares. Accordingly, a U.S. Holder will have to account for Warrant Shares and Common Shares under the PFIC rules and the applicable elections differently.</w:t>
      </w:r>
    </w:p>
    <w:p>
      <w:pPr>
        <w:pStyle w:val="TextBody"/>
        <w:bidi w:val="0"/>
        <w:jc w:val="both"/>
        <w:rPr>
          <w:i/>
        </w:rPr>
      </w:pPr>
      <w:r>
        <w:rPr>
          <w:i/>
        </w:rPr>
        <w:t>QEF Election</w:t>
      </w:r>
    </w:p>
    <w:p>
      <w:pPr>
        <w:pStyle w:val="TextBody"/>
        <w:bidi w:val="0"/>
        <w:jc w:val="both"/>
        <w:rPr/>
      </w:pPr>
      <w:r>
        <w:rPr/>
        <w:t>A U.S. Holder that makes a timely and effective QEF Election for the first tax year in which the holding period of its Common Shares begins generally will not be subject to the rules of Section 1291 of the Code discussed above with respect to its Common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(a) "earnings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0" w:name="page_35"/>
      <w:bookmarkEnd w:id="50"/>
      <w:r>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Common Shares to reflect the amount included in income or allowed as a tax-free distribution because of such QEF Election. In addition, a U.S. Holder that makes a QEF Election generally will recognize capital gain or loss on the sale or other taxable disposition of Common Shares.</w:t>
      </w:r>
    </w:p>
    <w:p>
      <w:pPr>
        <w:pStyle w:val="TextBody"/>
        <w:bidi w:val="0"/>
        <w:jc w:val="both"/>
        <w:rPr/>
      </w:pPr>
      <w:r>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Common Shares in which the Corporation was a PFIC. A U.S. Holder may make a timely QEF Election by filing the appropriate QEF Election documents at the time such U.S. Holder files a U.S. federal income tax return for such year. If a U.S. Holder does not make a timely and effective QEF Election for the first year in the U.S. Holder's holding period for the Common Shares, the U.S. Holder may still be able to make a timely and effective QEF Election in a subsequent year if such U.S. Holder meets certain requirements and makes a "purging" election to recognize gain (which will be taxed under the rules of Section 1291 of the Code discussed above) as if such Common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discussed above with respect to its Common Shares. If a U.S. Holder owns PFIC stock indirectly through another PFIC, separate QEF Elections must be made for the PFIC in which the U.S. Holder is a direct shareholder and the Subsidiary PFIC for the QEF rules to apply to both PFICs.</w:t>
      </w:r>
    </w:p>
    <w:p>
      <w:pPr>
        <w:pStyle w:val="TextBody"/>
        <w:bidi w:val="0"/>
        <w:jc w:val="both"/>
        <w:rPr/>
      </w:pPr>
      <w:r>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pStyle w:val="TextBody"/>
        <w:bidi w:val="0"/>
        <w:jc w:val="both"/>
        <w:rPr/>
      </w:pPr>
      <w:r>
        <w:rPr/>
        <w:t>As discussed above, under proposed Treasury Regulations, if a U.S. Holder has an option, warrant or other right to acquire stock of a PFIC (such as the Warrants), such option, warrant or right is considered to be PFIC stock subject to the default rules of Section 1291 of the Code. However, a U.S. Holder of an option, warrant or other right to acquire stock of a PFIC may not make a QEF Election that will apply to the option, warrant or other right to acquire PFIC stock. In addition, under proposed Treasury Regulations, if a U.S. Holder holds an option, warrant or other right to acquire stock of a PFIC, the holding period with respect to shares of stock of the PFIC acquired upon exercise of such option, warrant or other right will include the period that the option, warrant or other right was held.</w:t>
      </w:r>
    </w:p>
    <w:p>
      <w:pPr>
        <w:pStyle w:val="TextBody"/>
        <w:bidi w:val="0"/>
        <w:jc w:val="both"/>
        <w:rPr/>
      </w:pPr>
      <w:r>
        <w:rPr/>
        <w:t>Consequently, under the proposed Treasury Regulations, if a U.S. Holder of Common Shares makes a QEF Election, such election generally will not be treated as a timely QEF Election with respect to Warrant Shares (unless the Warrant Shares are acquired in the same tax year as the U.S. Holder acquired the Units) and the rules of Section 1291 of the Code discussed above will continue to apply with respect to such U.S. Holder's Warrant Shares. However, a U.S. Holder of Warrant Shares should be eligible to make a timely QEF Election if such U.S. Holder makes a "purging" or "deemed sale" election to recognize gain (which will be taxed under the rules of Section 1291 of the Code discussed above) as if such Warrant Shares were sold for fair market value. As a result of the "purging" or "deemed sale" election, the U.S. Holder will have a new basis and holding period in the Warrant Shares acquired upon the exercise of the Warrants for purposes of the PFIC rules. In addition, gain recognized on the sale or other taxable disposition (other than by exercise) of the Warrants by a U.S. Holder will be subject to the rules of Section 1291 of the Code discussed above. Each U.S. Holder should consult its own tax advisor regarding the application of the PFIC rules to the Units, Common Shares, Warrants and Warrant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1" w:name="page_36"/>
      <w:bookmarkEnd w:id="51"/>
      <w:r>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pStyle w:val="TextBody"/>
        <w:bidi w:val="0"/>
        <w:jc w:val="both"/>
        <w:rPr/>
      </w:pPr>
      <w:r>
        <w:rPr/>
        <w:t>A U.S. Holder makes a QEF Election by attaching a completed IRS Form 8621, including a PFIC Annual Information Statement, to a timely 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rules of Section 1291 of the Code discussed above that apply to Non-Electing U.S. Holders with respect to the taxation of gains and excess distributions.</w:t>
      </w:r>
      <w:hyperlink w:anchor="_ftn9">
        <w:bookmarkStart w:id="52" w:name="_ftnref9"/>
        <w:bookmarkEnd w:id="52"/>
        <w:r>
          <w:rPr>
            <w:rStyle w:val="InternetLink"/>
            <w:strike w:val="false"/>
            <w:dstrike w:val="false"/>
            <w:color w:val="000000"/>
            <w:position w:val="8"/>
            <w:sz w:val="19"/>
            <w:u w:val="none"/>
            <w:effect w:val="none"/>
          </w:rPr>
          <w:t>[9]</w:t>
        </w:r>
      </w:hyperlink>
    </w:p>
    <w:p>
      <w:pPr>
        <w:pStyle w:val="TextBody"/>
        <w:bidi w:val="0"/>
        <w:jc w:val="both"/>
        <w:rPr>
          <w:i/>
        </w:rPr>
      </w:pPr>
      <w:r>
        <w:rPr>
          <w:i/>
        </w:rPr>
        <w:t>Mark-to-Market Election</w:t>
      </w:r>
    </w:p>
    <w:p>
      <w:pPr>
        <w:pStyle w:val="TextBody"/>
        <w:bidi w:val="0"/>
        <w:jc w:val="both"/>
        <w:rPr/>
      </w:pPr>
      <w:r>
        <w:rPr/>
        <w:t>A U.S. Holder may make a Mark-to-Market Election with respect to the Common Shares and Warrant Shares only if the Common Shares and Warrant Shares are marketable stock. The Common Shares and Warrant Shares generally will be "marketable stock" if the Common Shares and Warrant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pStyle w:val="TextBody"/>
        <w:bidi w:val="0"/>
        <w:jc w:val="both"/>
        <w:rPr/>
      </w:pPr>
      <w:r>
        <w:rPr/>
        <w:t>A U.S. Holder that makes a Mark-to-Market Election with respect to its Common Shares generally will not be subject to the rules of Section 1291 of the Code discussed above with respect to such Common Shares. However, if a U.S. Holder does not make a Mark-to-Market Election beginning in the first tax year of such U.S. Holder's holding period for the Common Shares for which the Corporation is a PFIC and such U.S. Holder has not made a timely QEF Election, the rules of Section 1291 of the Code discussed above will apply to certain dispositions of, and distributions on, the Common Shares.</w:t>
      </w:r>
    </w:p>
    <w:p>
      <w:pPr>
        <w:pStyle w:val="TextBody"/>
        <w:bidi w:val="0"/>
        <w:jc w:val="both"/>
        <w:rPr/>
      </w:pPr>
      <w:r>
        <w:rPr/>
        <w:t>Any Mark-to-Market Election made by a U.S. Holder for the Common Shares will also apply to such U.S. Holder's Warrant Shares. As a result, if a Mark-to-Market Election has been made by a U.S. Holder with respect to Common Shares, any Warrant Shares received will automatically be marked-to-market in the year of exercise. Because, under the proposed Treasury Regulations, a U.S. Holder's holding period for Warrant Shares includes the period during which such U.S. Holder held the Warrants, a U.S. Holder will be treated as making a Mark-to-Market Election with respect to its Warrant Shares after the beginning of such U.S. Holder's holding period for the Warrant Shares unless the Warrant Shares are acquired in the same tax year as the year in which the U.S. Holder acquired its Units. Consequently, the default rules under Section 1291 of the Code described above generally will apply to the mark-to-market gain realized in the tax year in which Warrant Shares are received. However, the general mark-to-market rules will apply to subsequent tax years.</w:t>
      </w:r>
    </w:p>
    <w:p>
      <w:pPr>
        <w:pStyle w:val="TextBody"/>
        <w:bidi w:val="0"/>
        <w:jc w:val="both"/>
        <w:rPr/>
      </w:pPr>
      <w:r>
        <w:rPr/>
        <w:t>A U.S. Holder that makes a Mark-to-Market Election will include in ordinary income, for each tax year in which the Corporation is a PFIC, an amount equal to the excess, if any, of (a) the fair market value of the Common Shares and any Warrant Shares, as of the close of such tax year over (b) such U.S. Holder's adjusted tax basis in such Common Shares and any Warrant Shares. A U.S. Holder that makes a Mark-to-Market Election will be allowed a deduction in an amount equal to the excess, if any, of (a) such U.S. Holder's adjusted tax basis in the Common Shares and any Warrant Shares, over (b) the fair market value of such Common Shares and any Warrant Shares (but only to the extent of the net amount of previously included income as a result of the Mark-to-Market Election for prior tax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3" w:name="page_37"/>
      <w:bookmarkEnd w:id="53"/>
      <w:r>
        <w:rPr/>
        <w:t>A U.S. Holder that makes a Mark-to-Market Election generally also will adjust such U.S. Holder's tax basis in the Common Shares and Warrant Shares to reflect the amount included in gross income or allowed as a deduction because of such Mark-to-Market Election. In addition, upon a sale or other taxable disposition of Common Shares and Warrant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pStyle w:val="TextBody"/>
        <w:bidi w:val="0"/>
        <w:jc w:val="both"/>
        <w:rPr/>
      </w:pPr>
      <w:r>
        <w:rPr/>
        <w:t>A U.S. Holder makes a Mark-to-Market Election by attaching a completed IRS Form 8621 to a timely filed United States federal income tax return. A timely Mark-to-Market Election applies to the tax year in which such Mark-to-Market Election is made and to each subsequent tax year, unless the Common Shares and Warrant Shares cease to be "marketable stock" or the IRS consents to revocation of such election. Each U.S. Holder should consult its own tax advisors regarding the availability of, and procedure for making, a Mark-to-Market Election.</w:t>
      </w:r>
    </w:p>
    <w:p>
      <w:pPr>
        <w:pStyle w:val="TextBody"/>
        <w:bidi w:val="0"/>
        <w:jc w:val="both"/>
        <w:rPr/>
      </w:pPr>
      <w:r>
        <w:rPr/>
        <w:t>Although a U.S. Holder may be eligible to make a Mark-to-Market Election with respect to the Common Shares and Warrant Shares, no such election may be made with respect to the stock of any Subsidiary PFIC that a U.S. Holder is treated as owning, because such stock is not marketable. Hence, the Mark-to-Market Election will not be effective to avoid the application of the default rules of Section 1291 of the Code described above with respect to deemed dispositions of Subsidiary PFIC stock or excess distributions from a Subsidiary PFIC to its shareholder.</w:t>
      </w:r>
    </w:p>
    <w:p>
      <w:pPr>
        <w:pStyle w:val="TextBody"/>
        <w:bidi w:val="0"/>
        <w:jc w:val="both"/>
        <w:rPr>
          <w:i/>
        </w:rPr>
      </w:pPr>
      <w:r>
        <w:rPr>
          <w:i/>
        </w:rPr>
        <w:t>Other PFIC Rules</w:t>
      </w:r>
    </w:p>
    <w:p>
      <w:pPr>
        <w:pStyle w:val="TextBody"/>
        <w:bidi w:val="0"/>
        <w:jc w:val="both"/>
        <w:rPr/>
      </w:pPr>
      <w:r>
        <w:rPr/>
        <w:t>Pursuant to Section 1291(f) of the Code, the IRS has issued proposed Treasury Regulations (the "</w:t>
      </w:r>
      <w:r>
        <w:rPr>
          <w:b/>
        </w:rPr>
        <w:t>Proposed Treasury Regulations</w:t>
      </w:r>
      <w:r>
        <w:rPr/>
        <w:t>"). Under the Proposed Treasury Regulations, subject to certain exceptions, a U.S. Holder that had not made a timely QEF Election would recognize gain (but not loss) upon certain transfers of Common Shares and Warrant Shares that would otherwise be tax-deferred (e.g., gifts and exchanges pursuant to corporate reorganizations). However, the specific U.S. federal income tax consequences to a U.S. Holder may vary based on the manner in which Common Shares, Warrants and Warrant Shares are transferred.</w:t>
      </w:r>
    </w:p>
    <w:p>
      <w:pPr>
        <w:pStyle w:val="TextBody"/>
        <w:bidi w:val="0"/>
        <w:jc w:val="both"/>
        <w:rPr/>
      </w:pPr>
      <w:r>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pStyle w:val="TextBody"/>
        <w:bidi w:val="0"/>
        <w:jc w:val="both"/>
        <w:rPr/>
      </w:pPr>
      <w:r>
        <w:rPr/>
        <w:t>Certain additional adverse rules may apply with respect to a U.S. Holder if the Corporation is a PFIC, regardless of whether such U.S. Holder makes a QEF Election. For example, under Section 1298(b)(6) of the Code, a U.S. Holder that uses Common Shares, Warrants or Warrant Shares as security for a loan will, except as may be provided in Treasury Regulations, be treated as having made a taxable disposition of such Common Shares, Warrants or Warrant Shares.</w:t>
      </w:r>
    </w:p>
    <w:p>
      <w:pPr>
        <w:pStyle w:val="TextBody"/>
        <w:bidi w:val="0"/>
        <w:jc w:val="both"/>
        <w:rPr/>
      </w:pPr>
      <w:r>
        <w:rPr/>
        <w:t>In addition, a U.S. Holder who acquires Common Shares, Warrants or Warrant Shares from a decedent will not receive a "step up" in tax basis of such Common Shares, Warrants or Warrant Shares to fair market value unless such decedent had a timely and effective QEF Election in place.</w:t>
      </w:r>
    </w:p>
    <w:p>
      <w:pPr>
        <w:pStyle w:val="TextBody"/>
        <w:bidi w:val="0"/>
        <w:jc w:val="both"/>
        <w:rPr/>
      </w:pPr>
      <w:r>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4" w:name="page_38"/>
      <w:bookmarkEnd w:id="54"/>
      <w:r>
        <w:rPr/>
        <w:t>The PFIC rules are complex, and each U.S. Holder should consult its own tax advisors regarding the PFIC rules and how the PFIC rules may affect the U.S. federal income tax consequences of the acquisition, ownership, and disposition of Common Shares, Warrants and Warrant Shares.</w:t>
      </w:r>
    </w:p>
    <w:p>
      <w:pPr>
        <w:pStyle w:val="TextBody"/>
        <w:bidi w:val="0"/>
        <w:jc w:val="both"/>
        <w:rPr>
          <w:b/>
        </w:rPr>
      </w:pPr>
      <w:r>
        <w:rPr>
          <w:b/>
        </w:rPr>
        <w:t>Exercise and Disposition of Warrants</w:t>
      </w:r>
    </w:p>
    <w:p>
      <w:pPr>
        <w:pStyle w:val="TextBody"/>
        <w:bidi w:val="0"/>
        <w:jc w:val="both"/>
        <w:rPr/>
      </w:pPr>
      <w:r>
        <w:rPr/>
        <w:t>The following discussion describes the general rules applicable to the ownership and disposition of the Warrants, but is subject in its entirety to the special rules described above under the heading "</w:t>
      </w:r>
      <w:r>
        <w:rPr>
          <w:i/>
        </w:rPr>
        <w:t>Passive Foreign Investment Company Rules."</w:t>
      </w:r>
    </w:p>
    <w:p>
      <w:pPr>
        <w:pStyle w:val="TextBody"/>
        <w:bidi w:val="0"/>
        <w:jc w:val="both"/>
        <w:rPr>
          <w:i/>
        </w:rPr>
      </w:pPr>
      <w:r>
        <w:rPr>
          <w:i/>
        </w:rPr>
        <w:t>Exercise of Warrants</w:t>
      </w:r>
    </w:p>
    <w:p>
      <w:pPr>
        <w:pStyle w:val="TextBody"/>
        <w:bidi w:val="0"/>
        <w:jc w:val="both"/>
        <w:rPr/>
      </w:pPr>
      <w:r>
        <w:rPr/>
        <w:t>A U.S. Holder should not recognize gain or loss on the exercise of a Warrant and related receipt of a Warrant Share (unless cash is received in lieu of the issuance of a fractional Warrant Share). A U.S. Holder's initial tax basis in the Warrant Share received on the exercise of a Warrant should be equal to the sum of (a) such U.S. Holder's tax basis in such Warrant plus (b) the exercise price paid by such U.S. Holder on the exercise of such Warrant. It is unclear whether a U.S. Holder's holding period for the Warrant Share received on the exercise of a Warrant would commence on the date of exercise of the Warrant or the day following the date of exercise of the Warrant. If the Corporation is a PFIC, a U.S. Holder's holding period for the Warrant Share for PFIC purposes will begin on the date on which such U.S. Holder acquired its Units.</w:t>
      </w:r>
    </w:p>
    <w:p>
      <w:pPr>
        <w:pStyle w:val="TextBody"/>
        <w:bidi w:val="0"/>
        <w:jc w:val="both"/>
        <w:rPr/>
      </w:pPr>
      <w:r>
        <w:rPr/>
        <w:t>In certain limited circumstances, a U.S. Holder may be permitted to undertake a cashless exercise of Warrants into Warrant Shares. The U.S. federal income tax treatment of a cashless exercise of Warrants into Warrant Shares is unclear, and the tax consequences of a cashless exercise could differ from the consequences upon the exercise of a Warrant described in the preceding paragraph. U.S. Holders should consult their own tax advisors regarding the U.S. federal income tax consequences of a cashless exercise of Warrants.</w:t>
      </w:r>
    </w:p>
    <w:p>
      <w:pPr>
        <w:pStyle w:val="TextBody"/>
        <w:bidi w:val="0"/>
        <w:jc w:val="both"/>
        <w:rPr>
          <w:i/>
        </w:rPr>
      </w:pPr>
      <w:r>
        <w:rPr>
          <w:i/>
        </w:rPr>
        <w:t>Disposition of Warrants</w:t>
      </w:r>
    </w:p>
    <w:p>
      <w:pPr>
        <w:pStyle w:val="TextBody"/>
        <w:bidi w:val="0"/>
        <w:jc w:val="both"/>
        <w:rPr/>
      </w:pPr>
      <w:r>
        <w:rPr/>
        <w:t>A U.S. Holder will recognize gain or loss on the sale or other taxable disposition of a Warrant in an amount equal to the difference, if any, between (a) the amount of cash plus the fair market value of any property received and (b) such U.S. Holder's tax basis in the Warrant sold or otherwise disposed of. Subject to the PFIC rules discussed above, any such gain or loss generally will be a capital gain or loss, which will be long-term capital gain or loss if the Warrant is held for more than one year. Deductions for capital losses are subject to complex limitations under the Code.</w:t>
      </w:r>
    </w:p>
    <w:p>
      <w:pPr>
        <w:pStyle w:val="TextBody"/>
        <w:bidi w:val="0"/>
        <w:jc w:val="both"/>
        <w:rPr>
          <w:i/>
        </w:rPr>
      </w:pPr>
      <w:r>
        <w:rPr>
          <w:i/>
        </w:rPr>
        <w:t>Expiration of Warrants Without Exercise</w:t>
      </w:r>
    </w:p>
    <w:p>
      <w:pPr>
        <w:pStyle w:val="TextBody"/>
        <w:bidi w:val="0"/>
        <w:jc w:val="both"/>
        <w:rPr/>
      </w:pPr>
      <w:r>
        <w:rPr/>
        <w:t>Upon the lapse or expiration of a Warrant, a U.S. Holder will recognize a loss in an amount equal to such U.S. Holder's tax basis in the Warrant. Any such loss generally will be a capital loss and will be long-term capital loss if the Warrants are held for more than one year. Deductions for capital losses are subject to complex limitations under the Code.</w:t>
      </w:r>
    </w:p>
    <w:p>
      <w:pPr>
        <w:pStyle w:val="TextBody"/>
        <w:bidi w:val="0"/>
        <w:jc w:val="both"/>
        <w:rPr>
          <w:i/>
        </w:rPr>
      </w:pPr>
      <w:r>
        <w:rPr>
          <w:i/>
        </w:rPr>
        <w:t>Certain Adjustments to the Warrants</w:t>
      </w:r>
    </w:p>
    <w:p>
      <w:pPr>
        <w:pStyle w:val="TextBody"/>
        <w:bidi w:val="0"/>
        <w:jc w:val="both"/>
        <w:rPr/>
      </w:pPr>
      <w:r>
        <w:rPr/>
        <w:t>Under Section 305 of the Code, an adjustment to the number of Warrant Shares that will be issued on the exercise of the Warrants, or an adjustment to the exercise price of the Warrants, may be treated as a constructive distribution to a U.S. Holder of the Warrants if, and to the extent that, such adjustment has the effect of increasing such U.S. Holder's proportionate interest in the "earnings and profits" or the Corporation's assets, depending on the circumstances of such adjustment (for example, if such adjustment is to compensate for a distribution of cash or other property to the shareholders). Adjustments to the exercise price of Warrants made pursuant to a bona fide reasonable adjustment formula that has the effect of preventing dilution of the interest of the holders of the Warrants should generally not be considered to result in a constructive distribution. Any such constructive distribution would be taxable whether or not there is an actual distribution of cash or other property. (See more detailed discussion of the rules applicable to distributions made by the Corporation at  "</w:t>
      </w:r>
      <w:r>
        <w:rPr>
          <w:i/>
        </w:rPr>
        <w:t>Distributions on Common Shares and</w:t>
      </w:r>
      <w:r>
        <w:rPr/>
        <w:t xml:space="preserve"> </w:t>
      </w:r>
      <w:r>
        <w:rPr>
          <w:i/>
        </w:rPr>
        <w:t xml:space="preserve">Warrant Shares" </w:t>
      </w:r>
      <w:r>
        <w:rPr/>
        <w:t>below).</w:t>
      </w:r>
    </w:p>
    <w:p>
      <w:pPr>
        <w:pStyle w:val="TextBody"/>
        <w:bidi w:val="0"/>
        <w:jc w:val="both"/>
        <w:rPr>
          <w:b/>
        </w:rPr>
      </w:pPr>
      <w:r>
        <w:rPr>
          <w:b/>
        </w:rPr>
        <w:t>General Rules Applicable to the Ownership and Disposition of Common Shares and Warrant Shares</w:t>
      </w:r>
    </w:p>
    <w:p>
      <w:pPr>
        <w:pStyle w:val="TextBody"/>
        <w:bidi w:val="0"/>
        <w:jc w:val="both"/>
        <w:rPr/>
      </w:pPr>
      <w:r>
        <w:rPr/>
        <w:t>The following discussion is subject, in its entirety, to the rules described above under the heading "Passive Foreign Investment Company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i/>
        </w:rPr>
      </w:pPr>
      <w:bookmarkStart w:id="55" w:name="page_39"/>
      <w:bookmarkEnd w:id="55"/>
      <w:r>
        <w:rPr>
          <w:i/>
        </w:rPr>
        <w:t>Distributions on Common Shares and Warrant Shares</w:t>
      </w:r>
    </w:p>
    <w:p>
      <w:pPr>
        <w:pStyle w:val="TextBody"/>
        <w:bidi w:val="0"/>
        <w:jc w:val="both"/>
        <w:rPr/>
      </w:pPr>
      <w:r>
        <w:rPr/>
        <w:t>A U.S. Holder that receives a distribution, including a constructive distribution, with respect to a Common Share or Warrant Share (as well as any constructive distribution on a Warrant, as described above) will be required to include the amount of such distribution in gross income as a dividend (without reduction for any Canadian income tax withheld from such distribution) to the extent of the current or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a U.S. Holder's tax basis in the Common Shares or Warrant Shares and thereafter as gain from the sale or exchange of such Common Shares or Warrant Shares. (See "</w:t>
      </w:r>
      <w:r>
        <w:rPr>
          <w:i/>
        </w:rPr>
        <w:t>Sale or Other Taxable Disposition of Common Shares and/or Warrant Shares</w:t>
      </w:r>
      <w:r>
        <w:rPr/>
        <w:t>" below). However, the Corporation does not intend to maintain the calculations of its earnings and profits in accordance with U.S. federal income tax principles, and each U.S. Holder therefore should assume that any distribution by the Corporation with respect to the Common Shares or Warrant Shares will constitute ordinary dividend income. Dividends received on Common Shares or Warrant Shares by corporate U.S. Holders generally will not be eligible for the "dividends received deduction". Subject to applicable limitations and provided the Corporation is eligible for the benefits of the Canada-U.S. Tax Convention or the Common Shares or Warrant Shares are readily tradable on a United States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pStyle w:val="TextBody"/>
        <w:bidi w:val="0"/>
        <w:jc w:val="both"/>
        <w:rPr>
          <w:i/>
        </w:rPr>
      </w:pPr>
      <w:r>
        <w:rPr>
          <w:i/>
        </w:rPr>
        <w:t>Sale or Other Taxable Disposition of Common Shares and/or Warrant Shares</w:t>
      </w:r>
    </w:p>
    <w:p>
      <w:pPr>
        <w:pStyle w:val="TextBody"/>
        <w:bidi w:val="0"/>
        <w:jc w:val="both"/>
        <w:rPr/>
      </w:pPr>
      <w:r>
        <w:rPr/>
        <w:t>Upon the sale or other taxable disposition of Common Shares or Warrant Shares, a U.S. Holder generally will recognize capital gain or loss in an amount equal to the difference between the U.S. dollar value of cash received plus the fair market value of any property received and such U.S. Holder's tax basis in such Common Shares or Warrant Shares sold or otherwise disposed of. Gain or loss recognized on such sale or other taxable disposition generally will be long-term capital gain or loss if, at the time of the sale or other disposition, the Common Shares or Warrants have been held for more than one year.</w:t>
      </w:r>
    </w:p>
    <w:p>
      <w:pPr>
        <w:pStyle w:val="TextBody"/>
        <w:bidi w:val="0"/>
        <w:jc w:val="both"/>
        <w:rPr/>
      </w:pPr>
      <w:r>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pStyle w:val="TextBody"/>
        <w:bidi w:val="0"/>
        <w:jc w:val="both"/>
        <w:rPr>
          <w:b/>
        </w:rPr>
      </w:pPr>
      <w:r>
        <w:rPr>
          <w:b/>
        </w:rPr>
        <w:t xml:space="preserve">Additional Tax Considerations </w:t>
      </w:r>
    </w:p>
    <w:p>
      <w:pPr>
        <w:pStyle w:val="TextBody"/>
        <w:bidi w:val="0"/>
        <w:jc w:val="both"/>
        <w:rPr>
          <w:i/>
        </w:rPr>
      </w:pPr>
      <w:r>
        <w:rPr>
          <w:i/>
        </w:rPr>
        <w:t xml:space="preserve">Receipt of Foreign Currency </w:t>
      </w:r>
    </w:p>
    <w:p>
      <w:pPr>
        <w:pStyle w:val="TextBody"/>
        <w:bidi w:val="0"/>
        <w:jc w:val="both"/>
        <w:rPr/>
      </w:pPr>
      <w:r>
        <w:rPr/>
        <w:t>The amount of any distribution paid to a U.S. Holder in foreign currency, or on the sale, exchange or other taxable disposition of Common Shares, Warrants or Warrant Shares, generally will be equal to the U.S. dollar value of such foreign currency based on the exchange rate applicable on the date of receipt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pStyle w:val="TextBody"/>
        <w:bidi w:val="0"/>
        <w:jc w:val="both"/>
        <w:rPr>
          <w:i/>
        </w:rPr>
      </w:pPr>
      <w:r>
        <w:rPr>
          <w:i/>
        </w:rPr>
        <w:t xml:space="preserve">Foreign Tax Credit </w:t>
      </w:r>
    </w:p>
    <w:p>
      <w:pPr>
        <w:pStyle w:val="TextBody"/>
        <w:bidi w:val="0"/>
        <w:jc w:val="both"/>
        <w:rPr/>
      </w:pPr>
      <w:r>
        <w:rPr/>
        <w:t>Dividends paid on the Common Shares or Warrant Shares (as well as any constructive distribution on a Warrant, as described above) will be treated as foreign-source income, and generally will be treated as "passive category income" or "general category income" for U.S. foreign tax credit purposes. Any gain or loss recognized on a sale or other disposition of Common Shares, Warrants or Warrant Shares generally will be United States source gain or loss. Certain U.S. Holders that are eligible for the benefits of Canada-U.S. Tax Convention may elect to treat such gain or loss as Canadian source gain or loss for U.S. foreign tax credit purposes. The Code applies various complex limitations on the amount of foreign taxes that may be claimed as a credit by U.S. taxpayers. In addition, Treasury Regulations that apply to foreign taxes paid or accrued (the "</w:t>
      </w:r>
      <w:r>
        <w:rPr>
          <w:b/>
        </w:rPr>
        <w:t>Foreign Tax Credit Regulations</w:t>
      </w:r>
      <w:r>
        <w:rPr/>
        <w:t>") impose additional requirements for Canadian withholding taxes to be eligible for a foreign tax credit, and there can be no assurance that those requirements will be satisfied. The Treasury Department has recently released guidance temporarily pausing the application of certain of the Foreign Tax Credit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6" w:name="page_40"/>
      <w:bookmarkEnd w:id="56"/>
      <w:r>
        <w:rPr/>
        <w:t>Subject to the PFIC rules and the Foreign Tax Credit Regulations, each as discussed above, a U.S. Holder that pays (whether directly or through withholding) Canadian income tax with respect to dividends paid on the Common Shares or Warrant Shares (as well as any constructive distribution on a Warrant, as described above) generally will be entitled, at the election of such U.S. Holder, to receive either a deduction or a credit for such Canadian income tax.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pStyle w:val="TextBody"/>
        <w:bidi w:val="0"/>
        <w:jc w:val="both"/>
        <w:rPr>
          <w:i/>
        </w:rPr>
      </w:pPr>
      <w:r>
        <w:rPr>
          <w:i/>
        </w:rPr>
        <w:t xml:space="preserve">Backup Withholding and Information Reporting </w:t>
      </w:r>
    </w:p>
    <w:p>
      <w:pPr>
        <w:pStyle w:val="TextBody"/>
        <w:bidi w:val="0"/>
        <w:jc w:val="both"/>
        <w:rPr/>
      </w:pPr>
      <w:r>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Common Shares, Warrants and Warrant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pStyle w:val="TextBody"/>
        <w:bidi w:val="0"/>
        <w:jc w:val="both"/>
        <w:rPr/>
      </w:pPr>
      <w:r>
        <w:rPr/>
        <w:t>Payments made within the U.S. or by a U.S. payor or U.S. middleman, of dividends on, and proceeds arising from the sale or other taxable disposition of, Common Shares, Warrants and Warrant Shares will generally be subject to information reporting and backup withholding tax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will be allowed as a credit against a U.S. Holder's U.S. federal income tax liability, if any, or will be refunded, if such U.S. Holder furnishes required information to the IRS in a timely manner.</w:t>
      </w:r>
    </w:p>
    <w:p>
      <w:pPr>
        <w:pStyle w:val="TextBody"/>
        <w:bidi w:val="0"/>
        <w:jc w:val="both"/>
        <w:rPr/>
      </w:pPr>
      <w:r>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pStyle w:val="TextBody"/>
        <w:bidi w:val="0"/>
        <w:jc w:val="both"/>
        <w:rPr>
          <w:b/>
        </w:rPr>
      </w:pPr>
      <w:r>
        <w:rPr>
          <w:b/>
        </w:rPr>
        <w:t>THE ABOVE SUMMARY IS NOT INTENDED TO CONSTITUTE A COMPLETE ANALYSIS OF ALL TAX CONSIDERATIONS APPLICABLE TO U.S. HOLDERS WITH RESPECT TO THE ACQUISITION, OWNERSHIP AND DISPOSITION OF UNITS, COMMON SHARES, WARRANTS AND WARRANT SHARES. U.S. HOLDERS SHOULD CONSULT THEIR OWN TAX ADVISORS AS TO THE TAX CONSIDERATIONS APPLICABLE TO THEM IN LIGHT OF THEIR OWN PARTICULAR CIRCUMSTANCES.</w:t>
      </w:r>
    </w:p>
    <w:p>
      <w:pPr>
        <w:pStyle w:val="TextBody"/>
        <w:bidi w:val="0"/>
        <w:jc w:val="center"/>
        <w:rPr>
          <w:b/>
        </w:rPr>
      </w:pPr>
      <w:r>
        <w:rPr>
          <w:b/>
        </w:rPr>
        <w:t>EXPERTS</w:t>
      </w:r>
    </w:p>
    <w:p>
      <w:pPr>
        <w:pStyle w:val="TextBody"/>
        <w:bidi w:val="0"/>
        <w:jc w:val="both"/>
        <w:rPr/>
      </w:pPr>
      <w:r>
        <w:rPr/>
        <w:t>Certain legal matters relating to the issue and sale of the Securities offered hereby, will be passed upon on behalf of the Corporation by Aird &amp; Berlis LLP and certain legal matters on behalf of the Underwriter by Bennett Jones LLP.</w:t>
      </w:r>
    </w:p>
    <w:p>
      <w:pPr>
        <w:pStyle w:val="TextBody"/>
        <w:bidi w:val="0"/>
        <w:jc w:val="both"/>
        <w:rPr/>
      </w:pPr>
      <w:r>
        <w:rPr/>
        <w:t>As of the date of this Prospectus Supplement, the partners and associates of Aird &amp; Berlis LLP and Bennett Jones LLP, beneficially owned, directly or indirectly, less than 1% of the outstanding securities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57" w:name="page_41"/>
      <w:bookmarkEnd w:id="57"/>
      <w:r>
        <w:rPr>
          <w:b/>
        </w:rPr>
        <w:t>AUDITORS, TRANSFER AGENT AND REGISTRAR</w:t>
      </w:r>
    </w:p>
    <w:p>
      <w:pPr>
        <w:pStyle w:val="TextBody"/>
        <w:bidi w:val="0"/>
        <w:jc w:val="both"/>
        <w:rPr/>
      </w:pPr>
      <w:r>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pStyle w:val="TextBody"/>
        <w:bidi w:val="0"/>
        <w:jc w:val="both"/>
        <w:rPr/>
      </w:pPr>
      <w:r>
        <w:rPr/>
        <w:t>The registrar and transfer agent of the Common Shares is Odyssey Trust Company at its principal office in Calgary, Alberta.</w:t>
      </w:r>
    </w:p>
    <w:p>
      <w:pPr>
        <w:pStyle w:val="TextBody"/>
        <w:bidi w:val="0"/>
        <w:jc w:val="center"/>
        <w:rPr>
          <w:b/>
        </w:rPr>
      </w:pPr>
      <w:r>
        <w:rPr>
          <w:b/>
        </w:rPr>
        <w:t>ADDITIONAL INFORMATION</w:t>
      </w:r>
    </w:p>
    <w:p>
      <w:pPr>
        <w:pStyle w:val="TextBody"/>
        <w:bidi w:val="0"/>
        <w:jc w:val="both"/>
        <w:rPr/>
      </w:pPr>
      <w:r>
        <w:rPr/>
        <w:t xml:space="preserve">The Corporation has filed with the SEC the Registration Statement on Form F-10 under the Securities Act relating to the Corporation's Securities offered hereby, of which this Prospectus Supplement and accompanying Prospectus form a part. This Prospectus Supplement and the accompanying Prospectus do not contain all of the information set forth in the Registration Statement, certain parts of which are contained in the exhibits to the Registration Statement as permitted by the rules and regulations of the SEC. Reference is made to such Registration Statement and the exhibits thereto for further information with respect to us and the Securities offered hereby. Information omitted from this Prospectus Supplement and the accompanying Prospectus, but contained in the Registration Statement is available on EDGAR under the Corporation's profile at </w:t>
      </w:r>
      <w:r>
        <w:rPr>
          <w:color w:val="0563C1"/>
          <w:u w:val="single"/>
        </w:rPr>
        <w:t>www.sec.gov/edgar</w:t>
      </w:r>
      <w:r>
        <w:rPr/>
        <w:t>. Investors should review the Registration Statement and the exhibits thereto for further information with respect to us and the Securities offered hereby. Statements contained in this Prospectus Supplement and the accompanying Prospectus as to the contents of certain documents are not necessarily complete and, in each instance, reference is made to the copy of the document filed as an exhibit to the Registration Statement. Each such statement is qualified in its entirety by such reference.</w:t>
      </w:r>
    </w:p>
    <w:p>
      <w:pPr>
        <w:pStyle w:val="TextBody"/>
        <w:bidi w:val="0"/>
        <w:jc w:val="both"/>
        <w:rPr/>
      </w:pPr>
      <w:r>
        <w:rPr/>
        <w:t>The Corporation is required to file with the various securities commissions or similar authorities in each of the applicable provinces and territories of Canada, annual and quarterly reports, material change reports and other information. The Corporation is also an SEC registrant subject to the informational requirements of the Exchange Act, and, accordingly, file with, or furnish to, the SEC certain reports and other information. Under the MJDS adopted by the United States and Canada, these reports and other information (including financial information) may be prepared in accordance with the disclosure requirements of Canada, which differ from those of the United States. The Corporation is exempt from the rules under the Exchange Act prescribing the furnishing and content of proxy statements, and the officers, directors and principal shareholders are exempt from the reporting and short swing profit recovery provisions contained in Section 16 of the Exchange Act.</w:t>
      </w:r>
    </w:p>
    <w:p>
      <w:pPr>
        <w:pStyle w:val="TextBody"/>
        <w:bidi w:val="0"/>
        <w:jc w:val="center"/>
        <w:rPr>
          <w:b/>
        </w:rPr>
      </w:pPr>
      <w:r>
        <w:rPr>
          <w:b/>
        </w:rPr>
        <w:t>ENFORCEABILITY OF CIVIL LIABILITIES BY U.S. INVESTORS</w:t>
      </w:r>
    </w:p>
    <w:p>
      <w:pPr>
        <w:pStyle w:val="TextBody"/>
        <w:bidi w:val="0"/>
        <w:jc w:val="both"/>
        <w:rPr/>
      </w:pPr>
      <w:r>
        <w:rPr/>
        <w:t xml:space="preserve">The Corporation is a corporation existing under the </w:t>
      </w:r>
      <w:r>
        <w:rPr>
          <w:i/>
        </w:rPr>
        <w:t>Business Corporations Act</w:t>
      </w:r>
      <w:r>
        <w:rPr/>
        <w:t xml:space="preserve"> (Ontario). Other than Douglas Drysdale, Chief Executive Officer, and Aaron Bartlone, Chief Operating Officer,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Securities who reside in the United States to effect service within the United States upon those directors, officers and experts who are not residents of the United States. It may also be difficult for holders of the Securities who reside in the United States to realize upon judgments of courts of the United States predicated upon the Corporation's civil liability and the civil liability of its directors, officers and experts under the United States federal securities laws.</w:t>
      </w:r>
    </w:p>
    <w:p>
      <w:pPr>
        <w:pStyle w:val="TextBody"/>
        <w:bidi w:val="0"/>
        <w:jc w:val="both"/>
        <w:rPr/>
      </w:pPr>
      <w:r>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w:t>
      </w:r>
    </w:p>
    <w:p>
      <w:pPr>
        <w:pStyle w:val="TextBody"/>
        <w:bidi w:val="0"/>
        <w:jc w:val="both"/>
        <w:rPr/>
      </w:pPr>
      <w:r>
        <w:rPr/>
        <w:t>The Corporation filed with the SEC, concurrently with the Registration Statement, an appointment of agent for service of process on Form F-X. Under the Form F-X, the Corporation appointed CT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Unit Shares and Warrant Shares under this Prospectus Supplement and the accompanying Base Shelf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S-36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58" w:name="page_42"/>
      <w:bookmarkStart w:id="59" w:name="page_42"/>
      <w:bookmarkEnd w:id="59"/>
    </w:p>
    <w:tbl>
      <w:tblPr>
        <w:tblW w:w="2695" w:type="dxa"/>
        <w:jc w:val="left"/>
        <w:tblInd w:w="0" w:type="dxa"/>
        <w:tblLayout w:type="fixed"/>
        <w:tblCellMar>
          <w:top w:w="0" w:type="dxa"/>
          <w:left w:w="0" w:type="dxa"/>
          <w:bottom w:w="0" w:type="dxa"/>
          <w:right w:w="0" w:type="dxa"/>
        </w:tblCellMar>
      </w:tblPr>
      <w:tblGrid>
        <w:gridCol w:w="1085"/>
        <w:gridCol w:w="1610"/>
      </w:tblGrid>
      <w:tr>
        <w:trPr/>
        <w:tc>
          <w:tcPr>
            <w:tcW w:w="1085" w:type="dxa"/>
            <w:tcBorders/>
            <w:vAlign w:val="center"/>
          </w:tcPr>
          <w:p>
            <w:pPr>
              <w:pStyle w:val="TableContents"/>
              <w:bidi w:val="0"/>
              <w:spacing w:before="0" w:after="283"/>
              <w:jc w:val="left"/>
              <w:rPr/>
            </w:pPr>
            <w:r>
              <w:rPr>
                <w:u w:val="single"/>
              </w:rPr>
              <w:t>New Issue</w:t>
            </w:r>
            <w:r>
              <w:rPr/>
              <w:t> </w:t>
            </w:r>
          </w:p>
        </w:tc>
        <w:tc>
          <w:tcPr>
            <w:tcW w:w="1610" w:type="dxa"/>
            <w:tcBorders/>
            <w:vAlign w:val="center"/>
          </w:tcPr>
          <w:p>
            <w:pPr>
              <w:pStyle w:val="TableContents"/>
              <w:bidi w:val="0"/>
              <w:spacing w:before="0" w:after="283"/>
              <w:jc w:val="right"/>
              <w:rPr/>
            </w:pPr>
            <w:r>
              <w:rPr/>
              <w:t>August 17, 2023</w:t>
            </w:r>
          </w:p>
        </w:tc>
      </w:tr>
    </w:tbl>
    <w:p>
      <w:pPr>
        <w:pStyle w:val="TextBody"/>
        <w:bidi w:val="0"/>
        <w:jc w:val="center"/>
        <w:rPr>
          <w:b/>
        </w:rPr>
      </w:pPr>
      <w:r>
        <w:rPr>
          <w:b/>
        </w:rPr>
        <w:t>SHORT FORM BASE SHELF PROSPECTUS</w:t>
      </w:r>
    </w:p>
    <w:p>
      <w:pPr>
        <w:pStyle w:val="TextBody"/>
        <w:bidi w:val="0"/>
        <w:jc w:val="center"/>
        <w:rPr/>
      </w:pPr>
      <w:r>
        <w:rPr/>
        <w:drawing>
          <wp:inline distT="0" distB="0" distL="0" distR="0">
            <wp:extent cx="1562100" cy="933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62100" cy="933450"/>
                    </a:xfrm>
                    <a:prstGeom prst="rect">
                      <a:avLst/>
                    </a:prstGeom>
                  </pic:spPr>
                </pic:pic>
              </a:graphicData>
            </a:graphic>
          </wp:inline>
        </w:drawing>
      </w:r>
    </w:p>
    <w:p>
      <w:pPr>
        <w:pStyle w:val="TextBody"/>
        <w:bidi w:val="0"/>
        <w:spacing w:before="0" w:after="0"/>
        <w:jc w:val="center"/>
        <w:rPr>
          <w:b/>
        </w:rPr>
      </w:pPr>
      <w:r>
        <w:rPr>
          <w:b/>
        </w:rPr>
        <w:t>CYBIN INC.</w:t>
      </w:r>
    </w:p>
    <w:p>
      <w:pPr>
        <w:pStyle w:val="TextBody"/>
        <w:bidi w:val="0"/>
        <w:spacing w:before="0" w:after="0"/>
        <w:jc w:val="center"/>
        <w:rPr>
          <w:b/>
        </w:rPr>
      </w:pPr>
      <w:r>
        <w:rPr>
          <w:b/>
        </w:rPr>
        <w:t>$160,000,000</w:t>
      </w:r>
    </w:p>
    <w:p>
      <w:pPr>
        <w:pStyle w:val="TextBody"/>
        <w:bidi w:val="0"/>
        <w:spacing w:before="0" w:after="0"/>
        <w:jc w:val="center"/>
        <w:rPr>
          <w:b/>
        </w:rPr>
      </w:pPr>
      <w:r>
        <w:rPr>
          <w:b/>
        </w:rPr>
        <w:t>Common Shares</w:t>
      </w:r>
    </w:p>
    <w:p>
      <w:pPr>
        <w:pStyle w:val="TextBody"/>
        <w:bidi w:val="0"/>
        <w:spacing w:before="0" w:after="0"/>
        <w:jc w:val="center"/>
        <w:rPr>
          <w:b/>
        </w:rPr>
      </w:pPr>
      <w:r>
        <w:rPr>
          <w:b/>
        </w:rPr>
        <w:t>Warrants</w:t>
      </w:r>
    </w:p>
    <w:p>
      <w:pPr>
        <w:pStyle w:val="TextBody"/>
        <w:bidi w:val="0"/>
        <w:spacing w:before="0" w:after="0"/>
        <w:jc w:val="center"/>
        <w:rPr>
          <w:b/>
        </w:rPr>
      </w:pPr>
      <w:r>
        <w:rPr>
          <w:b/>
        </w:rPr>
        <w:t>Units</w:t>
      </w:r>
    </w:p>
    <w:p>
      <w:pPr>
        <w:pStyle w:val="TextBody"/>
        <w:bidi w:val="0"/>
        <w:spacing w:before="0" w:after="0"/>
        <w:jc w:val="center"/>
        <w:rPr>
          <w:b/>
        </w:rPr>
      </w:pPr>
      <w:r>
        <w:rPr>
          <w:b/>
        </w:rPr>
        <w:t>Debt Securities</w:t>
      </w:r>
    </w:p>
    <w:p>
      <w:pPr>
        <w:pStyle w:val="TextBody"/>
        <w:bidi w:val="0"/>
        <w:spacing w:before="0" w:after="283"/>
        <w:jc w:val="center"/>
        <w:rPr>
          <w:b/>
        </w:rPr>
      </w:pPr>
      <w:r>
        <w:rPr>
          <w:b/>
        </w:rPr>
        <w:t>Subscription Receipts</w:t>
      </w:r>
    </w:p>
    <w:p>
      <w:pPr>
        <w:pStyle w:val="TextBody"/>
        <w:bidi w:val="0"/>
        <w:jc w:val="both"/>
        <w:rPr/>
      </w:pPr>
      <w:r>
        <w:rPr/>
        <w:t>This short form base shelf prospectus ("</w:t>
      </w:r>
      <w:r>
        <w:rPr>
          <w:b/>
        </w:rPr>
        <w:t>Prospectus</w:t>
      </w:r>
      <w:r>
        <w:rPr/>
        <w:t>") relates to the offering for sale from time to time (each, an "</w:t>
      </w:r>
      <w:r>
        <w:rPr>
          <w:b/>
        </w:rPr>
        <w:t>Offering</w:t>
      </w:r>
      <w:r>
        <w:rPr/>
        <w:t>") by Cybin Inc. (the "</w:t>
      </w:r>
      <w:r>
        <w:rPr>
          <w:b/>
        </w:rPr>
        <w:t>Corporation</w:t>
      </w:r>
      <w:r>
        <w:rPr/>
        <w:t>" or "</w:t>
      </w:r>
      <w:r>
        <w:rPr>
          <w:b/>
        </w:rPr>
        <w:t>Cybin</w:t>
      </w:r>
      <w:r>
        <w:rPr/>
        <w:t>") during the 25-month period that this Prospectus, including any of amendments thereto, remains valid, of up to $160,000,000 in the aggregate of: (i) common shares ("</w:t>
      </w:r>
      <w:r>
        <w:rPr>
          <w:b/>
        </w:rPr>
        <w:t>Common Shares</w:t>
      </w:r>
      <w:r>
        <w:rPr/>
        <w:t>") of the Corporation; (ii) warrants ("</w:t>
      </w:r>
      <w:r>
        <w:rPr>
          <w:b/>
        </w:rPr>
        <w:t>Warrants</w:t>
      </w:r>
      <w:r>
        <w:rPr/>
        <w:t>") to purchase other Securities (as defined below) of the Corporation; (iii) units ("</w:t>
      </w:r>
      <w:r>
        <w:rPr>
          <w:b/>
        </w:rPr>
        <w:t>Units</w:t>
      </w:r>
      <w:r>
        <w:rPr/>
        <w:t>") comprising of one or more of the other Securities, (iv) senior and subordinated unsecured debt securities (collectively, "</w:t>
      </w:r>
      <w:r>
        <w:rPr>
          <w:b/>
        </w:rPr>
        <w:t>Debt Securities</w:t>
      </w:r>
      <w:r>
        <w:rPr/>
        <w:t>"), including debt securities convertible or exchangeable into other securities of the Corporation, and (v) subscription receipts ("</w:t>
      </w:r>
      <w:r>
        <w:rPr>
          <w:b/>
        </w:rPr>
        <w:t>Subscription Receipts</w:t>
      </w:r>
      <w:r>
        <w:rPr/>
        <w:t>" and together with the Common Shares, Warrants, Units and Debt Securities, collectively referred to herein as the "</w:t>
      </w:r>
      <w:r>
        <w:rPr>
          <w:b/>
        </w:rPr>
        <w:t>Securities</w:t>
      </w:r>
      <w:r>
        <w:rPr/>
        <w:t>"). The Securities may be offered separately or together, in amounts, at prices and on terms determined based on market conditions at the time of the sale and as set forth in an accompanying prospectus supplement ("</w:t>
      </w:r>
      <w:r>
        <w:rPr>
          <w:b/>
        </w:rPr>
        <w:t>Prospectus Supplement</w:t>
      </w:r>
      <w:r>
        <w:rPr/>
        <w:t>").</w:t>
      </w:r>
    </w:p>
    <w:p>
      <w:pPr>
        <w:pStyle w:val="HorizontalLine"/>
        <w:pBdr>
          <w:bottom w:val="single" w:sz="30" w:space="0" w:color="000000"/>
        </w:pBdr>
        <w:bidi w:val="0"/>
        <w:jc w:val="left"/>
        <w:rPr/>
      </w:pPr>
      <w:r>
        <w:rPr/>
      </w:r>
    </w:p>
    <w:p>
      <w:pPr>
        <w:pStyle w:val="TextBody"/>
        <w:bidi w:val="0"/>
        <w:jc w:val="both"/>
        <w:rPr/>
      </w:pPr>
      <w:bookmarkStart w:id="60" w:name="page_43"/>
      <w:bookmarkEnd w:id="60"/>
      <w:r>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pStyle w:val="TextBody"/>
        <w:bidi w:val="0"/>
        <w:jc w:val="both"/>
        <w:rPr/>
      </w:pPr>
      <w:r>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pStyle w:val="TextBody"/>
        <w:bidi w:val="0"/>
        <w:jc w:val="both"/>
        <w:rPr/>
      </w:pPr>
      <w:r>
        <w:rPr/>
        <w:t xml:space="preserve">The Securities may be sold through underwriters or dealers, directly by the Corporation pursuant to applicable statutory exemptions, or through designated agents from time to time. See </w:t>
      </w:r>
      <w:r>
        <w:rPr>
          <w:i/>
        </w:rPr>
        <w:t>"Plan of Distribution".</w:t>
      </w:r>
      <w:r>
        <w:rPr/>
        <w:t xml:space="preserve"> The Prospectus Supplement relating to a particular Offering of Securities will identify each underwriter, dealer or agent, as the case may be, engaged by the Corporation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and any other material terms of the plan of distribution.</w:t>
      </w:r>
    </w:p>
    <w:p>
      <w:pPr>
        <w:pStyle w:val="TextBody"/>
        <w:bidi w:val="0"/>
        <w:jc w:val="both"/>
        <w:rPr/>
      </w:pPr>
      <w:r>
        <w:rPr/>
        <w:t xml:space="preserve">The Securities may be sold from time to time in one or more transactions at a fixed price or prices or at non-fixed prices. This Prospectus may qualify an "at-the-market distribution", as defined in National Instrument 44-102 - </w:t>
      </w:r>
      <w:r>
        <w:rPr>
          <w:i/>
        </w:rPr>
        <w:t>Shelf Distributions</w:t>
      </w:r>
      <w:r>
        <w:rPr/>
        <w:t xml:space="preserve"> ("</w:t>
      </w:r>
      <w:r>
        <w:rPr>
          <w:b/>
        </w:rPr>
        <w:t>NI 44-102</w:t>
      </w:r>
      <w:r>
        <w:rPr/>
        <w:t>").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now operating as Cboe Canada (the "</w:t>
      </w:r>
      <w:r>
        <w:rPr>
          <w:b/>
        </w:rPr>
        <w:t>NEO</w:t>
      </w:r>
      <w:r>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i/>
        </w:rPr>
        <w:t>"Plan of Distribution"</w:t>
      </w:r>
      <w:r>
        <w:rPr/>
        <w:t>.</w:t>
      </w:r>
    </w:p>
    <w:p>
      <w:pPr>
        <w:pStyle w:val="TextBody"/>
        <w:bidi w:val="0"/>
        <w:jc w:val="both"/>
        <w:rPr/>
      </w:pPr>
      <w:r>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pStyle w:val="TextBody"/>
        <w:bidi w:val="0"/>
        <w:jc w:val="center"/>
        <w:rPr/>
      </w:pPr>
      <w:r>
        <w:rPr/>
        <w:t>ii</w:t>
      </w:r>
    </w:p>
    <w:p>
      <w:pPr>
        <w:pStyle w:val="HorizontalLine"/>
        <w:pBdr>
          <w:bottom w:val="single" w:sz="30" w:space="0" w:color="000000"/>
        </w:pBdr>
        <w:bidi w:val="0"/>
        <w:jc w:val="left"/>
        <w:rPr/>
      </w:pPr>
      <w:r>
        <w:rPr/>
      </w:r>
    </w:p>
    <w:p>
      <w:pPr>
        <w:pStyle w:val="TextBody"/>
        <w:bidi w:val="0"/>
        <w:jc w:val="both"/>
        <w:rPr/>
      </w:pPr>
      <w:bookmarkStart w:id="61" w:name="page_44"/>
      <w:bookmarkEnd w:id="61"/>
      <w:r>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pStyle w:val="TextBody"/>
        <w:bidi w:val="0"/>
        <w:jc w:val="both"/>
        <w:rPr/>
      </w:pPr>
      <w:r>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i/>
        </w:rPr>
        <w:t>"Plan of Distribution"</w:t>
      </w:r>
      <w:r>
        <w:rPr/>
        <w:t>.</w:t>
      </w:r>
    </w:p>
    <w:p>
      <w:pPr>
        <w:pStyle w:val="TextBody"/>
        <w:bidi w:val="0"/>
        <w:jc w:val="both"/>
        <w:rPr/>
      </w:pPr>
      <w:r>
        <w:rPr/>
        <w:t>The Common Shares are listed on the NEO under the trading symbol “CYBN”, and in the United States on the NYSE American LLC stock exchange (the “</w:t>
      </w:r>
      <w:r>
        <w:rPr>
          <w:b/>
        </w:rPr>
        <w:t>NYSE American</w:t>
      </w:r>
      <w:r>
        <w:rPr/>
        <w:t>”) under the symbol “CYBN”. On August 16, 2023, the last trading day prior to the filing of this Prospectus, the closing prices of the Common Shares listed on the NEO and the NYSE American were $0.44 and US$0.323, respectively.</w:t>
      </w:r>
    </w:p>
    <w:p>
      <w:pPr>
        <w:pStyle w:val="TextBody"/>
        <w:bidi w:val="0"/>
        <w:jc w:val="both"/>
        <w:rPr/>
      </w:pPr>
      <w:r>
        <w:rPr>
          <w:b/>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b/>
          <w:i/>
        </w:rPr>
        <w:t>"Risk Factors"</w:t>
      </w:r>
      <w:r>
        <w:rPr>
          <w:b/>
        </w:rPr>
        <w:t>.</w:t>
      </w:r>
    </w:p>
    <w:p>
      <w:pPr>
        <w:pStyle w:val="TextBody"/>
        <w:bidi w:val="0"/>
        <w:jc w:val="both"/>
        <w:rPr>
          <w:b/>
        </w:rPr>
      </w:pPr>
      <w:r>
        <w:rPr>
          <w:b/>
        </w:rPr>
        <w:t xml:space="preserve">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 </w:t>
      </w:r>
    </w:p>
    <w:p>
      <w:pPr>
        <w:pStyle w:val="TextBody"/>
        <w:bidi w:val="0"/>
        <w:jc w:val="both"/>
        <w:rPr>
          <w:b/>
        </w:rPr>
      </w:pPr>
      <w:r>
        <w:rPr>
          <w:b/>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pStyle w:val="TextBody"/>
        <w:bidi w:val="0"/>
        <w:jc w:val="both"/>
        <w:rPr/>
      </w:pPr>
      <w:r>
        <w:rPr>
          <w:b/>
        </w:rPr>
        <w:t>An investors ability to enforce civil liabilities under the United States federal securities laws may be affected adversely because the Corporation is incorporated in Canada, most of the officers and directors named in this Prospectus are not residents of the United States, and some of the Corporation's assets and all or a substantial portion of the assets of such persons are located outside of the United States. See "</w:t>
      </w:r>
      <w:r>
        <w:rPr>
          <w:b/>
          <w:i/>
        </w:rPr>
        <w:t>Risk Factors - Enforcement of Civil Liabilities</w:t>
      </w:r>
      <w:r>
        <w:rPr>
          <w:b/>
        </w:rPr>
        <w:t xml:space="preserve">". </w:t>
      </w:r>
    </w:p>
    <w:p>
      <w:pPr>
        <w:pStyle w:val="TextBody"/>
        <w:bidi w:val="0"/>
        <w:jc w:val="both"/>
        <w:rPr>
          <w:b/>
        </w:rPr>
      </w:pPr>
      <w:r>
        <w:rPr>
          <w:b/>
        </w:rPr>
        <w:t>An investment in the Securities is subject to a number of risks, including those risks described in this Prospectus and documents incorporated by reference into this Prospectus. See “</w:t>
      </w:r>
      <w:r>
        <w:rPr>
          <w:b/>
          <w:i/>
        </w:rPr>
        <w:t>Risk Factors”</w:t>
      </w:r>
      <w:r>
        <w:rPr>
          <w:b/>
        </w:rPr>
        <w:t xml:space="preserve"> in this Prospectus and in the Corporation’s Annual Information Form and Interim MD&amp;A (each as defined herein) incorporated by reference herein.</w:t>
      </w:r>
    </w:p>
    <w:p>
      <w:pPr>
        <w:pStyle w:val="TextBody"/>
        <w:bidi w:val="0"/>
        <w:jc w:val="center"/>
        <w:rPr/>
      </w:pPr>
      <w:r>
        <w:rPr/>
        <w:t>iii</w:t>
      </w:r>
    </w:p>
    <w:p>
      <w:pPr>
        <w:pStyle w:val="HorizontalLine"/>
        <w:pBdr>
          <w:bottom w:val="single" w:sz="30" w:space="0" w:color="000000"/>
        </w:pBdr>
        <w:bidi w:val="0"/>
        <w:jc w:val="left"/>
        <w:rPr/>
      </w:pPr>
      <w:r>
        <w:rPr/>
      </w:r>
    </w:p>
    <w:p>
      <w:pPr>
        <w:pStyle w:val="TextBody"/>
        <w:bidi w:val="0"/>
        <w:jc w:val="both"/>
        <w:rPr>
          <w:b/>
        </w:rPr>
      </w:pPr>
      <w:bookmarkStart w:id="62" w:name="page_45"/>
      <w:bookmarkEnd w:id="62"/>
      <w:r>
        <w:rPr>
          <w:b/>
        </w:rPr>
        <w:t>No person is authorized by the Corporation to provide any information or to make any representation other than as contained in this Prospectus in connection with the issue and sale of the Securities offered hereunder.</w:t>
      </w:r>
    </w:p>
    <w:p>
      <w:pPr>
        <w:pStyle w:val="TextBody"/>
        <w:bidi w:val="0"/>
        <w:jc w:val="both"/>
        <w:rPr>
          <w:b/>
        </w:rPr>
      </w:pPr>
      <w:r>
        <w:rPr>
          <w:b/>
        </w:rPr>
        <w:t>No underwriter has been involved in the preparation of this Prospectus or performed any review of the contents hereof.</w:t>
      </w:r>
    </w:p>
    <w:p>
      <w:pPr>
        <w:pStyle w:val="TextBody"/>
        <w:bidi w:val="0"/>
        <w:jc w:val="both"/>
        <w:rPr>
          <w:b/>
        </w:rPr>
      </w:pPr>
      <w:r>
        <w:rPr>
          <w:b/>
        </w:rPr>
        <w:t>NEITHER THE SEC 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pStyle w:val="TextBody"/>
        <w:bidi w:val="0"/>
        <w:jc w:val="both"/>
        <w:rPr/>
      </w:pPr>
      <w:r>
        <w:rPr/>
        <w:t xml:space="preserve">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i/>
        </w:rPr>
        <w:t>"Risk Factors - Risks Related to an Offering - Enforcement of Civil Liabilities"</w:t>
      </w:r>
      <w:r>
        <w:rPr/>
        <w:t>.</w:t>
      </w:r>
    </w:p>
    <w:p>
      <w:pPr>
        <w:pStyle w:val="TextBody"/>
        <w:bidi w:val="0"/>
        <w:jc w:val="both"/>
        <w:rPr/>
      </w:pPr>
      <w:r>
        <w:rPr/>
        <w:t>In this Prospectus, references to the "</w:t>
      </w:r>
      <w:r>
        <w:rPr>
          <w:b/>
        </w:rPr>
        <w:t>Corporation</w:t>
      </w:r>
      <w:r>
        <w:rPr/>
        <w:t>", "</w:t>
      </w:r>
      <w:r>
        <w:rPr>
          <w:b/>
        </w:rPr>
        <w:t>Cybin</w:t>
      </w:r>
      <w:r>
        <w:rPr/>
        <w:t>", "</w:t>
      </w:r>
      <w:r>
        <w:rPr>
          <w:b/>
        </w:rPr>
        <w:t>we</w:t>
      </w:r>
      <w:r>
        <w:rPr/>
        <w:t>", "</w:t>
      </w:r>
      <w:r>
        <w:rPr>
          <w:b/>
        </w:rPr>
        <w:t>us</w:t>
      </w:r>
      <w:r>
        <w:rPr/>
        <w:t>" and "</w:t>
      </w:r>
      <w:r>
        <w:rPr>
          <w:b/>
        </w:rPr>
        <w:t>our</w:t>
      </w:r>
      <w:r>
        <w:rPr/>
        <w:t>" refer to Cybin Inc. and/or, as applicable, one or more of its subsidiaries. The Corporation's registered and head office is located at 100 King Street West, Suite 5600, Toronto, Ontario M5X 1C9.</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both"/>
              <w:rPr/>
            </w:pPr>
            <w:r>
              <w:rPr>
                <w:b/>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b/>
                <w:i/>
              </w:rPr>
              <w:t>"Use of Proceeds"</w:t>
            </w:r>
            <w:r>
              <w:rPr>
                <w:b/>
              </w:rPr>
              <w:t xml:space="preserve">. </w:t>
            </w:r>
          </w:p>
          <w:p>
            <w:pPr>
              <w:pStyle w:val="TableContents"/>
              <w:bidi w:val="0"/>
              <w:jc w:val="both"/>
              <w:rPr/>
            </w:pPr>
            <w:r>
              <w:rPr>
                <w:b/>
              </w:rPr>
              <w:t xml:space="preserve">The Canadian and United States federal governments regulate drugs through the </w:t>
            </w:r>
            <w:r>
              <w:rPr>
                <w:b/>
                <w:i/>
              </w:rPr>
              <w:t xml:space="preserve">Controlled Drugs and Substances Act </w:t>
            </w:r>
            <w:r>
              <w:rPr>
                <w:b/>
              </w:rPr>
              <w:t xml:space="preserve">(Canada) (the "CDSA") and the </w:t>
            </w:r>
            <w:r>
              <w:rPr>
                <w:b/>
                <w:i/>
              </w:rPr>
              <w:t>Controlled Substances Act</w:t>
            </w:r>
            <w:r>
              <w:rPr/>
              <w:t xml:space="preserve"> </w:t>
            </w:r>
            <w:r>
              <w:rPr>
                <w:b/>
              </w:rPr>
              <w:t>(21 U.S.C. § 811) (the "CSA"), respectively, which place controlled substances in a schedule. Under the CDSA, psilocybin is currently a Schedule III drug. Under the CSA, psilocybin is currently a Schedule I drug.</w:t>
            </w:r>
          </w:p>
          <w:p>
            <w:pPr>
              <w:pStyle w:val="TableContents"/>
              <w:bidi w:val="0"/>
              <w:jc w:val="both"/>
              <w:rPr/>
            </w:pPr>
            <w:r>
              <w:rPr>
                <w:b/>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b/>
                <w:i/>
              </w:rPr>
              <w:t>"Regulatory Overview - Research and Development"</w:t>
            </w:r>
            <w:r>
              <w:rPr>
                <w:b/>
              </w:rPr>
              <w:t>.</w:t>
            </w:r>
          </w:p>
          <w:p>
            <w:pPr>
              <w:pStyle w:val="TableContents"/>
              <w:bidi w:val="0"/>
              <w:spacing w:before="0" w:after="283"/>
              <w:jc w:val="both"/>
              <w:rPr>
                <w:b/>
              </w:rPr>
            </w:pPr>
            <w:r>
              <w:rPr>
                <w:b/>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tc>
      </w:tr>
    </w:tbl>
    <w:p>
      <w:pPr>
        <w:pStyle w:val="TextBody"/>
        <w:bidi w:val="0"/>
        <w:jc w:val="center"/>
        <w:rPr/>
      </w:pPr>
      <w:r>
        <w:rPr/>
        <w:t>iv</w:t>
      </w: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63" w:name="page_46"/>
      <w:bookmarkStart w:id="64" w:name="page_46"/>
      <w:bookmarkEnd w:id="64"/>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jc w:val="both"/>
              <w:rPr>
                <w:b/>
              </w:rPr>
            </w:pPr>
            <w:r>
              <w:rPr>
                <w:b/>
              </w:rPr>
              <w:t>The Corporation's operations are conducted in strict compliance with local laws where such activities are permissible and do not require any specific legal or regulatory approvals.</w:t>
            </w:r>
          </w:p>
          <w:p>
            <w:pPr>
              <w:pStyle w:val="TableContents"/>
              <w:bidi w:val="0"/>
              <w:jc w:val="both"/>
              <w:rPr/>
            </w:pPr>
            <w:r>
              <w:rPr>
                <w:b/>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b/>
                <w:i/>
              </w:rPr>
              <w:t>"Risk Factors"</w:t>
            </w:r>
            <w:r>
              <w:rPr/>
              <w:t xml:space="preserve"> </w:t>
            </w:r>
            <w:r>
              <w:rPr>
                <w:b/>
              </w:rPr>
              <w:t xml:space="preserve">herein and </w:t>
            </w:r>
            <w:r>
              <w:rPr>
                <w:b/>
                <w:i/>
              </w:rPr>
              <w:t>"Risk Factors"</w:t>
            </w:r>
            <w:r>
              <w:rPr/>
              <w:t xml:space="preserve"> </w:t>
            </w:r>
            <w:r>
              <w:rPr>
                <w:b/>
              </w:rPr>
              <w:t>in the Annual Information Form.</w:t>
            </w:r>
          </w:p>
          <w:p>
            <w:pPr>
              <w:pStyle w:val="TableContents"/>
              <w:bidi w:val="0"/>
              <w:jc w:val="both"/>
              <w:rPr/>
            </w:pPr>
            <w:r>
              <w:rPr>
                <w:b/>
              </w:rPr>
              <w:t xml:space="preserve">Certain statements throughout this Prospectus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b/>
                <w:i/>
              </w:rPr>
              <w:t>"Risk Factors"</w:t>
            </w:r>
            <w:r>
              <w:rPr/>
              <w:t xml:space="preserve"> </w:t>
            </w:r>
            <w:r>
              <w:rPr>
                <w:b/>
              </w:rPr>
              <w:t xml:space="preserve">herein and </w:t>
            </w:r>
            <w:r>
              <w:rPr>
                <w:b/>
                <w:i/>
              </w:rPr>
              <w:t>"Risk Factors"</w:t>
            </w:r>
            <w:r>
              <w:rPr/>
              <w:t xml:space="preserve"> </w:t>
            </w:r>
            <w:r>
              <w:rPr>
                <w:b/>
              </w:rPr>
              <w:t>in the Annual Information Form.</w:t>
            </w:r>
          </w:p>
          <w:p>
            <w:pPr>
              <w:pStyle w:val="TableContents"/>
              <w:bidi w:val="0"/>
              <w:jc w:val="both"/>
              <w:rPr/>
            </w:pPr>
            <w:r>
              <w:rPr>
                <w:b/>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b/>
                <w:i/>
              </w:rPr>
              <w:t>"Compliance Program"</w:t>
            </w:r>
            <w:r>
              <w:rPr>
                <w:b/>
              </w:rPr>
              <w:t xml:space="preserve">.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 </w:t>
            </w:r>
          </w:p>
          <w:p>
            <w:pPr>
              <w:pStyle w:val="TableContents"/>
              <w:bidi w:val="0"/>
              <w:jc w:val="both"/>
              <w:rPr/>
            </w:pPr>
            <w:r>
              <w:rPr>
                <w:b/>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b/>
                <w:i/>
              </w:rPr>
              <w:t>"Risk Factors"</w:t>
            </w:r>
            <w:r>
              <w:rPr/>
              <w:t xml:space="preserve"> </w:t>
            </w:r>
            <w:r>
              <w:rPr>
                <w:b/>
              </w:rPr>
              <w:t xml:space="preserve">herein and </w:t>
            </w:r>
            <w:r>
              <w:rPr>
                <w:b/>
                <w:i/>
              </w:rPr>
              <w:t>"Risk Factors"</w:t>
            </w:r>
            <w:r>
              <w:rPr/>
              <w:t xml:space="preserve"> </w:t>
            </w:r>
            <w:r>
              <w:rPr>
                <w:b/>
              </w:rPr>
              <w:t>in the Annual Information Form.</w:t>
            </w:r>
          </w:p>
          <w:p>
            <w:pPr>
              <w:pStyle w:val="TableContents"/>
              <w:bidi w:val="0"/>
              <w:spacing w:before="0" w:after="0"/>
              <w:jc w:val="both"/>
              <w:rPr/>
            </w:pPr>
            <w:r>
              <w:rPr>
                <w:b/>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b/>
                <w:i/>
              </w:rPr>
              <w:t>"Risk Factors"</w:t>
            </w:r>
            <w:r>
              <w:rPr/>
              <w:t xml:space="preserve"> </w:t>
            </w:r>
            <w:r>
              <w:rPr>
                <w:b/>
              </w:rPr>
              <w:t xml:space="preserve">in this Prospectus, prior to investing in the Securities. See </w:t>
            </w:r>
            <w:r>
              <w:rPr>
                <w:b/>
                <w:i/>
              </w:rPr>
              <w:t>"Cautionary Note Regarding Forward-Looking Information"</w:t>
            </w:r>
            <w:r>
              <w:rPr/>
              <w:t xml:space="preserve"> </w:t>
            </w:r>
            <w:r>
              <w:rPr>
                <w:b/>
              </w:rPr>
              <w:t xml:space="preserve">and </w:t>
            </w:r>
            <w:r>
              <w:rPr>
                <w:b/>
                <w:i/>
              </w:rPr>
              <w:t>"Risk Factors"</w:t>
            </w:r>
            <w:r>
              <w:rPr>
                <w:b/>
              </w:rPr>
              <w:t>.</w:t>
            </w:r>
          </w:p>
        </w:tc>
      </w:tr>
    </w:tbl>
    <w:p>
      <w:pPr>
        <w:pStyle w:val="TextBody"/>
        <w:bidi w:val="0"/>
        <w:jc w:val="center"/>
        <w:rPr/>
      </w:pPr>
      <w:r>
        <w:rPr/>
        <w:t>v</w:t>
      </w:r>
    </w:p>
    <w:p>
      <w:pPr>
        <w:pStyle w:val="HorizontalLine"/>
        <w:pBdr>
          <w:bottom w:val="single" w:sz="30" w:space="0" w:color="000000"/>
        </w:pBdr>
        <w:bidi w:val="0"/>
        <w:jc w:val="left"/>
        <w:rPr/>
      </w:pPr>
      <w:r>
        <w:rPr/>
      </w:r>
    </w:p>
    <w:p>
      <w:pPr>
        <w:pStyle w:val="TextBody"/>
        <w:bidi w:val="0"/>
        <w:jc w:val="center"/>
        <w:rPr>
          <w:b/>
        </w:rPr>
      </w:pPr>
      <w:bookmarkStart w:id="65" w:name="page_47"/>
      <w:bookmarkEnd w:id="65"/>
      <w:r>
        <w:rPr>
          <w:b/>
        </w:rPr>
        <w:t>TABLE OF CONTENTS</w:t>
      </w:r>
    </w:p>
    <w:p>
      <w:pPr>
        <w:pStyle w:val="TextBody"/>
        <w:bidi w:val="0"/>
        <w:jc w:val="right"/>
        <w:rPr>
          <w:b/>
        </w:rPr>
      </w:pPr>
      <w:r>
        <w:rPr>
          <w:b/>
        </w:rPr>
        <w:t>Page</w:t>
      </w:r>
    </w:p>
    <w:tbl>
      <w:tblPr>
        <w:tblW w:w="8440" w:type="dxa"/>
        <w:jc w:val="left"/>
        <w:tblInd w:w="0" w:type="dxa"/>
        <w:tblLayout w:type="fixed"/>
        <w:tblCellMar>
          <w:top w:w="0" w:type="dxa"/>
          <w:left w:w="0" w:type="dxa"/>
          <w:bottom w:w="0" w:type="dxa"/>
          <w:right w:w="0" w:type="dxa"/>
        </w:tblCellMar>
      </w:tblPr>
      <w:tblGrid>
        <w:gridCol w:w="8165"/>
        <w:gridCol w:w="275"/>
      </w:tblGrid>
      <w:tr>
        <w:trPr/>
        <w:tc>
          <w:tcPr>
            <w:tcW w:w="8165" w:type="dxa"/>
            <w:tcBorders/>
            <w:shd w:fill="EEEEEE" w:val="clear"/>
            <w:vAlign w:val="center"/>
          </w:tcPr>
          <w:p>
            <w:pPr>
              <w:pStyle w:val="TableContents"/>
              <w:bidi w:val="0"/>
              <w:spacing w:before="0" w:after="283"/>
              <w:ind w:left="0" w:right="0" w:hanging="720"/>
              <w:jc w:val="left"/>
              <w:rPr/>
            </w:pPr>
            <w:hyperlink w:anchor="page_48">
              <w:r>
                <w:rPr>
                  <w:rStyle w:val="InternetLink"/>
                </w:rPr>
                <w:t>GENERAL MATTERS</w:t>
              </w:r>
            </w:hyperlink>
          </w:p>
        </w:tc>
        <w:tc>
          <w:tcPr>
            <w:tcW w:w="275" w:type="dxa"/>
            <w:tcBorders/>
            <w:shd w:fill="EEEEEE" w:val="clear"/>
            <w:vAlign w:val="center"/>
          </w:tcPr>
          <w:p>
            <w:pPr>
              <w:pStyle w:val="TableContents"/>
              <w:bidi w:val="0"/>
              <w:spacing w:before="0" w:after="283"/>
              <w:ind w:left="0" w:right="0" w:hanging="720"/>
              <w:jc w:val="right"/>
              <w:rPr/>
            </w:pPr>
            <w:hyperlink w:anchor="page_48">
              <w:r>
                <w:rPr>
                  <w:rStyle w:val="InternetLink"/>
                </w:rPr>
                <w:t>1</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48">
              <w:r>
                <w:rPr>
                  <w:rStyle w:val="InternetLink"/>
                </w:rPr>
                <w:t>CAUTIONARY NOTE REGARDING FORWARD-LOOKING INFORMATION</w:t>
              </w:r>
            </w:hyperlink>
          </w:p>
        </w:tc>
        <w:tc>
          <w:tcPr>
            <w:tcW w:w="275" w:type="dxa"/>
            <w:tcBorders/>
            <w:shd w:fill="EEEEEE" w:val="clear"/>
            <w:vAlign w:val="center"/>
          </w:tcPr>
          <w:p>
            <w:pPr>
              <w:pStyle w:val="TableContents"/>
              <w:bidi w:val="0"/>
              <w:spacing w:before="0" w:after="283"/>
              <w:ind w:left="0" w:right="0" w:hanging="720"/>
              <w:jc w:val="right"/>
              <w:rPr/>
            </w:pPr>
            <w:hyperlink w:anchor="page_48">
              <w:r>
                <w:rPr>
                  <w:rStyle w:val="InternetLink"/>
                </w:rPr>
                <w:t>1</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50">
              <w:r>
                <w:rPr>
                  <w:rStyle w:val="InternetLink"/>
                </w:rPr>
                <w:t>TRADEMARKS AND SERVICE MARKS</w:t>
              </w:r>
            </w:hyperlink>
          </w:p>
        </w:tc>
        <w:tc>
          <w:tcPr>
            <w:tcW w:w="275" w:type="dxa"/>
            <w:tcBorders/>
            <w:shd w:fill="EEEEEE" w:val="clear"/>
            <w:vAlign w:val="center"/>
          </w:tcPr>
          <w:p>
            <w:pPr>
              <w:pStyle w:val="TableContents"/>
              <w:bidi w:val="0"/>
              <w:spacing w:before="0" w:after="283"/>
              <w:ind w:left="0" w:right="0" w:hanging="720"/>
              <w:jc w:val="right"/>
              <w:rPr/>
            </w:pPr>
            <w:hyperlink w:anchor="page_50">
              <w:r>
                <w:rPr>
                  <w:rStyle w:val="InternetLink"/>
                </w:rPr>
                <w:t>3</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50">
              <w:r>
                <w:rPr>
                  <w:rStyle w:val="InternetLink"/>
                </w:rPr>
                <w:t>MARKETING MATERIALS</w:t>
              </w:r>
            </w:hyperlink>
          </w:p>
        </w:tc>
        <w:tc>
          <w:tcPr>
            <w:tcW w:w="275" w:type="dxa"/>
            <w:tcBorders/>
            <w:shd w:fill="EEEEEE" w:val="clear"/>
            <w:vAlign w:val="center"/>
          </w:tcPr>
          <w:p>
            <w:pPr>
              <w:pStyle w:val="TableContents"/>
              <w:bidi w:val="0"/>
              <w:spacing w:before="0" w:after="283"/>
              <w:ind w:left="0" w:right="0" w:hanging="720"/>
              <w:jc w:val="right"/>
              <w:rPr/>
            </w:pPr>
            <w:hyperlink w:anchor="page_50">
              <w:r>
                <w:rPr>
                  <w:rStyle w:val="InternetLink"/>
                </w:rPr>
                <w:t>3</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51">
              <w:r>
                <w:rPr>
                  <w:rStyle w:val="InternetLink"/>
                </w:rPr>
                <w:t>MARKET AND INDUSTRY DATA</w:t>
              </w:r>
            </w:hyperlink>
          </w:p>
        </w:tc>
        <w:tc>
          <w:tcPr>
            <w:tcW w:w="275" w:type="dxa"/>
            <w:tcBorders/>
            <w:shd w:fill="EEEEEE" w:val="clear"/>
            <w:vAlign w:val="center"/>
          </w:tcPr>
          <w:p>
            <w:pPr>
              <w:pStyle w:val="TableContents"/>
              <w:bidi w:val="0"/>
              <w:spacing w:before="0" w:after="283"/>
              <w:ind w:left="0" w:right="0" w:hanging="720"/>
              <w:jc w:val="right"/>
              <w:rPr/>
            </w:pPr>
            <w:hyperlink w:anchor="page_51">
              <w:r>
                <w:rPr>
                  <w:rStyle w:val="InternetLink"/>
                </w:rPr>
                <w:t>4</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51">
              <w:r>
                <w:rPr>
                  <w:rStyle w:val="InternetLink"/>
                </w:rPr>
                <w:t>DOCUMENTS INCORPORATED BY REFERENCE</w:t>
              </w:r>
            </w:hyperlink>
          </w:p>
        </w:tc>
        <w:tc>
          <w:tcPr>
            <w:tcW w:w="275" w:type="dxa"/>
            <w:tcBorders/>
            <w:shd w:fill="EEEEEE" w:val="clear"/>
            <w:vAlign w:val="center"/>
          </w:tcPr>
          <w:p>
            <w:pPr>
              <w:pStyle w:val="TableContents"/>
              <w:bidi w:val="0"/>
              <w:spacing w:before="0" w:after="283"/>
              <w:ind w:left="0" w:right="0" w:hanging="720"/>
              <w:jc w:val="right"/>
              <w:rPr/>
            </w:pPr>
            <w:hyperlink w:anchor="page_51">
              <w:r>
                <w:rPr>
                  <w:rStyle w:val="InternetLink"/>
                </w:rPr>
                <w:t>4</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52">
              <w:r>
                <w:rPr>
                  <w:rStyle w:val="InternetLink"/>
                </w:rPr>
                <w:t>DOCUMENTS FILED AS PART OF THE REGISTRATION STATEMENT</w:t>
              </w:r>
            </w:hyperlink>
          </w:p>
        </w:tc>
        <w:tc>
          <w:tcPr>
            <w:tcW w:w="275" w:type="dxa"/>
            <w:tcBorders/>
            <w:shd w:fill="EEEEEE" w:val="clear"/>
            <w:vAlign w:val="center"/>
          </w:tcPr>
          <w:p>
            <w:pPr>
              <w:pStyle w:val="TableContents"/>
              <w:bidi w:val="0"/>
              <w:spacing w:before="0" w:after="283"/>
              <w:ind w:left="0" w:right="0" w:hanging="720"/>
              <w:jc w:val="right"/>
              <w:rPr/>
            </w:pPr>
            <w:hyperlink w:anchor="page_52">
              <w:r>
                <w:rPr>
                  <w:rStyle w:val="InternetLink"/>
                </w:rPr>
                <w:t>5</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52">
              <w:r>
                <w:rPr>
                  <w:rStyle w:val="InternetLink"/>
                </w:rPr>
                <w:t>THE CORPORATION</w:t>
              </w:r>
            </w:hyperlink>
          </w:p>
        </w:tc>
        <w:tc>
          <w:tcPr>
            <w:tcW w:w="275" w:type="dxa"/>
            <w:tcBorders/>
            <w:shd w:fill="EEEEEE" w:val="clear"/>
            <w:vAlign w:val="center"/>
          </w:tcPr>
          <w:p>
            <w:pPr>
              <w:pStyle w:val="TableContents"/>
              <w:bidi w:val="0"/>
              <w:spacing w:before="0" w:after="283"/>
              <w:ind w:left="0" w:right="0" w:hanging="720"/>
              <w:jc w:val="right"/>
              <w:rPr/>
            </w:pPr>
            <w:hyperlink w:anchor="page_52">
              <w:r>
                <w:rPr>
                  <w:rStyle w:val="InternetLink"/>
                </w:rPr>
                <w:t>5</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55">
              <w:r>
                <w:rPr>
                  <w:rStyle w:val="InternetLink"/>
                </w:rPr>
                <w:t>REGULATORY OVERVIEW</w:t>
              </w:r>
            </w:hyperlink>
          </w:p>
        </w:tc>
        <w:tc>
          <w:tcPr>
            <w:tcW w:w="275" w:type="dxa"/>
            <w:tcBorders/>
            <w:shd w:fill="EEEEEE" w:val="clear"/>
            <w:vAlign w:val="center"/>
          </w:tcPr>
          <w:p>
            <w:pPr>
              <w:pStyle w:val="TableContents"/>
              <w:bidi w:val="0"/>
              <w:spacing w:before="0" w:after="283"/>
              <w:ind w:left="0" w:right="0" w:hanging="720"/>
              <w:jc w:val="right"/>
              <w:rPr/>
            </w:pPr>
            <w:hyperlink w:anchor="page_55">
              <w:r>
                <w:rPr>
                  <w:rStyle w:val="InternetLink"/>
                </w:rPr>
                <w:t>8</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67">
              <w:r>
                <w:rPr>
                  <w:rStyle w:val="InternetLink"/>
                </w:rPr>
                <w:t>COMPLIANCE PROGRAM</w:t>
              </w:r>
            </w:hyperlink>
          </w:p>
        </w:tc>
        <w:tc>
          <w:tcPr>
            <w:tcW w:w="275" w:type="dxa"/>
            <w:tcBorders/>
            <w:shd w:fill="EEEEEE" w:val="clear"/>
            <w:vAlign w:val="center"/>
          </w:tcPr>
          <w:p>
            <w:pPr>
              <w:pStyle w:val="TableContents"/>
              <w:bidi w:val="0"/>
              <w:spacing w:before="0" w:after="283"/>
              <w:ind w:left="0" w:right="0" w:hanging="720"/>
              <w:jc w:val="right"/>
              <w:rPr/>
            </w:pPr>
            <w:hyperlink w:anchor="page_67">
              <w:r>
                <w:rPr>
                  <w:rStyle w:val="InternetLink"/>
                </w:rPr>
                <w:t>20</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68">
              <w:r>
                <w:rPr>
                  <w:rStyle w:val="InternetLink"/>
                </w:rPr>
                <w:t>CONSOLIDATED CAPITALIZATION</w:t>
              </w:r>
            </w:hyperlink>
          </w:p>
        </w:tc>
        <w:tc>
          <w:tcPr>
            <w:tcW w:w="275" w:type="dxa"/>
            <w:tcBorders/>
            <w:shd w:fill="EEEEEE" w:val="clear"/>
            <w:vAlign w:val="center"/>
          </w:tcPr>
          <w:p>
            <w:pPr>
              <w:pStyle w:val="TableContents"/>
              <w:bidi w:val="0"/>
              <w:spacing w:before="0" w:after="283"/>
              <w:ind w:left="0" w:right="0" w:hanging="720"/>
              <w:jc w:val="right"/>
              <w:rPr/>
            </w:pPr>
            <w:hyperlink w:anchor="page_68">
              <w:r>
                <w:rPr>
                  <w:rStyle w:val="InternetLink"/>
                </w:rPr>
                <w:t>21</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68">
              <w:r>
                <w:rPr>
                  <w:rStyle w:val="InternetLink"/>
                </w:rPr>
                <w:t>USE OF PROCEEDS</w:t>
              </w:r>
            </w:hyperlink>
          </w:p>
        </w:tc>
        <w:tc>
          <w:tcPr>
            <w:tcW w:w="275" w:type="dxa"/>
            <w:tcBorders/>
            <w:shd w:fill="EEEEEE" w:val="clear"/>
            <w:vAlign w:val="center"/>
          </w:tcPr>
          <w:p>
            <w:pPr>
              <w:pStyle w:val="TableContents"/>
              <w:bidi w:val="0"/>
              <w:spacing w:before="0" w:after="283"/>
              <w:ind w:left="0" w:right="0" w:hanging="720"/>
              <w:jc w:val="right"/>
              <w:rPr/>
            </w:pPr>
            <w:hyperlink w:anchor="page_68">
              <w:r>
                <w:rPr>
                  <w:rStyle w:val="InternetLink"/>
                </w:rPr>
                <w:t>21</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70">
              <w:r>
                <w:rPr>
                  <w:rStyle w:val="InternetLink"/>
                </w:rPr>
                <w:t>DIVIDEND POLICY</w:t>
              </w:r>
            </w:hyperlink>
          </w:p>
        </w:tc>
        <w:tc>
          <w:tcPr>
            <w:tcW w:w="275" w:type="dxa"/>
            <w:tcBorders/>
            <w:shd w:fill="EEEEEE" w:val="clear"/>
            <w:vAlign w:val="center"/>
          </w:tcPr>
          <w:p>
            <w:pPr>
              <w:pStyle w:val="TableContents"/>
              <w:bidi w:val="0"/>
              <w:spacing w:before="0" w:after="283"/>
              <w:ind w:left="0" w:right="0" w:hanging="720"/>
              <w:jc w:val="right"/>
              <w:rPr/>
            </w:pPr>
            <w:hyperlink w:anchor="page_70">
              <w:r>
                <w:rPr>
                  <w:rStyle w:val="InternetLink"/>
                </w:rPr>
                <w:t>23</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70">
              <w:r>
                <w:rPr>
                  <w:rStyle w:val="InternetLink"/>
                </w:rPr>
                <w:t>DESCRIPTION OF SECURITIES BEING DISTRIBUTED</w:t>
              </w:r>
            </w:hyperlink>
          </w:p>
        </w:tc>
        <w:tc>
          <w:tcPr>
            <w:tcW w:w="275" w:type="dxa"/>
            <w:tcBorders/>
            <w:shd w:fill="EEEEEE" w:val="clear"/>
            <w:vAlign w:val="center"/>
          </w:tcPr>
          <w:p>
            <w:pPr>
              <w:pStyle w:val="TableContents"/>
              <w:bidi w:val="0"/>
              <w:spacing w:before="0" w:after="283"/>
              <w:ind w:left="0" w:right="0" w:hanging="720"/>
              <w:jc w:val="right"/>
              <w:rPr/>
            </w:pPr>
            <w:hyperlink w:anchor="page_70">
              <w:r>
                <w:rPr>
                  <w:rStyle w:val="InternetLink"/>
                </w:rPr>
                <w:t>23</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74">
              <w:r>
                <w:rPr>
                  <w:rStyle w:val="InternetLink"/>
                </w:rPr>
                <w:t>PLAN OF DISTRIBUTION</w:t>
              </w:r>
            </w:hyperlink>
          </w:p>
        </w:tc>
        <w:tc>
          <w:tcPr>
            <w:tcW w:w="275" w:type="dxa"/>
            <w:tcBorders/>
            <w:shd w:fill="EEEEEE" w:val="clear"/>
            <w:vAlign w:val="center"/>
          </w:tcPr>
          <w:p>
            <w:pPr>
              <w:pStyle w:val="TableContents"/>
              <w:bidi w:val="0"/>
              <w:spacing w:before="0" w:after="283"/>
              <w:ind w:left="0" w:right="0" w:hanging="720"/>
              <w:jc w:val="right"/>
              <w:rPr/>
            </w:pPr>
            <w:hyperlink w:anchor="page_74">
              <w:r>
                <w:rPr>
                  <w:rStyle w:val="InternetLink"/>
                </w:rPr>
                <w:t>27</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75">
              <w:r>
                <w:rPr>
                  <w:rStyle w:val="InternetLink"/>
                </w:rPr>
                <w:t>RISK FACTORS</w:t>
              </w:r>
            </w:hyperlink>
          </w:p>
        </w:tc>
        <w:tc>
          <w:tcPr>
            <w:tcW w:w="275" w:type="dxa"/>
            <w:tcBorders/>
            <w:shd w:fill="EEEEEE" w:val="clear"/>
            <w:vAlign w:val="center"/>
          </w:tcPr>
          <w:p>
            <w:pPr>
              <w:pStyle w:val="TableContents"/>
              <w:bidi w:val="0"/>
              <w:spacing w:before="0" w:after="283"/>
              <w:ind w:left="0" w:right="0" w:hanging="720"/>
              <w:jc w:val="right"/>
              <w:rPr/>
            </w:pPr>
            <w:hyperlink w:anchor="page_75">
              <w:r>
                <w:rPr>
                  <w:rStyle w:val="InternetLink"/>
                </w:rPr>
                <w:t>28</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80">
              <w:r>
                <w:rPr>
                  <w:rStyle w:val="InternetLink"/>
                </w:rPr>
                <w:t>CERTAIN FEDERAL INCOME TAX CONSIDERATIONS</w:t>
              </w:r>
            </w:hyperlink>
          </w:p>
        </w:tc>
        <w:tc>
          <w:tcPr>
            <w:tcW w:w="275" w:type="dxa"/>
            <w:tcBorders/>
            <w:shd w:fill="EEEEEE" w:val="clear"/>
            <w:vAlign w:val="center"/>
          </w:tcPr>
          <w:p>
            <w:pPr>
              <w:pStyle w:val="TableContents"/>
              <w:bidi w:val="0"/>
              <w:spacing w:before="0" w:after="283"/>
              <w:ind w:left="0" w:right="0" w:hanging="720"/>
              <w:jc w:val="right"/>
              <w:rPr/>
            </w:pPr>
            <w:hyperlink w:anchor="page_80">
              <w:r>
                <w:rPr>
                  <w:rStyle w:val="InternetLink"/>
                </w:rPr>
                <w:t>33</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80">
              <w:r>
                <w:rPr>
                  <w:rStyle w:val="InternetLink"/>
                </w:rPr>
                <w:t>LEGAL MATTERS</w:t>
              </w:r>
            </w:hyperlink>
          </w:p>
        </w:tc>
        <w:tc>
          <w:tcPr>
            <w:tcW w:w="275" w:type="dxa"/>
            <w:tcBorders/>
            <w:shd w:fill="EEEEEE" w:val="clear"/>
            <w:vAlign w:val="center"/>
          </w:tcPr>
          <w:p>
            <w:pPr>
              <w:pStyle w:val="TableContents"/>
              <w:bidi w:val="0"/>
              <w:spacing w:before="0" w:after="283"/>
              <w:ind w:left="0" w:right="0" w:hanging="720"/>
              <w:jc w:val="right"/>
              <w:rPr/>
            </w:pPr>
            <w:hyperlink w:anchor="page_80">
              <w:r>
                <w:rPr>
                  <w:rStyle w:val="InternetLink"/>
                </w:rPr>
                <w:t>33</w:t>
              </w:r>
            </w:hyperlink>
          </w:p>
        </w:tc>
      </w:tr>
      <w:tr>
        <w:trPr/>
        <w:tc>
          <w:tcPr>
            <w:tcW w:w="816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8165" w:type="dxa"/>
            <w:tcBorders/>
            <w:shd w:fill="EEEEEE" w:val="clear"/>
            <w:vAlign w:val="center"/>
          </w:tcPr>
          <w:p>
            <w:pPr>
              <w:pStyle w:val="TableContents"/>
              <w:bidi w:val="0"/>
              <w:spacing w:before="0" w:after="283"/>
              <w:jc w:val="left"/>
              <w:rPr/>
            </w:pPr>
            <w:hyperlink w:anchor="page_80">
              <w:r>
                <w:rPr>
                  <w:rStyle w:val="InternetLink"/>
                </w:rPr>
                <w:t>AUDITORS, TRANSFER AGENT AND REGISTRAR</w:t>
              </w:r>
            </w:hyperlink>
          </w:p>
        </w:tc>
        <w:tc>
          <w:tcPr>
            <w:tcW w:w="275" w:type="dxa"/>
            <w:tcBorders/>
            <w:shd w:fill="EEEEEE" w:val="clear"/>
            <w:vAlign w:val="center"/>
          </w:tcPr>
          <w:p>
            <w:pPr>
              <w:pStyle w:val="TableContents"/>
              <w:bidi w:val="0"/>
              <w:spacing w:before="0" w:after="283"/>
              <w:jc w:val="right"/>
              <w:rPr/>
            </w:pPr>
            <w:hyperlink w:anchor="page_80">
              <w:r>
                <w:rPr>
                  <w:rStyle w:val="InternetLink"/>
                </w:rPr>
                <w:t>33</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jc w:val="center"/>
        <w:rPr>
          <w:b/>
        </w:rPr>
      </w:pPr>
      <w:bookmarkStart w:id="66" w:name="page_48"/>
      <w:bookmarkEnd w:id="66"/>
      <w:r>
        <w:rPr>
          <w:b/>
        </w:rPr>
        <w:t>GENERAL MATTERS</w:t>
      </w:r>
    </w:p>
    <w:p>
      <w:pPr>
        <w:pStyle w:val="TextBody"/>
        <w:bidi w:val="0"/>
        <w:jc w:val="both"/>
        <w:rPr/>
      </w:pPr>
      <w:r>
        <w:rPr/>
        <w:t xml:space="preserve">Investors should rely only on the information contained in or incorporated by reference into this Prospectus or any applicable Prospectus Supplement. The Corporation has not authorized anyone to provide investors with different information. </w:t>
      </w:r>
      <w:r>
        <w:rPr>
          <w:b/>
        </w:rPr>
        <w:t>Information 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w:t>
      </w:r>
      <w:r>
        <w:rPr/>
        <w:t xml:space="preserve"> The Corporation is not 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pStyle w:val="TextBody"/>
        <w:bidi w:val="0"/>
        <w:jc w:val="both"/>
        <w:rPr/>
      </w:pPr>
      <w:r>
        <w:rPr/>
        <w:t xml:space="preserve">The information contained on </w:t>
      </w:r>
      <w:r>
        <w:rPr>
          <w:color w:val="0000FF"/>
          <w:u w:val="single"/>
        </w:rPr>
        <w:t>www.cybin.com</w:t>
      </w:r>
      <w:r>
        <w:rPr/>
        <w:t xml:space="preserve"> is not intended to be included in or incorporated by reference herein, and prospective purchasers should not rely on such information when deciding whether or not to invest in any Securities.</w:t>
      </w:r>
    </w:p>
    <w:p>
      <w:pPr>
        <w:pStyle w:val="TextBody"/>
        <w:bidi w:val="0"/>
        <w:jc w:val="both"/>
        <w:rPr/>
      </w:pPr>
      <w:r>
        <w:rPr/>
        <w:t>In this Prospectus, unless stated otherwise or the context requires otherwise, all dollar amounts are expressed in Canadian dollars.</w:t>
      </w:r>
    </w:p>
    <w:p>
      <w:pPr>
        <w:pStyle w:val="TextBody"/>
        <w:bidi w:val="0"/>
        <w:jc w:val="center"/>
        <w:rPr>
          <w:b/>
        </w:rPr>
      </w:pPr>
      <w:r>
        <w:rPr>
          <w:b/>
        </w:rPr>
        <w:t>CAUTIONARY NOTE REGARDING FORWARD-LOOKING INFORMATION</w:t>
      </w:r>
    </w:p>
    <w:p>
      <w:pPr>
        <w:pStyle w:val="TextBody"/>
        <w:bidi w:val="0"/>
        <w:jc w:val="both"/>
        <w:rPr/>
      </w:pPr>
      <w:r>
        <w:rPr/>
        <w:t>Certain statements contained in this Prospectus, and in certain documents incorporated by reference 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pStyle w:val="TextBody"/>
        <w:bidi w:val="0"/>
        <w:jc w:val="both"/>
        <w:rPr/>
      </w:pPr>
      <w:r>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i/>
        </w:rPr>
        <w:t>"Risk Factors"</w:t>
      </w:r>
      <w:r>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pStyle w:val="TextBody"/>
        <w:bidi w:val="0"/>
        <w:jc w:val="both"/>
        <w:rPr/>
      </w:pPr>
      <w:r>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67" w:name="page_49"/>
      <w:bookmarkEnd w:id="67"/>
      <w:r>
        <w:rPr/>
        <w:t>Some of the risks which could affect future results and could cause results to differ materially from those expressed in the forward-looking statements contained herein include: the ongoing impact of the novel coronavirus COVID-19; limited operating history; achieving publicly announced milestones; speculative nature of investment risk; early stage of the industry and product development; regulatory risks and uncertainties; "foreign private issuer" status under the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and the Corporation: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and going concern;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and risks relating to research and development objectives and milestones.</w:t>
      </w:r>
    </w:p>
    <w:p>
      <w:pPr>
        <w:pStyle w:val="TextBody"/>
        <w:bidi w:val="0"/>
        <w:jc w:val="both"/>
        <w:rPr/>
      </w:pPr>
      <w:r>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pStyle w:val="TextBody"/>
        <w:bidi w:val="0"/>
        <w:spacing w:before="0" w:after="0"/>
        <w:ind w:left="720" w:right="0" w:hanging="360"/>
        <w:jc w:val="both"/>
        <w:rPr/>
      </w:pPr>
      <w:r>
        <w:rPr/>
        <w:t>• </w:t>
      </w:r>
      <w:r>
        <w:rPr/>
        <w:t>substantial fluctuation of losses from quarter to quarter and year to year due to numerous external risk factors, and anticipation that the Corporation will continue to incur significant losses in the future;</w:t>
      </w:r>
    </w:p>
    <w:p>
      <w:pPr>
        <w:pStyle w:val="TextBody"/>
        <w:bidi w:val="0"/>
        <w:spacing w:before="0" w:after="0"/>
        <w:ind w:left="720" w:right="0" w:hanging="360"/>
        <w:jc w:val="both"/>
        <w:rPr/>
      </w:pPr>
      <w:r>
        <w:rPr/>
        <w:t>• </w:t>
      </w:r>
      <w:r>
        <w:rPr/>
        <w:t>uncertainty as to the Corporation's ability to raise additional funding to support operations;</w:t>
      </w:r>
    </w:p>
    <w:p>
      <w:pPr>
        <w:pStyle w:val="TextBody"/>
        <w:bidi w:val="0"/>
        <w:spacing w:before="0" w:after="0"/>
        <w:ind w:left="720" w:right="0" w:hanging="360"/>
        <w:jc w:val="both"/>
        <w:rPr/>
      </w:pPr>
      <w:r>
        <w:rPr/>
        <w:t>• </w:t>
      </w:r>
      <w:r>
        <w:rPr/>
        <w:t>the Corporation's ability to access additional funding;</w:t>
      </w:r>
    </w:p>
    <w:p>
      <w:pPr>
        <w:pStyle w:val="TextBody"/>
        <w:bidi w:val="0"/>
        <w:spacing w:before="0" w:after="0"/>
        <w:ind w:left="720" w:right="0" w:hanging="360"/>
        <w:jc w:val="both"/>
        <w:rPr/>
      </w:pPr>
      <w:r>
        <w:rPr/>
        <w:t>• </w:t>
      </w:r>
      <w:r>
        <w:rPr/>
        <w:t>the fluctuation of foreign exchange rates;</w:t>
      </w:r>
    </w:p>
    <w:p>
      <w:pPr>
        <w:pStyle w:val="TextBody"/>
        <w:bidi w:val="0"/>
        <w:spacing w:before="0" w:after="0"/>
        <w:ind w:left="720" w:right="0" w:hanging="360"/>
        <w:jc w:val="both"/>
        <w:rPr/>
      </w:pPr>
      <w:r>
        <w:rPr/>
        <w:t>• </w:t>
      </w:r>
      <w:r>
        <w:rPr/>
        <w:t>the risks associated with the development of the Corporation's product candidates which are at early stages of development;</w:t>
      </w:r>
    </w:p>
    <w:p>
      <w:pPr>
        <w:pStyle w:val="TextBody"/>
        <w:bidi w:val="0"/>
        <w:spacing w:before="0" w:after="0"/>
        <w:ind w:left="720" w:right="0" w:hanging="360"/>
        <w:jc w:val="both"/>
        <w:rPr/>
      </w:pPr>
      <w:r>
        <w:rPr/>
        <w:t>• </w:t>
      </w:r>
      <w:r>
        <w:rPr/>
        <w:t>reliance upon industry publications as the Corporation's primary sources for third-party industry data and forecasts;</w:t>
      </w:r>
    </w:p>
    <w:p>
      <w:pPr>
        <w:pStyle w:val="TextBody"/>
        <w:bidi w:val="0"/>
        <w:spacing w:before="0" w:after="0"/>
        <w:ind w:left="720" w:right="0" w:hanging="360"/>
        <w:jc w:val="both"/>
        <w:rPr/>
      </w:pPr>
      <w:r>
        <w:rPr/>
        <w:t>• </w:t>
      </w:r>
      <w:r>
        <w:rPr/>
        <w:t>reliance on third parties to plan, conduct and monitor the Corporation's preclinical studies and clinical trials;</w:t>
      </w:r>
    </w:p>
    <w:p>
      <w:pPr>
        <w:pStyle w:val="TextBody"/>
        <w:bidi w:val="0"/>
        <w:spacing w:before="0" w:after="0"/>
        <w:ind w:left="720" w:right="0" w:hanging="360"/>
        <w:jc w:val="both"/>
        <w:rPr/>
      </w:pPr>
      <w:r>
        <w:rPr/>
        <w:t>• </w:t>
      </w:r>
      <w:r>
        <w:rPr/>
        <w:t>reliance on third party contract manufacturers to deliver quality clinical and preclinical materials;</w:t>
      </w:r>
    </w:p>
    <w:p>
      <w:pPr>
        <w:pStyle w:val="TextBody"/>
        <w:bidi w:val="0"/>
        <w:spacing w:before="0" w:after="0"/>
        <w:ind w:left="720" w:right="0" w:hanging="360"/>
        <w:jc w:val="both"/>
        <w:rPr/>
      </w:pPr>
      <w:r>
        <w:rPr/>
        <w:t>• </w:t>
      </w:r>
      <w:r>
        <w:rPr/>
        <w:t>the Corporation's product candidates may fail to demonstrate safety and efficacy to the satisfaction of regulatory authorities or may not otherwise produce positive results;</w:t>
      </w:r>
    </w:p>
    <w:p>
      <w:pPr>
        <w:pStyle w:val="TextBody"/>
        <w:bidi w:val="0"/>
        <w:spacing w:before="0" w:after="0"/>
        <w:ind w:left="720" w:right="0" w:hanging="360"/>
        <w:jc w:val="both"/>
        <w:rPr/>
      </w:pPr>
      <w:r>
        <w:rPr/>
        <w:t>• </w:t>
      </w:r>
      <w:r>
        <w:rPr/>
        <w:t>risks related to filing investigational new drug applications to commence clinical trials and to continue clinical trials if approved;</w:t>
      </w:r>
    </w:p>
    <w:p>
      <w:pPr>
        <w:pStyle w:val="TextBody"/>
        <w:bidi w:val="0"/>
        <w:spacing w:before="0" w:after="0"/>
        <w:ind w:left="720" w:right="0" w:hanging="360"/>
        <w:jc w:val="both"/>
        <w:rPr/>
      </w:pPr>
      <w:r>
        <w:rPr/>
        <w:t>• </w:t>
      </w:r>
      <w:r>
        <w:rPr/>
        <w:t>the risks of delays and inability to complete clinical trials due to difficulties enrolling patients;</w:t>
      </w:r>
    </w:p>
    <w:p>
      <w:pPr>
        <w:pStyle w:val="TextBody"/>
        <w:bidi w:val="0"/>
        <w:spacing w:before="0" w:after="0"/>
        <w:ind w:left="720" w:right="0" w:hanging="360"/>
        <w:jc w:val="both"/>
        <w:rPr/>
      </w:pPr>
      <w:r>
        <w:rPr/>
        <w:t>• </w:t>
      </w:r>
      <w:r>
        <w:rPr/>
        <w:t>competition from other biotechnology and pharmaceutical companies;</w:t>
      </w:r>
    </w:p>
    <w:p>
      <w:pPr>
        <w:pStyle w:val="TextBody"/>
        <w:bidi w:val="0"/>
        <w:spacing w:before="0" w:after="0"/>
        <w:ind w:left="720" w:right="0" w:hanging="360"/>
        <w:jc w:val="both"/>
        <w:rPr/>
      </w:pPr>
      <w:r>
        <w:rPr/>
        <w:t>• </w:t>
      </w:r>
      <w:r>
        <w:rPr/>
        <w:t>the Corporation's reliance on the capabilities and experience of the Corporation's key executives and scientists and the resulting loss of any of these individuals;</w:t>
      </w:r>
    </w:p>
    <w:p>
      <w:pPr>
        <w:pStyle w:val="TextBody"/>
        <w:bidi w:val="0"/>
        <w:spacing w:before="0" w:after="0"/>
        <w:ind w:left="720" w:right="0" w:hanging="360"/>
        <w:jc w:val="both"/>
        <w:rPr/>
      </w:pPr>
      <w:r>
        <w:rPr/>
        <w:t>• </w:t>
      </w:r>
      <w:r>
        <w:rPr/>
        <w:t>the Corporation's ability to fully realize the benefits of acquisitions;</w:t>
      </w:r>
    </w:p>
    <w:p>
      <w:pPr>
        <w:pStyle w:val="TextBody"/>
        <w:bidi w:val="0"/>
        <w:spacing w:before="0" w:after="0"/>
        <w:ind w:left="720" w:right="0" w:hanging="360"/>
        <w:jc w:val="both"/>
        <w:rPr/>
      </w:pPr>
      <w:r>
        <w:rPr/>
        <w:t>• </w:t>
      </w:r>
      <w:r>
        <w:rPr/>
        <w:t>the Corporation's ability to adequately protect the Corporation's intellectual property and trade secrets;</w:t>
      </w:r>
    </w:p>
    <w:p>
      <w:pPr>
        <w:pStyle w:val="TextBody"/>
        <w:bidi w:val="0"/>
        <w:spacing w:before="0" w:after="283"/>
        <w:ind w:left="720" w:right="0" w:hanging="360"/>
        <w:jc w:val="both"/>
        <w:rPr/>
      </w:pPr>
      <w:r>
        <w:rPr/>
        <w:t>• </w:t>
      </w:r>
      <w:r>
        <w:rPr/>
        <w:t>the risk of patent-related or other litigation;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720" w:right="0" w:hanging="360"/>
        <w:jc w:val="both"/>
        <w:rPr/>
      </w:pPr>
      <w:bookmarkStart w:id="68" w:name="page_50"/>
      <w:bookmarkEnd w:id="68"/>
      <w:r>
        <w:rPr/>
        <w:t>• </w:t>
      </w:r>
      <w:r>
        <w:rPr/>
        <w:t>the risk of unforeseen changes to the laws or regulations in the United States, Canada, the United Kingdom, the Netherlands, Ireland and other jurisdictions in which the Corporation operates.</w:t>
      </w:r>
    </w:p>
    <w:p>
      <w:pPr>
        <w:pStyle w:val="TextBody"/>
        <w:bidi w:val="0"/>
        <w:jc w:val="both"/>
        <w:rPr/>
      </w:pPr>
      <w:r>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pStyle w:val="TextBody"/>
        <w:bidi w:val="0"/>
        <w:jc w:val="both"/>
        <w:rPr/>
      </w:pPr>
      <w:r>
        <w:rPr/>
        <w:t xml:space="preserve">In addition to the factors set out above and those identified under the heading </w:t>
      </w:r>
      <w:r>
        <w:rPr>
          <w:i/>
        </w:rPr>
        <w:t>"Risk Factors"</w:t>
      </w:r>
      <w:r>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pStyle w:val="TextBody"/>
        <w:bidi w:val="0"/>
        <w:jc w:val="both"/>
        <w:rPr/>
      </w:pPr>
      <w:r>
        <w:rPr>
          <w:b/>
        </w:rPr>
        <w:t>Many of these factors are beyond the Corporation</w:t>
      </w:r>
      <w:r>
        <w:rPr/>
        <w:t>'</w:t>
      </w:r>
      <w:r>
        <w:rPr>
          <w:b/>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t>'</w:t>
      </w:r>
      <w:r>
        <w:rPr>
          <w:b/>
        </w:rPr>
        <w:t>s behalf, are expressly qualified in their entirety by the cautionary statements. Except as required by law, the Corporation undertakes no obligation to update any forward-looking statement</w:t>
      </w:r>
      <w:r>
        <w:rPr/>
        <w:t>.</w:t>
      </w:r>
    </w:p>
    <w:p>
      <w:pPr>
        <w:pStyle w:val="TextBody"/>
        <w:bidi w:val="0"/>
        <w:jc w:val="both"/>
        <w:rPr/>
      </w:pPr>
      <w:r>
        <w:rPr>
          <w:b/>
        </w:rPr>
        <w:t xml:space="preserve">The forward-looking statements contained in this Prospectus and the documents incorporated by reference herein are expressly qualified in their entirety by the foregoing cautionary statement. </w:t>
      </w:r>
      <w:r>
        <w:rPr/>
        <w:t>Investors should read this entire 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pStyle w:val="TextBody"/>
        <w:bidi w:val="0"/>
        <w:jc w:val="center"/>
        <w:rPr>
          <w:b/>
        </w:rPr>
      </w:pPr>
      <w:r>
        <w:rPr>
          <w:b/>
        </w:rPr>
        <w:t>TRADEMARKS AND SERVICE MARKS</w:t>
      </w:r>
    </w:p>
    <w:p>
      <w:pPr>
        <w:pStyle w:val="TextBody"/>
        <w:bidi w:val="0"/>
        <w:jc w:val="both"/>
        <w:rPr/>
      </w:pPr>
      <w:r>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pStyle w:val="TextBody"/>
        <w:bidi w:val="0"/>
        <w:jc w:val="center"/>
        <w:rPr>
          <w:b/>
        </w:rPr>
      </w:pPr>
      <w:r>
        <w:rPr>
          <w:b/>
        </w:rPr>
        <w:t>MARKETING MATERIALS</w:t>
      </w:r>
    </w:p>
    <w:p>
      <w:pPr>
        <w:pStyle w:val="TextBody"/>
        <w:bidi w:val="0"/>
        <w:jc w:val="both"/>
        <w:rPr/>
      </w:pPr>
      <w:r>
        <w:rPr/>
        <w:t xml:space="preserve">Any template version of marketing materials (as such terms are defined in National Instrument 41-101 - </w:t>
      </w:r>
      <w:r>
        <w:rPr>
          <w:i/>
        </w:rPr>
        <w:t>General Prospectus Requirements</w:t>
      </w:r>
      <w:r>
        <w:rPr/>
        <w:t xml:space="preserve">) that are utilized in connection with the distribution of Securities will be filed under the Corporation's profile on </w:t>
      </w:r>
      <w:r>
        <w:rPr>
          <w:u w:val="single"/>
        </w:rPr>
        <w:t>www.sedarplus.ca</w:t>
      </w:r>
      <w:r>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69" w:name="page_51"/>
      <w:bookmarkEnd w:id="69"/>
      <w:r>
        <w:rPr>
          <w:b/>
        </w:rPr>
        <w:t>MARKET AND INDUSTRY DATA</w:t>
      </w:r>
    </w:p>
    <w:p>
      <w:pPr>
        <w:pStyle w:val="TextBody"/>
        <w:bidi w:val="0"/>
        <w:jc w:val="both"/>
        <w:rPr/>
      </w:pPr>
      <w:r>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i/>
        </w:rPr>
        <w:t>Cautionary Note Regarding Forward-Looking Information"</w:t>
      </w:r>
      <w:r>
        <w:rPr/>
        <w:t xml:space="preserve"> and </w:t>
      </w:r>
      <w:r>
        <w:rPr>
          <w:i/>
        </w:rPr>
        <w:t>"Risk Factors"</w:t>
      </w:r>
      <w:r>
        <w:rPr/>
        <w:t xml:space="preserve"> in this Prospectus.</w:t>
      </w:r>
    </w:p>
    <w:p>
      <w:pPr>
        <w:pStyle w:val="TextBody"/>
        <w:bidi w:val="0"/>
        <w:jc w:val="both"/>
        <w:rPr/>
      </w:pPr>
      <w:r>
        <w:rPr/>
        <w:t>For the avoidance of doubt, nothing stated in this paragraph operates to relieve the Corporation or the underwriters/agents from liability for any misrepresentation in this Prospectus or under applicable Canadian securities laws.</w:t>
      </w:r>
    </w:p>
    <w:p>
      <w:pPr>
        <w:pStyle w:val="TextBody"/>
        <w:bidi w:val="0"/>
        <w:jc w:val="center"/>
        <w:rPr>
          <w:b/>
        </w:rPr>
      </w:pPr>
      <w:r>
        <w:rPr>
          <w:b/>
        </w:rPr>
        <w:t>DOCUMENTS INCORPORATED BY REFERENCE</w:t>
      </w:r>
    </w:p>
    <w:p>
      <w:pPr>
        <w:pStyle w:val="TextBody"/>
        <w:bidi w:val="0"/>
        <w:jc w:val="both"/>
        <w:rPr/>
      </w:pPr>
      <w:r>
        <w:rPr>
          <w:b/>
        </w:rPr>
        <w:t>Information has been incorporated by reference in this Prospectus from documents filed with securities commissions or similar authorities in Canada.</w:t>
      </w:r>
      <w:r>
        <w:rPr/>
        <w:t xml:space="preserve"> Copies of the documents incorporated herein by reference may be obtained on request without charge from the Secretary of the Corporation at 100 King Street West, Suite 5600, Toronto, Ontario M5X 1C9, telephone (908) 764-8385, and are also available electronically on SEDAR+.</w:t>
      </w:r>
    </w:p>
    <w:p>
      <w:pPr>
        <w:pStyle w:val="TextBody"/>
        <w:bidi w:val="0"/>
        <w:jc w:val="both"/>
        <w:rPr/>
      </w:pPr>
      <w:r>
        <w:rPr/>
        <w:t>The following documents of the Corporation filed with the securities commissions or similar authorities in Canada are incorporated by reference in this Prospectus:</w:t>
      </w:r>
    </w:p>
    <w:p>
      <w:pPr>
        <w:pStyle w:val="TextBody"/>
        <w:bidi w:val="0"/>
        <w:ind w:left="720" w:right="0" w:hanging="436"/>
        <w:jc w:val="both"/>
        <w:rPr/>
      </w:pPr>
      <w:r>
        <w:rPr/>
        <w:t>1. annual information form of the Corporation dated June 27, 2023 for the year ended March 31, 2023 (the “</w:t>
      </w:r>
      <w:r>
        <w:rPr>
          <w:b/>
        </w:rPr>
        <w:t>Annual Information Form</w:t>
      </w:r>
      <w:r>
        <w:rPr/>
        <w:t>”);</w:t>
      </w:r>
    </w:p>
    <w:p>
      <w:pPr>
        <w:pStyle w:val="TextBody"/>
        <w:bidi w:val="0"/>
        <w:ind w:left="720" w:right="0" w:hanging="436"/>
        <w:jc w:val="both"/>
        <w:rPr/>
      </w:pPr>
      <w:r>
        <w:rPr/>
        <w:t>2. the audited consolidated financial statements of the Corporation and the notes thereto as at and for the fiscal year ended March 31, 2023, together with the auditor’s report thereon;</w:t>
      </w:r>
    </w:p>
    <w:p>
      <w:pPr>
        <w:pStyle w:val="TextBody"/>
        <w:bidi w:val="0"/>
        <w:ind w:left="720" w:right="0" w:hanging="436"/>
        <w:jc w:val="both"/>
        <w:rPr/>
      </w:pPr>
      <w:r>
        <w:rPr/>
        <w:t>3. management’s discussion and analysis of the Corporation for the year ended March 31, 2023;</w:t>
      </w:r>
    </w:p>
    <w:p>
      <w:pPr>
        <w:pStyle w:val="TextBody"/>
        <w:bidi w:val="0"/>
        <w:ind w:left="720" w:right="0" w:hanging="436"/>
        <w:jc w:val="both"/>
        <w:rPr/>
      </w:pPr>
      <w:r>
        <w:rPr/>
        <w:t>4. the unaudited interim condensed consolidated financial statements of the Corporation and the notes thereto for the three months ended June 30, 2023 (the “</w:t>
      </w:r>
      <w:r>
        <w:rPr>
          <w:b/>
        </w:rPr>
        <w:t>Interim Financial Statements</w:t>
      </w:r>
      <w:r>
        <w:rPr/>
        <w:t>”);</w:t>
      </w:r>
    </w:p>
    <w:p>
      <w:pPr>
        <w:pStyle w:val="TextBody"/>
        <w:bidi w:val="0"/>
        <w:ind w:left="720" w:right="0" w:hanging="436"/>
        <w:jc w:val="both"/>
        <w:rPr/>
      </w:pPr>
      <w:r>
        <w:rPr/>
        <w:t>5. management’s discussion and analysis of the Corporation for the three months ended June 30, 2023 (the “</w:t>
      </w:r>
      <w:r>
        <w:rPr>
          <w:b/>
        </w:rPr>
        <w:t>Interim MD&amp;A</w:t>
      </w:r>
      <w:r>
        <w:rPr/>
        <w:t>”);</w:t>
      </w:r>
    </w:p>
    <w:p>
      <w:pPr>
        <w:pStyle w:val="TextBody"/>
        <w:bidi w:val="0"/>
        <w:ind w:left="720" w:right="0" w:hanging="436"/>
        <w:jc w:val="both"/>
        <w:rPr/>
      </w:pPr>
      <w:r>
        <w:rPr/>
        <w:t>6. management information circular of the Corporation dated July 13, 2022 relating to an annual meeting of shareholders of the Corporation held on August 15, 2022;</w:t>
      </w:r>
    </w:p>
    <w:p>
      <w:pPr>
        <w:pStyle w:val="TextBody"/>
        <w:bidi w:val="0"/>
        <w:ind w:left="720" w:right="0" w:hanging="436"/>
        <w:jc w:val="both"/>
        <w:rPr/>
      </w:pPr>
      <w:r>
        <w:rPr/>
        <w:t>7. material change report dated May 31, 2023 relating to the sale of up to US$30,000,000 of Common Shares to Lincoln Park Capital Fund, LLC (the “</w:t>
      </w:r>
      <w:r>
        <w:rPr>
          <w:b/>
        </w:rPr>
        <w:t>Investor</w:t>
      </w:r>
      <w:r>
        <w:rPr/>
        <w:t>”), upon the terms and subject to the conditions contained in the purchase agreement dated May 30, 2023 (the “</w:t>
      </w:r>
      <w:r>
        <w:rPr>
          <w:b/>
        </w:rPr>
        <w:t>Purchase Agreement</w:t>
      </w:r>
      <w:r>
        <w:rPr/>
        <w:t>”), and made pursuant to and qualified by a prospectus supplement dated May 30, 2023 (the “</w:t>
      </w:r>
      <w:r>
        <w:rPr>
          <w:b/>
        </w:rPr>
        <w:t>May 2023 Prospectus Supplement</w:t>
      </w:r>
      <w:r>
        <w:rPr/>
        <w:t>”), to the Corporation’s short form base shelf prospectus dated July 5, 2021 (the “</w:t>
      </w:r>
      <w:r>
        <w:rPr>
          <w:b/>
        </w:rPr>
        <w:t>2021 Base Shelf Prospectus</w:t>
      </w:r>
      <w:r>
        <w:rPr/>
        <w:t>”); and</w:t>
      </w:r>
    </w:p>
    <w:p>
      <w:pPr>
        <w:pStyle w:val="TextBody"/>
        <w:bidi w:val="0"/>
        <w:ind w:left="720" w:right="0" w:hanging="436"/>
        <w:jc w:val="both"/>
        <w:rPr/>
      </w:pPr>
      <w:r>
        <w:rPr/>
        <w:t>8. material change report dated August 8, 2023 relating to the public offering of 24,264,706 units of the Corporation (the “</w:t>
      </w:r>
      <w:r>
        <w:rPr>
          <w:b/>
        </w:rPr>
        <w:t>Units</w:t>
      </w:r>
      <w:r>
        <w:rPr/>
        <w:t>”) at a price of US$0.34 per Unit for gross proceeds of US$8,250,000 pursuant to a prospectus supplement dated August 1, 2023 to the 2021 Base Shelf Prospectus (the “</w:t>
      </w:r>
      <w:r>
        <w:rPr>
          <w:b/>
        </w:rPr>
        <w:t>Offering</w:t>
      </w:r>
      <w:r>
        <w:rPr/>
        <w:t>”).</w:t>
      </w:r>
    </w:p>
    <w:p>
      <w:pPr>
        <w:pStyle w:val="TextBody"/>
        <w:bidi w:val="0"/>
        <w:jc w:val="both"/>
        <w:rPr/>
      </w:pPr>
      <w:r>
        <w:rPr/>
        <w:t xml:space="preserve">Any document of the type referred to in Item 11.1 of Form 44-101F1 - </w:t>
      </w:r>
      <w:r>
        <w:rPr>
          <w:i/>
        </w:rPr>
        <w:t xml:space="preserve">Short Form Prospectus </w:t>
      </w:r>
      <w:r>
        <w:rPr/>
        <w:t>filed by the Corporation with a securities commission or similar regulatory authority in Canada after the date of this Prospectus and prior to 25 months from the date hereof shall be deemed to be incorporated by reference in this Prospectus.</w:t>
      </w:r>
    </w:p>
    <w:p>
      <w:pPr>
        <w:pStyle w:val="TextBody"/>
        <w:bidi w:val="0"/>
        <w:jc w:val="both"/>
        <w:rPr/>
      </w:pPr>
      <w:r>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on Form F-10 (the "</w:t>
      </w:r>
      <w:r>
        <w:rPr>
          <w:b/>
        </w:rPr>
        <w:t>Registration Statement</w:t>
      </w:r>
      <w:r>
        <w:rPr/>
        <w:t>") of which this Prospectus forms a part. In addition, any other report on Form 6-K and the exhibits thereto filed or furnished by the Corporation with the SEC, and any other reports filed, under the United States Securities Exchange Act of 1934, as amended (the "</w:t>
      </w:r>
      <w:r>
        <w:rPr>
          <w:b/>
        </w:rPr>
        <w:t>Exchange Act</w:t>
      </w:r>
      <w:r>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70" w:name="page_52"/>
      <w:bookmarkEnd w:id="70"/>
      <w:r>
        <w:rPr/>
        <w:t xml:space="preserve">Copies of the documents incorporated by reference herein will be available electronically on the Corporation's SEDAR+ profile, which can be accessed at </w:t>
      </w:r>
      <w:r>
        <w:rPr>
          <w:color w:val="0000FF"/>
          <w:u w:val="single"/>
        </w:rPr>
        <w:t>www.sedarplus.ca</w:t>
      </w:r>
      <w:r>
        <w:rPr/>
        <w:t xml:space="preserve">, and from the Corporation's EDGAR profile at </w:t>
      </w:r>
      <w:r>
        <w:rPr>
          <w:color w:val="0000FF"/>
          <w:u w:val="single"/>
        </w:rPr>
        <w:t>www.sec.gov</w:t>
      </w:r>
      <w:r>
        <w:rPr/>
        <w:t>. The Corporation's filings through SEDAR+ and EDGAR are not incorporated by reference in the Prospectus except as specifically set out herein.</w:t>
      </w:r>
    </w:p>
    <w:p>
      <w:pPr>
        <w:pStyle w:val="TextBody"/>
        <w:bidi w:val="0"/>
        <w:jc w:val="both"/>
        <w:rPr>
          <w:b/>
        </w:rPr>
      </w:pPr>
      <w:r>
        <w:rPr>
          <w:b/>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pStyle w:val="TextBody"/>
        <w:bidi w:val="0"/>
        <w:jc w:val="both"/>
        <w:rPr/>
      </w:pPr>
      <w:r>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pStyle w:val="TextBody"/>
        <w:bidi w:val="0"/>
        <w:jc w:val="both"/>
        <w:rPr>
          <w:b/>
        </w:rPr>
      </w:pPr>
      <w:r>
        <w:rPr>
          <w:b/>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pStyle w:val="TextBody"/>
        <w:bidi w:val="0"/>
        <w:jc w:val="center"/>
        <w:rPr>
          <w:b/>
        </w:rPr>
      </w:pPr>
      <w:r>
        <w:rPr>
          <w:b/>
        </w:rPr>
        <w:t>DOCUMENTS FILED AS PART OF THE REGISTRATION STATEMENT</w:t>
      </w:r>
    </w:p>
    <w:p>
      <w:pPr>
        <w:pStyle w:val="TextBody"/>
        <w:bidi w:val="0"/>
        <w:jc w:val="both"/>
        <w:rPr/>
      </w:pPr>
      <w:r>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pStyle w:val="TextBody"/>
        <w:bidi w:val="0"/>
        <w:jc w:val="center"/>
        <w:rPr>
          <w:b/>
        </w:rPr>
      </w:pPr>
      <w:r>
        <w:rPr>
          <w:b/>
        </w:rPr>
        <w:t>THE CORPORATION</w:t>
      </w:r>
    </w:p>
    <w:p>
      <w:pPr>
        <w:pStyle w:val="TextBody"/>
        <w:bidi w:val="0"/>
        <w:jc w:val="both"/>
        <w:rPr>
          <w:i/>
        </w:rPr>
      </w:pPr>
      <w:r>
        <w:rPr>
          <w:i/>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pStyle w:val="TextBody"/>
        <w:bidi w:val="0"/>
        <w:jc w:val="both"/>
        <w:rPr>
          <w:b/>
        </w:rPr>
      </w:pPr>
      <w:r>
        <w:rPr>
          <w:b/>
        </w:rPr>
        <w:t>Summary of the Business</w:t>
      </w:r>
    </w:p>
    <w:p>
      <w:pPr>
        <w:pStyle w:val="TextBody"/>
        <w:bidi w:val="0"/>
        <w:jc w:val="both"/>
        <w:rPr/>
      </w:pPr>
      <w:r>
        <w:rPr/>
        <w:t>The Corporation is a clinical-stage biopharmaceutical company on a mission to create safe and effective psychedelic-based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position w:val="8"/>
          <w:sz w:val="19"/>
        </w:rPr>
        <w:t>1</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71" w:name="page_53"/>
      <w:bookmarkEnd w:id="71"/>
      <w:r>
        <w:rPr/>
        <w:t>The Corporation's research and development work focuses on a three-pillar strategy that leverages the Corporation's core competencies in preclinical innovation and clinical development. This strategy supports the creation of intellectual property ("</w:t>
      </w:r>
      <w:r>
        <w:rPr>
          <w:b/>
        </w:rPr>
        <w:t>IP"</w:t>
      </w:r>
      <w:r>
        <w:rPr/>
        <w:t>) focused on developing the Corporation's platform technology, the progression of clinical development programs including CYB003, a deuterated psilocybin analog, CYB004, a deuterated version of N, N-dimethyltryptamine ("</w:t>
      </w:r>
      <w:r>
        <w:rPr>
          <w:b/>
        </w:rPr>
        <w:t>DMT</w:t>
      </w:r>
      <w:r>
        <w:rPr/>
        <w:t>"), CYB005, phenethylamine derivatives, and an expansive list of preclinical molecules to facilitate future drug development opportunities.</w:t>
      </w:r>
    </w:p>
    <w:p>
      <w:pPr>
        <w:pStyle w:val="TextBody"/>
        <w:bidi w:val="0"/>
        <w:jc w:val="both"/>
        <w:rPr/>
      </w:pPr>
      <w:r>
        <w:rPr/>
        <w:t> </w:t>
      </w:r>
      <w:r>
        <w:rPr/>
        <w:t>The Corporation currently has more than 50 pending patent applications across six patent families and spanning seven research programs through a combination of internal filings and external licensing agreements.</w:t>
      </w:r>
    </w:p>
    <w:p>
      <w:pPr>
        <w:pStyle w:val="TextBody"/>
        <w:bidi w:val="0"/>
        <w:jc w:val="both"/>
        <w:rPr>
          <w:b/>
          <w:i/>
        </w:rPr>
      </w:pPr>
      <w:r>
        <w:rPr>
          <w:b/>
          <w:i/>
        </w:rPr>
        <w:t>Advancement of Mental Healthcare</w:t>
      </w:r>
    </w:p>
    <w:p>
      <w:pPr>
        <w:pStyle w:val="TextBody"/>
        <w:bidi w:val="0"/>
        <w:jc w:val="both"/>
        <w:rPr/>
      </w:pPr>
      <w:r>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pStyle w:val="TextBody"/>
        <w:bidi w:val="0"/>
        <w:jc w:val="both"/>
        <w:rPr/>
      </w:pPr>
      <w:r>
        <w:rPr/>
        <w:t>Across its extensive research and development programs, the Corporation is evaluating a wide array of novel, synthetic psychedelic active pharmaceutical ingredients intended to be delivered through innovative drug delivery systems including via inhalation, via intravenous  ("</w:t>
      </w:r>
      <w:r>
        <w:rPr>
          <w:b/>
        </w:rPr>
        <w:t>IV</w:t>
      </w:r>
      <w:r>
        <w:rPr/>
        <w:t>"), and intramuscular, or subcutaneous ("</w:t>
      </w:r>
      <w:r>
        <w:rPr>
          <w:b/>
        </w:rPr>
        <w:t>SC</w:t>
      </w:r>
      <w:r>
        <w:rPr/>
        <w:t>") administration.</w:t>
      </w:r>
      <w:r>
        <w:rPr>
          <w:position w:val="8"/>
          <w:sz w:val="19"/>
        </w:rPr>
        <w:t>2</w:t>
      </w:r>
    </w:p>
    <w:p>
      <w:pPr>
        <w:pStyle w:val="TextBody"/>
        <w:bidi w:val="0"/>
        <w:jc w:val="both"/>
        <w:rPr/>
      </w:pPr>
      <w:r>
        <w:rPr/>
        <w:t>The Corporation intends to apply for regulatory approval for therapies targeting indications such as major depressive disorder, alcohol use disorder, generalized anxiety disorder and potentially other various mental health conditions</w:t>
      </w:r>
      <w:r>
        <w:rPr>
          <w:position w:val="8"/>
          <w:sz w:val="19"/>
        </w:rPr>
        <w:t>3</w:t>
      </w:r>
      <w:r>
        <w:rPr/>
        <w:t>. The Corporation is also developing compounds that may have the potential to address neuroinflammation</w:t>
      </w:r>
      <w:r>
        <w:rPr>
          <w:position w:val="8"/>
          <w:sz w:val="19"/>
        </w:rPr>
        <w:t>4</w:t>
      </w:r>
      <w:r>
        <w:rPr/>
        <w:t>, central nervous system disorders, and psychiatric disorders</w:t>
      </w:r>
      <w:r>
        <w:rPr>
          <w:position w:val="8"/>
          <w:sz w:val="19"/>
        </w:rPr>
        <w:t>5</w:t>
      </w:r>
      <w:r>
        <w:rPr/>
        <w:t>.</w:t>
      </w:r>
    </w:p>
    <w:p>
      <w:pPr>
        <w:pStyle w:val="TextBody"/>
        <w:bidi w:val="0"/>
        <w:jc w:val="both"/>
        <w:rPr/>
      </w:pPr>
      <w:r>
        <w:rPr/>
        <w:t>For additional information in respect of the Corporation and its operation, please see the Corporation’s Annual Information Form and Interim MD&amp;A incorporated by reference into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72" w:name="page_54"/>
      <w:bookmarkEnd w:id="72"/>
      <w:r>
        <w:rPr>
          <w:b/>
        </w:rPr>
        <w:t>Inter-Corporate Relationships</w:t>
      </w:r>
    </w:p>
    <w:p>
      <w:pPr>
        <w:pStyle w:val="TextBody"/>
        <w:bidi w:val="0"/>
        <w:jc w:val="both"/>
        <w:rPr/>
      </w:pPr>
      <w:r>
        <w:rPr/>
        <w:t>As at the date of this Prospectus, the Corporation's corporate structure includes the following material wholly-owned subsidiaries: </w:t>
      </w:r>
    </w:p>
    <w:p>
      <w:pPr>
        <w:pStyle w:val="TextBody"/>
        <w:bidi w:val="0"/>
        <w:jc w:val="center"/>
        <w:rPr/>
      </w:pPr>
      <w:r>
        <w:rPr/>
        <w:drawing>
          <wp:inline distT="0" distB="0" distL="0" distR="0">
            <wp:extent cx="3324225" cy="3505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324225" cy="3505200"/>
                    </a:xfrm>
                    <a:prstGeom prst="rect">
                      <a:avLst/>
                    </a:prstGeom>
                  </pic:spPr>
                </pic:pic>
              </a:graphicData>
            </a:graphic>
          </wp:inline>
        </w:drawing>
      </w:r>
    </w:p>
    <w:p>
      <w:pPr>
        <w:pStyle w:val="TextBody"/>
        <w:bidi w:val="0"/>
        <w:ind w:left="993" w:right="0" w:hanging="0"/>
        <w:jc w:val="both"/>
        <w:rPr>
          <w:b/>
        </w:rPr>
      </w:pPr>
      <w:r>
        <w:rPr>
          <w:b/>
        </w:rPr>
        <w:t xml:space="preserve">Note: </w:t>
      </w:r>
    </w:p>
    <w:p>
      <w:pPr>
        <w:pStyle w:val="TextBody"/>
        <w:bidi w:val="0"/>
        <w:ind w:left="1560" w:right="1200" w:hanging="0"/>
        <w:jc w:val="both"/>
        <w:rPr/>
      </w:pPr>
      <w:r>
        <w:rPr/>
        <w:t>(1) The shareholders of Adelia Therapeutics Inc. ("</w:t>
      </w:r>
      <w:r>
        <w:rPr>
          <w:b/>
        </w:rPr>
        <w:t>Adelia</w:t>
      </w:r>
      <w:r>
        <w:rPr/>
        <w:t>") hold certain non-voting securities of Cybin U.S. issued in connection with the acquisition of Adelia on December 14, 2020 (the "</w:t>
      </w:r>
      <w:r>
        <w:rPr>
          <w:b/>
        </w:rPr>
        <w:t>Adelia Transaction</w:t>
      </w:r>
      <w:r>
        <w:rPr/>
        <w:t>"). For additional information in respect of the Adelia Transaction, please see the Annual Information Form incorporated by reference in this Prospectus Supplement.</w:t>
      </w:r>
    </w:p>
    <w:p>
      <w:pPr>
        <w:pStyle w:val="TextBody"/>
        <w:bidi w:val="0"/>
        <w:jc w:val="both"/>
        <w:rPr>
          <w:b/>
        </w:rPr>
      </w:pPr>
      <w:r>
        <w:rPr>
          <w:b/>
        </w:rPr>
        <w:t>Select Recent Developments</w:t>
      </w:r>
    </w:p>
    <w:p>
      <w:pPr>
        <w:pStyle w:val="TextBody"/>
        <w:bidi w:val="0"/>
        <w:jc w:val="both"/>
        <w:rPr/>
      </w:pPr>
      <w:r>
        <w:rPr/>
        <w:t>Other than as set forth below and generally in this Prospectus or the documents incorporated by reference herein, there have been no material developments in the business of the Corporation since August 14, 2023, the date of the Interim Financial Statements and Interim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73" w:name="page_55"/>
      <w:bookmarkEnd w:id="73"/>
      <w:r>
        <w:rPr>
          <w:b/>
        </w:rPr>
        <w:t>REGULATORY OVERVIEW</w:t>
      </w:r>
    </w:p>
    <w:p>
      <w:pPr>
        <w:pStyle w:val="TextBody"/>
        <w:bidi w:val="0"/>
        <w:jc w:val="both"/>
        <w:rPr/>
      </w:pPr>
      <w:r>
        <w:rPr/>
        <w:t>A summary of the applicable regulatory framework for the Corporation's various business segments and proposed business activity are set forth below.</w:t>
      </w:r>
    </w:p>
    <w:p>
      <w:pPr>
        <w:pStyle w:val="TextBody"/>
        <w:bidi w:val="0"/>
        <w:jc w:val="both"/>
        <w:rPr>
          <w:b/>
        </w:rPr>
      </w:pPr>
      <w:r>
        <w:rPr>
          <w:b/>
        </w:rPr>
        <w:t>Canada</w:t>
      </w:r>
    </w:p>
    <w:p>
      <w:pPr>
        <w:pStyle w:val="TextBody"/>
        <w:bidi w:val="0"/>
        <w:jc w:val="both"/>
        <w:rPr/>
      </w:pPr>
      <w:r>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pStyle w:val="TextBody"/>
        <w:bidi w:val="0"/>
        <w:jc w:val="both"/>
        <w:rPr/>
      </w:pPr>
      <w:r>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b/>
        </w:rPr>
        <w:t>Section 56 Exemption</w:t>
      </w:r>
      <w:r>
        <w:rPr/>
        <w:t>") is required. This exemption allows the holder to possess and use the controlled substance without being subject to the restrictions set out in the CDSA.</w:t>
      </w:r>
    </w:p>
    <w:p>
      <w:pPr>
        <w:pStyle w:val="TextBody"/>
        <w:bidi w:val="0"/>
        <w:jc w:val="both"/>
        <w:rPr/>
      </w:pPr>
      <w:r>
        <w:rPr/>
        <w:t>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pStyle w:val="TextBody"/>
        <w:bidi w:val="0"/>
        <w:jc w:val="both"/>
        <w:rPr/>
      </w:pPr>
      <w:r>
        <w:rPr/>
        <w:t>Health Canada's Special Access Program ("</w:t>
      </w:r>
      <w:r>
        <w:rPr>
          <w:b/>
        </w:rPr>
        <w:t>SAP</w:t>
      </w:r>
      <w:r>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Corporation has not applied for access under the SAP.</w:t>
      </w:r>
    </w:p>
    <w:p>
      <w:pPr>
        <w:pStyle w:val="TextBody"/>
        <w:bidi w:val="0"/>
        <w:jc w:val="both"/>
        <w:rPr/>
      </w:pPr>
      <w:r>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License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license by Health Canada, an entity with a Dealer's License may produce, assemble, sell, provide, transport, send, deliver, import or export a restricted drug (as listed in Part J in the Food and Drugs Regulations - which includes psilocybin and psilocin) (see s. J.01.009 (1) of the Food and Drug Regulations).</w:t>
      </w:r>
    </w:p>
    <w:p>
      <w:pPr>
        <w:pStyle w:val="TextBody"/>
        <w:bidi w:val="0"/>
        <w:jc w:val="both"/>
        <w:rPr/>
      </w:pPr>
      <w:r>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pStyle w:val="TextBody"/>
        <w:bidi w:val="0"/>
        <w:jc w:val="both"/>
        <w:rPr/>
      </w:pPr>
      <w:r>
        <w:rPr/>
        <w:t>Please see "</w:t>
      </w:r>
      <w:r>
        <w:rPr>
          <w:i/>
        </w:rPr>
        <w:t>Description of the Business - Research and Development"</w:t>
      </w:r>
      <w:r>
        <w:rPr/>
        <w:t xml:space="preserve"> in the Annual Information Form for additional information concerning the regulation applicable to the process required before prescription drug product candidates may be marketed in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74" w:name="page_56"/>
      <w:bookmarkEnd w:id="74"/>
      <w:r>
        <w:rPr>
          <w:b/>
        </w:rPr>
        <w:t>United States</w:t>
      </w:r>
    </w:p>
    <w:p>
      <w:pPr>
        <w:pStyle w:val="TextBody"/>
        <w:bidi w:val="0"/>
        <w:jc w:val="both"/>
        <w:rPr/>
      </w:pPr>
      <w:r>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 (“</w:t>
      </w:r>
      <w:r>
        <w:rPr>
          <w:b/>
        </w:rPr>
        <w:t>IND</w:t>
      </w:r>
      <w:r>
        <w:rPr/>
        <w:t>”) related to its Deuterated Psilocybin Analog Program upon completion of its pre-clinical studies and CMC development.</w:t>
      </w:r>
      <w:r>
        <w:rPr>
          <w:position w:val="8"/>
          <w:sz w:val="19"/>
        </w:rPr>
        <w:t>6</w:t>
      </w:r>
      <w:r>
        <w:rPr/>
        <w:t xml:space="preserve"> Anticipated timelines related to regulatory filings are based on reasonable assumptions informed by current knowledge and information available to the Corporation.</w:t>
      </w:r>
    </w:p>
    <w:p>
      <w:pPr>
        <w:pStyle w:val="TextBody"/>
        <w:bidi w:val="0"/>
        <w:jc w:val="both"/>
        <w:rPr/>
      </w:pPr>
      <w:r>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b/>
        </w:rPr>
        <w:t>DEA</w:t>
      </w:r>
      <w:r>
        <w:rPr/>
        <w:t>")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pStyle w:val="TextBody"/>
        <w:bidi w:val="0"/>
        <w:jc w:val="both"/>
        <w:rPr/>
      </w:pPr>
      <w:r>
        <w:rPr/>
        <w:t xml:space="preserve">See </w:t>
      </w:r>
      <w:r>
        <w:rPr>
          <w:i/>
        </w:rPr>
        <w:t>"Description of the Business - Research and Development"</w:t>
      </w:r>
      <w:r>
        <w:rPr/>
        <w:t xml:space="preserve"> in the Annual Information Form for additional information concerning the regulation applicable to the process required before prescription drug product candidates may be marketed in the United States.</w:t>
      </w:r>
    </w:p>
    <w:p>
      <w:pPr>
        <w:pStyle w:val="TextBody"/>
        <w:bidi w:val="0"/>
        <w:jc w:val="both"/>
        <w:rPr>
          <w:b/>
        </w:rPr>
      </w:pPr>
      <w:r>
        <w:rPr>
          <w:b/>
        </w:rPr>
        <w:t>Europe (Netherlands)</w:t>
      </w:r>
    </w:p>
    <w:p>
      <w:pPr>
        <w:pStyle w:val="TextBody"/>
        <w:bidi w:val="0"/>
        <w:jc w:val="both"/>
        <w:rPr/>
      </w:pPr>
      <w:r>
        <w:rPr/>
        <w:t>The International Narcotics Control Board ("</w:t>
      </w:r>
      <w:r>
        <w:rPr>
          <w:b/>
        </w:rPr>
        <w:t>INCB</w:t>
      </w:r>
      <w:r>
        <w:rPr/>
        <w:t>"), a United Nations ("</w:t>
      </w:r>
      <w:r>
        <w:rPr>
          <w:b/>
        </w:rPr>
        <w:t>UN</w:t>
      </w:r>
      <w:r>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pStyle w:val="TextBody"/>
        <w:bidi w:val="0"/>
        <w:jc w:val="both"/>
        <w:rPr/>
      </w:pPr>
      <w:r>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pStyle w:val="TextBody"/>
        <w:bidi w:val="0"/>
        <w:jc w:val="both"/>
        <w:rPr/>
      </w:pPr>
      <w:r>
        <w:rPr>
          <w:sz w:val="20"/>
        </w:rPr>
        <w:t>_____________________________________________</w:t>
        <w:br/>
      </w:r>
      <w:r>
        <w:rPr>
          <w:position w:val="8"/>
          <w:sz w:val="19"/>
        </w:rPr>
        <w:t xml:space="preserve">6 </w:t>
      </w:r>
      <w:r>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Corporation.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See “</w:t>
      </w:r>
      <w:r>
        <w:rPr>
          <w:i/>
        </w:rPr>
        <w:t>Risk Factors</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6"/>
        </w:numPr>
        <w:pBdr/>
        <w:tabs>
          <w:tab w:val="clear" w:pos="1134"/>
          <w:tab w:val="left" w:pos="1261" w:leader="none"/>
        </w:tabs>
        <w:bidi w:val="0"/>
        <w:spacing w:before="0" w:after="0"/>
        <w:ind w:left="1261" w:right="0" w:hanging="283"/>
        <w:jc w:val="both"/>
        <w:rPr/>
      </w:pPr>
      <w:bookmarkStart w:id="75" w:name="page_57"/>
      <w:bookmarkEnd w:id="75"/>
      <w:r>
        <w:rPr/>
        <w:t xml:space="preserve">prohibit all use except for scientific and very limited medical purposes by duly authorized persons, in medical or scientific establishments which are directly under the control of their Governments or specifically approved by them; </w:t>
      </w:r>
    </w:p>
    <w:p>
      <w:pPr>
        <w:pStyle w:val="TextBody"/>
        <w:numPr>
          <w:ilvl w:val="0"/>
          <w:numId w:val="6"/>
        </w:numPr>
        <w:pBdr/>
        <w:tabs>
          <w:tab w:val="clear" w:pos="1134"/>
          <w:tab w:val="left" w:pos="1261" w:leader="none"/>
        </w:tabs>
        <w:bidi w:val="0"/>
        <w:spacing w:before="0" w:after="0"/>
        <w:ind w:left="1261" w:right="0" w:hanging="283"/>
        <w:jc w:val="both"/>
        <w:rPr/>
      </w:pPr>
      <w:r>
        <w:rPr/>
        <w:t xml:space="preserve">require that manufacture, trade, distribution and possession be under a special licence or prior authorization; </w:t>
      </w:r>
    </w:p>
    <w:p>
      <w:pPr>
        <w:pStyle w:val="TextBody"/>
        <w:numPr>
          <w:ilvl w:val="0"/>
          <w:numId w:val="6"/>
        </w:numPr>
        <w:pBdr/>
        <w:tabs>
          <w:tab w:val="clear" w:pos="1134"/>
          <w:tab w:val="left" w:pos="1261" w:leader="none"/>
        </w:tabs>
        <w:bidi w:val="0"/>
        <w:spacing w:before="0" w:after="0"/>
        <w:ind w:left="1261" w:right="0" w:hanging="283"/>
        <w:jc w:val="both"/>
        <w:rPr/>
      </w:pPr>
      <w:r>
        <w:rPr/>
        <w:t xml:space="preserve">provide for close supervision of the activities and acts mentioned in paragraphs (a) and (b); </w:t>
      </w:r>
    </w:p>
    <w:p>
      <w:pPr>
        <w:pStyle w:val="TextBody"/>
        <w:numPr>
          <w:ilvl w:val="0"/>
          <w:numId w:val="6"/>
        </w:numPr>
        <w:pBdr/>
        <w:tabs>
          <w:tab w:val="clear" w:pos="1134"/>
          <w:tab w:val="left" w:pos="1261" w:leader="none"/>
        </w:tabs>
        <w:bidi w:val="0"/>
        <w:spacing w:before="0" w:after="0"/>
        <w:ind w:left="1261" w:right="0" w:hanging="283"/>
        <w:jc w:val="both"/>
        <w:rPr/>
      </w:pPr>
      <w:r>
        <w:rPr/>
        <w:t xml:space="preserve">restrict the amount supplied to a duly authorized person to the quantity required for his authorized purpose; </w:t>
      </w:r>
    </w:p>
    <w:p>
      <w:pPr>
        <w:pStyle w:val="TextBody"/>
        <w:numPr>
          <w:ilvl w:val="0"/>
          <w:numId w:val="6"/>
        </w:numPr>
        <w:pBdr/>
        <w:tabs>
          <w:tab w:val="clear" w:pos="1134"/>
          <w:tab w:val="left" w:pos="1261" w:leader="none"/>
        </w:tabs>
        <w:bidi w:val="0"/>
        <w:spacing w:before="0" w:after="0"/>
        <w:ind w:left="1261" w:right="0" w:hanging="283"/>
        <w:jc w:val="both"/>
        <w:rPr/>
      </w:pPr>
      <w:r>
        <w:rPr/>
        <w:t xml:space="preserve">require that persons performing medical or scientific functions keep records concerning the acquisition of the substances and the details of their use, such records to be preserved for at least two years after the last use recorded therein; and </w:t>
      </w:r>
    </w:p>
    <w:p>
      <w:pPr>
        <w:pStyle w:val="TextBody"/>
        <w:numPr>
          <w:ilvl w:val="0"/>
          <w:numId w:val="6"/>
        </w:numPr>
        <w:pBdr/>
        <w:tabs>
          <w:tab w:val="clear" w:pos="1134"/>
          <w:tab w:val="left" w:pos="1261" w:leader="none"/>
        </w:tabs>
        <w:bidi w:val="0"/>
        <w:ind w:left="1261" w:right="0" w:hanging="283"/>
        <w:jc w:val="both"/>
        <w:rPr/>
      </w:pPr>
      <w:r>
        <w:rPr/>
        <w:t xml:space="preserve">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 </w:t>
      </w:r>
    </w:p>
    <w:p>
      <w:pPr>
        <w:pStyle w:val="TextBody"/>
        <w:bidi w:val="0"/>
        <w:jc w:val="both"/>
        <w:rPr/>
      </w:pPr>
      <w:r>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b/>
        </w:rPr>
        <w:t>Dutch Opium Act</w:t>
      </w:r>
      <w:r>
        <w:rPr/>
        <w:t>") and as such, subject to express authorization being obtained, the production, trade and possession of DMT are prohibited.</w:t>
      </w:r>
    </w:p>
    <w:p>
      <w:pPr>
        <w:pStyle w:val="TextBody"/>
        <w:bidi w:val="0"/>
        <w:jc w:val="both"/>
        <w:rPr/>
      </w:pPr>
      <w:r>
        <w:rPr/>
        <w:t>In addition to the Dutch Opium Act, two other Dutch Acts may be relevant when it comes to drugs: the Medicines Act and the Commodities Act.</w:t>
      </w:r>
    </w:p>
    <w:p>
      <w:pPr>
        <w:pStyle w:val="TextBody"/>
        <w:bidi w:val="0"/>
        <w:jc w:val="both"/>
        <w:rPr/>
      </w:pPr>
      <w:r>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b/>
        </w:rPr>
        <w:t>CCMO</w:t>
      </w:r>
      <w:r>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pStyle w:val="TextBody"/>
        <w:bidi w:val="0"/>
        <w:jc w:val="both"/>
        <w:rPr/>
      </w:pPr>
      <w:r>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pStyle w:val="TextBody"/>
        <w:bidi w:val="0"/>
        <w:jc w:val="both"/>
        <w:rPr>
          <w:b/>
        </w:rPr>
      </w:pPr>
      <w:r>
        <w:rPr>
          <w:b/>
        </w:rPr>
        <w:t>Ireland</w:t>
      </w:r>
    </w:p>
    <w:p>
      <w:pPr>
        <w:pStyle w:val="TextBody"/>
        <w:bidi w:val="0"/>
        <w:jc w:val="both"/>
        <w:rPr/>
      </w:pPr>
      <w:r>
        <w:rPr/>
        <w:t>In Ireland, psilocin is a controlled substance under the Misuse of Drugs Act, 1977, 1984 and 2015 (the "</w:t>
      </w:r>
      <w:r>
        <w:rPr>
          <w:b/>
        </w:rPr>
        <w:t>Ireland MDA</w:t>
      </w:r>
      <w:r>
        <w:rPr/>
        <w:t>"), the Misuse of Drugs Regulations 2017 (the "</w:t>
      </w:r>
      <w:r>
        <w:rPr>
          <w:b/>
        </w:rPr>
        <w:t>Ireland MDR</w:t>
      </w:r>
      <w:r>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76" w:name="page_58"/>
      <w:bookmarkEnd w:id="76"/>
      <w:r>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pStyle w:val="TextBody"/>
        <w:bidi w:val="0"/>
        <w:jc w:val="both"/>
        <w:rPr>
          <w:b/>
        </w:rPr>
      </w:pPr>
      <w:r>
        <w:rPr>
          <w:b/>
        </w:rPr>
        <w:t>United Kingdom</w:t>
      </w:r>
    </w:p>
    <w:p>
      <w:pPr>
        <w:pStyle w:val="TextBody"/>
        <w:bidi w:val="0"/>
        <w:jc w:val="both"/>
        <w:rPr/>
      </w:pPr>
      <w:r>
        <w:rPr/>
        <w:t>In the United Kingdom,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pStyle w:val="TextBody"/>
        <w:bidi w:val="0"/>
        <w:jc w:val="both"/>
        <w:rPr/>
      </w:pPr>
      <w:r>
        <w:rPr/>
        <w:t>The main controlled drugs legislation in the United Kingdom is the Misuse of Drugs Act 1971 ("</w:t>
      </w:r>
      <w:r>
        <w:rPr>
          <w:b/>
        </w:rPr>
        <w:t>MDA</w:t>
      </w:r>
      <w:r>
        <w:rPr/>
        <w:t>") and the Misuse of Drugs Regulations 2001 ("</w:t>
      </w:r>
      <w:r>
        <w:rPr>
          <w:b/>
        </w:rPr>
        <w:t>MDR</w:t>
      </w:r>
      <w:r>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pStyle w:val="TextBody"/>
        <w:bidi w:val="0"/>
        <w:jc w:val="both"/>
        <w:rPr/>
      </w:pPr>
      <w:r>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pStyle w:val="TextBody"/>
        <w:bidi w:val="0"/>
        <w:jc w:val="both"/>
        <w:rPr/>
      </w:pPr>
      <w:r>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pStyle w:val="TextBody"/>
        <w:bidi w:val="0"/>
        <w:jc w:val="both"/>
        <w:rPr/>
      </w:pPr>
      <w:r>
        <w:rPr/>
        <w:t>The Corporation previously disclosed that it intended to file a clinical trial application with the United Kingdom Medicines and Healthcare products Regulatory Agency (the "</w:t>
      </w:r>
      <w:r>
        <w:rPr>
          <w:b/>
        </w:rPr>
        <w:t>MHRA</w:t>
      </w:r>
      <w:r>
        <w:rPr/>
        <w:t>") related to the Deuterated Psilocybin Analog Program upon completion of its pre-clinical studies and CMC development. The Corporation has since decided that it will first proceed in the United States and will re-evaluate other applications at a later date. Anticipated timelines related to regulatory filings are based on reasonable assumptions informed by current knowledge and information available to the Corporation.</w:t>
      </w:r>
    </w:p>
    <w:p>
      <w:pPr>
        <w:pStyle w:val="TextBody"/>
        <w:bidi w:val="0"/>
        <w:jc w:val="both"/>
        <w:rPr>
          <w:u w:val="single"/>
        </w:rPr>
      </w:pPr>
      <w:r>
        <w:rPr>
          <w:u w:val="single"/>
        </w:rPr>
        <w:t>Licensing Requirements</w:t>
      </w:r>
    </w:p>
    <w:p>
      <w:pPr>
        <w:pStyle w:val="TextBody"/>
        <w:bidi w:val="0"/>
        <w:jc w:val="both"/>
        <w:rPr/>
      </w:pPr>
      <w:r>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b/>
        </w:rPr>
        <w:t>Asset Acquisition</w:t>
      </w:r>
      <w:r>
        <w:rPr/>
        <w:t>"), the Corporation also acquired API. The CYB004-E API was manufactured in the Netherlands by a pharmaceutical ingredient provider that is United States FDA-inspected.</w:t>
      </w:r>
      <w:r>
        <w:rPr>
          <w:position w:val="8"/>
          <w:sz w:val="19"/>
        </w:rPr>
        <w:t>7</w:t>
      </w:r>
    </w:p>
    <w:p>
      <w:pPr>
        <w:pStyle w:val="TextBody"/>
        <w:bidi w:val="0"/>
        <w:jc w:val="both"/>
        <w:rPr/>
      </w:pPr>
      <w:r>
        <w:rPr>
          <w:sz w:val="20"/>
        </w:rPr>
        <w:t>_____________________________________________</w:t>
        <w:br/>
      </w:r>
      <w:r>
        <w:rPr>
          <w:position w:val="8"/>
          <w:sz w:val="19"/>
        </w:rPr>
        <w:t>7</w:t>
      </w:r>
      <w:r>
        <w:rPr/>
        <w:t xml:space="preserve"> </w:t>
      </w:r>
      <w:r>
        <w:rPr>
          <w:sz w:val="20"/>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77" w:name="page_59"/>
      <w:bookmarkEnd w:id="77"/>
      <w:r>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w:t>
      </w:r>
      <w:r>
        <w:rPr>
          <w:i/>
        </w:rPr>
        <w:t>Pharmaceutical Products</w:t>
      </w:r>
      <w:r>
        <w:rPr/>
        <w:t>", depending on how the API is developed, certain authorizations and licences from the MHRA may be required to authorize some of the activities carried on at the UK-based facilities in relation to the API.</w:t>
      </w:r>
    </w:p>
    <w:p>
      <w:pPr>
        <w:pStyle w:val="TextBody"/>
        <w:bidi w:val="0"/>
        <w:jc w:val="both"/>
        <w:rPr/>
      </w:pPr>
      <w:r>
        <w:rPr/>
        <w:t>All premises that are licensed in connection with the possession, supply, manufacture and/or production of controlled drugs are required to adhere to detailed security standards.</w:t>
      </w:r>
      <w:r>
        <w:rPr>
          <w:position w:val="8"/>
          <w:sz w:val="19"/>
        </w:rPr>
        <w:t>8</w:t>
      </w:r>
    </w:p>
    <w:p>
      <w:pPr>
        <w:pStyle w:val="TextBody"/>
        <w:bidi w:val="0"/>
        <w:jc w:val="both"/>
        <w:rPr/>
      </w:pPr>
      <w:r>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 their responsibilities, record keeping, reconciliation and reporting of thefts/losses.</w:t>
      </w:r>
      <w:r>
        <w:rPr>
          <w:position w:val="8"/>
          <w:sz w:val="19"/>
        </w:rPr>
        <w:t>9</w:t>
      </w:r>
    </w:p>
    <w:p>
      <w:pPr>
        <w:pStyle w:val="TextBody"/>
        <w:bidi w:val="0"/>
        <w:jc w:val="both"/>
        <w:rPr>
          <w:u w:val="single"/>
        </w:rPr>
      </w:pPr>
      <w:r>
        <w:rPr>
          <w:u w:val="single"/>
        </w:rPr>
        <w:t>Pharmaceutical Products</w:t>
      </w:r>
    </w:p>
    <w:p>
      <w:pPr>
        <w:pStyle w:val="TextBody"/>
        <w:bidi w:val="0"/>
        <w:jc w:val="both"/>
        <w:rPr/>
      </w:pPr>
      <w:r>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pStyle w:val="TextBody"/>
        <w:bidi w:val="0"/>
        <w:jc w:val="both"/>
        <w:rPr/>
      </w:pPr>
      <w:r>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pStyle w:val="TextBody"/>
        <w:bidi w:val="0"/>
        <w:jc w:val="both"/>
        <w:rPr/>
      </w:pPr>
      <w:r>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GMP and/or Good Distribution Practice ("</w:t>
      </w:r>
      <w:r>
        <w:rPr>
          <w:b/>
        </w:rPr>
        <w:t>GDP</w:t>
      </w:r>
      <w:r>
        <w:rPr/>
        <w:t>")) and to hold a related licence from the MHRA</w:t>
      </w:r>
    </w:p>
    <w:p>
      <w:pPr>
        <w:pStyle w:val="TextBody"/>
        <w:bidi w:val="0"/>
        <w:jc w:val="both"/>
        <w:rPr/>
      </w:pPr>
      <w:r>
        <w:rPr/>
        <w:t>How the API is subsequently processed will determine the licences that the UK-based facility must hold. In particular:</w:t>
      </w:r>
    </w:p>
    <w:p>
      <w:pPr>
        <w:pStyle w:val="TextBody"/>
        <w:numPr>
          <w:ilvl w:val="0"/>
          <w:numId w:val="7"/>
        </w:numPr>
        <w:pBdr/>
        <w:tabs>
          <w:tab w:val="clear" w:pos="1134"/>
          <w:tab w:val="left" w:pos="1258" w:leader="none"/>
        </w:tabs>
        <w:bidi w:val="0"/>
        <w:ind w:left="1258" w:right="0" w:hanging="283"/>
        <w:jc w:val="both"/>
        <w:rPr/>
      </w:pPr>
      <w:r>
        <w:rPr/>
        <w:t>if the API is just one 'ingredient' of the investigational medicinal product ("</w:t>
      </w:r>
      <w:r>
        <w:rPr>
          <w:b/>
        </w:rPr>
        <w:t>IMP</w:t>
      </w:r>
      <w:r>
        <w:rPr/>
        <w:t>") which is used in the clinical trial then the UK-based facility must register with the MHRA and provide the MHRA with 60 days' notice of the intended start of manufacture/distribution, and comply with GMP and GDP for active substances; and</w:t>
      </w:r>
    </w:p>
    <w:p>
      <w:pPr>
        <w:pStyle w:val="TextBody"/>
        <w:numPr>
          <w:ilvl w:val="0"/>
          <w:numId w:val="7"/>
        </w:numPr>
        <w:pBdr/>
        <w:tabs>
          <w:tab w:val="clear" w:pos="1134"/>
          <w:tab w:val="left" w:pos="1261" w:leader="none"/>
        </w:tabs>
        <w:bidi w:val="0"/>
        <w:ind w:left="1261" w:right="0" w:hanging="283"/>
        <w:jc w:val="both"/>
        <w:rPr/>
      </w:pPr>
      <w:r>
        <w:rPr/>
        <w:t>conversely, if the API will itself constitute the IMP, the manufacturer must, except in certain limited circumstances, hold a Manufacturer's Authorisations for IMPs licence ("</w:t>
      </w:r>
      <w:r>
        <w:rPr>
          <w:b/>
        </w:rPr>
        <w:t>MIA(IMP</w:t>
      </w:r>
      <w:r>
        <w:rPr/>
        <w:t>)"). In this scenario, an MIA(IMP) would be required regardless of whether the IMP is for use in the UK, another EEA Member State or a third country (such as the United States or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position w:val="8"/>
          <w:sz w:val="19"/>
        </w:rPr>
        <w:t>_____________________________________________</w:t>
        <w:br/>
        <w:t>8</w:t>
      </w:r>
      <w:r>
        <w:rPr/>
        <w:t xml:space="preserve"> Home Office guidance; Security guidance for all existing or prospective Home Office Controlled Drug Licensees and/or Precursor Chemical Licensees or Registrants; 2022; https://assets.publishing.service.gov.uk/government/uploads/system/uploads/attachment_data/file/1125889/ Security_Guidance_for_all_Businesses_and_Other_Organisations_v1.5_Nov_2022.pdf.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both"/>
        <w:rPr/>
      </w:pPr>
      <w:r>
        <w:rPr>
          <w:position w:val="8"/>
          <w:sz w:val="19"/>
        </w:rPr>
        <w:t>9</w:t>
      </w:r>
      <w:r>
        <w:rPr/>
        <w:t xml:space="preserve"> Home Office guidance; Guidelines for Standard Operating Procedures (SOPs); https://assets.publishing.service.gov.uk/government/uploads/ system/uploads/attachment_data/file/480572/StandardOpProcedure.pdf.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78" w:name="page_60"/>
      <w:bookmarkEnd w:id="78"/>
      <w:r>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pStyle w:val="TextBody"/>
        <w:bidi w:val="0"/>
        <w:jc w:val="both"/>
        <w:rPr>
          <w:b/>
        </w:rPr>
      </w:pPr>
      <w:r>
        <w:rPr>
          <w:b/>
        </w:rPr>
        <w:t>Research and Development</w:t>
      </w:r>
    </w:p>
    <w:p>
      <w:pPr>
        <w:pStyle w:val="TextBody"/>
        <w:bidi w:val="0"/>
        <w:jc w:val="both"/>
        <w:rPr/>
      </w:pPr>
      <w:r>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pStyle w:val="TextBody"/>
        <w:bidi w:val="0"/>
        <w:jc w:val="both"/>
        <w:rPr/>
      </w:pPr>
      <w:r>
        <w:rPr/>
        <w:t>As a result of COVID-19, certain institutions have implemented certain facility procedures and are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institutions involved in pharmaceutical product development.</w:t>
      </w:r>
    </w:p>
    <w:p>
      <w:pPr>
        <w:pStyle w:val="TextBody"/>
        <w:bidi w:val="0"/>
        <w:jc w:val="both"/>
        <w:rPr/>
      </w:pPr>
      <w:r>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i/>
        </w:rPr>
        <w:t>Psilocybe</w:t>
      </w:r>
      <w:r>
        <w:rPr/>
        <w:t xml:space="preserve">, such as </w:t>
      </w:r>
      <w:r>
        <w:rPr>
          <w:i/>
        </w:rPr>
        <w:t>P. azurescens, P. semilanceata</w:t>
      </w:r>
      <w:r>
        <w:rPr/>
        <w:t xml:space="preserve">, and </w:t>
      </w:r>
      <w:r>
        <w:rPr>
          <w:i/>
        </w:rPr>
        <w:t>P. cyanescens</w:t>
      </w:r>
      <w:r>
        <w:rPr/>
        <w:t>, but psilocybin has also been isolated from about a dozen other genera. As a prodrug, psilocybin is quickly converted by the body to psilocin, which has mind-altering effects.</w:t>
      </w:r>
    </w:p>
    <w:p>
      <w:pPr>
        <w:pStyle w:val="TextBody"/>
        <w:bidi w:val="0"/>
        <w:jc w:val="both"/>
        <w:rPr/>
      </w:pPr>
      <w:r>
        <w:rPr/>
        <w:t>The pharmacokinetics, pharmacology and human metabolism of psilocybin are well known and well characterized. In conjunction with psychotherapy, psilocybin has been utilized broadly in phase II clinical trials.</w:t>
      </w:r>
    </w:p>
    <w:p>
      <w:pPr>
        <w:pStyle w:val="TextBody"/>
        <w:bidi w:val="0"/>
        <w:jc w:val="both"/>
        <w:rPr/>
      </w:pPr>
      <w:r>
        <w:rPr/>
        <w:t>Psilocybin found in certain species of mushrooms is a non-habit forming naturally occurring psychedelic compound. Once ingested, psilocybin is rapidly metabolized to psilocin, which then acts on serotonin receptors in the brain.</w:t>
      </w:r>
    </w:p>
    <w:p>
      <w:pPr>
        <w:pStyle w:val="TextBody"/>
        <w:bidi w:val="0"/>
        <w:jc w:val="both"/>
        <w:rPr/>
      </w:pPr>
      <w:r>
        <w:rPr/>
        <w:t>Cybin has commenced research and development on the delivery of synthetic psilocybin and other psychedelics through mechanisms such as sublingual film delivery, IV, and by way of inhalation.</w:t>
      </w:r>
    </w:p>
    <w:p>
      <w:pPr>
        <w:pStyle w:val="TextBody"/>
        <w:bidi w:val="0"/>
        <w:jc w:val="both"/>
        <w:rPr/>
      </w:pPr>
      <w:r>
        <w:rPr/>
        <w:t>The Corporation's research and development must be conducted in strict compliance with the regulations of federal, state, local and regulatory agencies in Canada, the United States, and the United Kingdom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pStyle w:val="TextBody"/>
        <w:bidi w:val="0"/>
        <w:jc w:val="both"/>
        <w:rPr>
          <w:u w:val="single"/>
        </w:rPr>
      </w:pPr>
      <w:r>
        <w:rPr>
          <w:u w:val="single"/>
        </w:rPr>
        <w:t>Canada</w:t>
      </w:r>
    </w:p>
    <w:p>
      <w:pPr>
        <w:pStyle w:val="TextBody"/>
        <w:bidi w:val="0"/>
        <w:jc w:val="both"/>
        <w:rPr/>
      </w:pPr>
      <w:r>
        <w:rPr/>
        <w:t>The process required before a prescription drug product candidate may be marketed in Canada generally involves:</w:t>
      </w:r>
    </w:p>
    <w:p>
      <w:pPr>
        <w:pStyle w:val="TextBody"/>
        <w:numPr>
          <w:ilvl w:val="0"/>
          <w:numId w:val="8"/>
        </w:numPr>
        <w:pBdr/>
        <w:tabs>
          <w:tab w:val="clear" w:pos="1134"/>
          <w:tab w:val="left" w:pos="1261" w:leader="none"/>
        </w:tabs>
        <w:bidi w:val="0"/>
        <w:ind w:left="1261" w:right="0" w:hanging="283"/>
        <w:jc w:val="both"/>
        <w:rPr/>
      </w:pPr>
      <w:r>
        <w:rPr>
          <w:i/>
        </w:rPr>
        <w:t>Chemical and Biological Research -</w:t>
      </w:r>
      <w:r>
        <w:rPr/>
        <w:t xml:space="preserve"> Laboratory tests are carried out on tissue cultures and with a variety of small animals to determine the effects of the drug. If the results are promising, the manufacturer will proceed to the next step of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9"/>
        </w:numPr>
        <w:pBdr/>
        <w:tabs>
          <w:tab w:val="clear" w:pos="1134"/>
          <w:tab w:val="left" w:pos="1261" w:leader="none"/>
        </w:tabs>
        <w:bidi w:val="0"/>
        <w:ind w:left="1261" w:right="0" w:hanging="283"/>
        <w:jc w:val="both"/>
        <w:rPr/>
      </w:pPr>
      <w:bookmarkStart w:id="79" w:name="page_61"/>
      <w:bookmarkEnd w:id="79"/>
      <w:r>
        <w:rPr>
          <w:i/>
        </w:rPr>
        <w:t xml:space="preserve">Pre-Clinical Development - </w:t>
      </w:r>
      <w:r>
        <w:rPr/>
        <w:t>Animals are given the drug in varying amounts over differing periods of time. If it can be shown that the drug causes no serious or unexpected harm at the doses required to have an effect, the manufacturer will proceed to clinical trials.</w:t>
      </w:r>
    </w:p>
    <w:p>
      <w:pPr>
        <w:pStyle w:val="TextBody"/>
        <w:numPr>
          <w:ilvl w:val="0"/>
          <w:numId w:val="9"/>
        </w:numPr>
        <w:pBdr/>
        <w:tabs>
          <w:tab w:val="clear" w:pos="1134"/>
          <w:tab w:val="left" w:pos="1261" w:leader="none"/>
        </w:tabs>
        <w:bidi w:val="0"/>
        <w:ind w:left="1261" w:right="0" w:hanging="283"/>
        <w:jc w:val="both"/>
        <w:rPr/>
      </w:pPr>
      <w:r>
        <w:rPr>
          <w:i/>
        </w:rPr>
        <w:t xml:space="preserve">Clinical Trials - Phase I - </w:t>
      </w:r>
      <w:r>
        <w:rPr/>
        <w:t>The first administration in humans is to test if people can tolerate the drug. If this testing is to take place in Canada, the manufacturer must prepare a clinical trial application for the Therapeutic Products Directorate of Health Canada (the "</w:t>
      </w:r>
      <w:r>
        <w:rPr>
          <w:b/>
        </w:rPr>
        <w:t>TPD</w:t>
      </w:r>
      <w:r>
        <w:rPr/>
        <w:t>"). This includes the results of the first two steps and a proposal for testing in humans. If the information is sufficient, the Health Products and Food Branch of Health Canada (the "</w:t>
      </w:r>
      <w:r>
        <w:rPr>
          <w:b/>
        </w:rPr>
        <w:t>HPFB</w:t>
      </w:r>
      <w:r>
        <w:rPr/>
        <w:t>") grants permission to start testing the drug, generally first on healthy volunteers.</w:t>
      </w:r>
    </w:p>
    <w:p>
      <w:pPr>
        <w:pStyle w:val="TextBody"/>
        <w:numPr>
          <w:ilvl w:val="0"/>
          <w:numId w:val="9"/>
        </w:numPr>
        <w:pBdr/>
        <w:tabs>
          <w:tab w:val="clear" w:pos="1134"/>
          <w:tab w:val="left" w:pos="1261" w:leader="none"/>
        </w:tabs>
        <w:bidi w:val="0"/>
        <w:ind w:left="1261" w:right="0" w:hanging="283"/>
        <w:jc w:val="both"/>
        <w:rPr/>
      </w:pPr>
      <w:r>
        <w:rPr>
          <w:i/>
        </w:rPr>
        <w:t xml:space="preserve">Clinical Trials - Phase II - </w:t>
      </w:r>
      <w:r>
        <w:rPr/>
        <w:t>Phase II trials are carried out on people with the target condition, who are usually otherwise healthy, with no other medical condition. Trials carried out in Canada must be approved by the TPD. In phase II, the objective of the trials is to continue to gather information on the safety of the drug and begin to determine its effectiveness.</w:t>
      </w:r>
    </w:p>
    <w:p>
      <w:pPr>
        <w:pStyle w:val="TextBody"/>
        <w:numPr>
          <w:ilvl w:val="0"/>
          <w:numId w:val="9"/>
        </w:numPr>
        <w:pBdr/>
        <w:tabs>
          <w:tab w:val="clear" w:pos="1134"/>
          <w:tab w:val="left" w:pos="1261" w:leader="none"/>
        </w:tabs>
        <w:bidi w:val="0"/>
        <w:ind w:left="1261" w:right="0" w:hanging="283"/>
        <w:jc w:val="both"/>
        <w:rPr/>
      </w:pPr>
      <w:r>
        <w:rPr>
          <w:i/>
        </w:rPr>
        <w:t xml:space="preserve">Clinical Trials - Phase III - </w:t>
      </w:r>
      <w:r>
        <w:rPr/>
        <w:t>If the results from phase II show promise, the manufacturer provides an updated clinical trial 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pStyle w:val="TextBody"/>
        <w:numPr>
          <w:ilvl w:val="0"/>
          <w:numId w:val="9"/>
        </w:numPr>
        <w:pBdr/>
        <w:tabs>
          <w:tab w:val="clear" w:pos="1134"/>
          <w:tab w:val="left" w:pos="1261" w:leader="none"/>
        </w:tabs>
        <w:bidi w:val="0"/>
        <w:ind w:left="1261" w:right="0" w:hanging="283"/>
        <w:jc w:val="both"/>
        <w:rPr/>
      </w:pPr>
      <w:r>
        <w:rPr>
          <w:i/>
        </w:rPr>
        <w:t xml:space="preserve">New Drug Submission - </w:t>
      </w:r>
      <w:r>
        <w:rPr/>
        <w:t>If the results from phase III continue to be favourable, the drug manufacturer can submit a new drug submission ("</w:t>
      </w:r>
      <w:r>
        <w:rPr>
          <w:b/>
        </w:rPr>
        <w:t>NDS</w:t>
      </w:r>
      <w:r>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pStyle w:val="TextBody"/>
        <w:bidi w:val="0"/>
        <w:ind w:left="552" w:right="0" w:hanging="0"/>
        <w:jc w:val="both"/>
        <w:rPr>
          <w:u w:val="single"/>
        </w:rPr>
      </w:pPr>
      <w:r>
        <w:rPr>
          <w:u w:val="single"/>
        </w:rPr>
        <w:t>United States</w:t>
      </w:r>
    </w:p>
    <w:p>
      <w:pPr>
        <w:pStyle w:val="TextBody"/>
        <w:bidi w:val="0"/>
        <w:jc w:val="both"/>
        <w:rPr/>
      </w:pPr>
      <w:r>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pStyle w:val="TextBody"/>
        <w:bidi w:val="0"/>
        <w:jc w:val="both"/>
        <w:rPr/>
      </w:pPr>
      <w:r>
        <w:rPr/>
        <w:t>The process required before a prescription drug product candidate may be marketed in the United States generally involves:</w:t>
      </w:r>
    </w:p>
    <w:p>
      <w:pPr>
        <w:pStyle w:val="TextBody"/>
        <w:numPr>
          <w:ilvl w:val="0"/>
          <w:numId w:val="10"/>
        </w:numPr>
        <w:pBdr/>
        <w:tabs>
          <w:tab w:val="clear" w:pos="1134"/>
          <w:tab w:val="left" w:pos="1261" w:leader="none"/>
        </w:tabs>
        <w:bidi w:val="0"/>
        <w:ind w:left="1261" w:right="0" w:hanging="283"/>
        <w:jc w:val="both"/>
        <w:rPr/>
      </w:pPr>
      <w:r>
        <w:rPr/>
        <w:t>completion of extensive non-clinical laboratory tests, animal studies and formulation studies, all performed in accordance with the FDA's Good Laboratory, Good Clinical and/or Manufacturing Practice regulations;</w:t>
      </w:r>
    </w:p>
    <w:p>
      <w:pPr>
        <w:pStyle w:val="TextBody"/>
        <w:numPr>
          <w:ilvl w:val="0"/>
          <w:numId w:val="10"/>
        </w:numPr>
        <w:pBdr/>
        <w:tabs>
          <w:tab w:val="clear" w:pos="1134"/>
          <w:tab w:val="left" w:pos="1261" w:leader="none"/>
        </w:tabs>
        <w:bidi w:val="0"/>
        <w:ind w:left="1261" w:right="0" w:hanging="283"/>
        <w:jc w:val="both"/>
        <w:rPr/>
      </w:pPr>
      <w:r>
        <w:rPr/>
        <w:t>submission to the FDA of an IND, which must become effective before human clinical trials may begin;</w:t>
      </w:r>
    </w:p>
    <w:p>
      <w:pPr>
        <w:pStyle w:val="TextBody"/>
        <w:numPr>
          <w:ilvl w:val="0"/>
          <w:numId w:val="10"/>
        </w:numPr>
        <w:pBdr/>
        <w:tabs>
          <w:tab w:val="clear" w:pos="1134"/>
          <w:tab w:val="left" w:pos="1261" w:leader="none"/>
        </w:tabs>
        <w:bidi w:val="0"/>
        <w:ind w:left="1261" w:right="0" w:hanging="283"/>
        <w:jc w:val="both"/>
        <w:rPr/>
      </w:pPr>
      <w:r>
        <w:rPr/>
        <w:t>approval by an institutional review board or independent ethics committee at each clinical trial site before each trial may be initiated;</w:t>
      </w:r>
    </w:p>
    <w:p>
      <w:pPr>
        <w:pStyle w:val="TextBody"/>
        <w:numPr>
          <w:ilvl w:val="0"/>
          <w:numId w:val="10"/>
        </w:numPr>
        <w:pBdr/>
        <w:tabs>
          <w:tab w:val="clear" w:pos="1134"/>
          <w:tab w:val="left" w:pos="1261" w:leader="none"/>
        </w:tabs>
        <w:bidi w:val="0"/>
        <w:ind w:left="1261" w:right="0" w:hanging="283"/>
        <w:jc w:val="both"/>
        <w:rPr/>
      </w:pPr>
      <w:r>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pStyle w:val="TextBody"/>
        <w:numPr>
          <w:ilvl w:val="0"/>
          <w:numId w:val="10"/>
        </w:numPr>
        <w:pBdr/>
        <w:tabs>
          <w:tab w:val="clear" w:pos="1134"/>
          <w:tab w:val="left" w:pos="1261" w:leader="none"/>
        </w:tabs>
        <w:bidi w:val="0"/>
        <w:ind w:left="1261" w:right="0" w:hanging="283"/>
        <w:jc w:val="both"/>
        <w:rPr/>
      </w:pPr>
      <w:r>
        <w:rPr/>
        <w:t>submission to the FDA of a New Drug Application ("</w:t>
      </w:r>
      <w:r>
        <w:rPr>
          <w:b/>
        </w:rPr>
        <w:t>NDA</w:t>
      </w:r>
      <w:r>
        <w:rPr/>
        <w:t>"); and</w:t>
      </w:r>
    </w:p>
    <w:p>
      <w:pPr>
        <w:pStyle w:val="TextBody"/>
        <w:numPr>
          <w:ilvl w:val="0"/>
          <w:numId w:val="10"/>
        </w:numPr>
        <w:pBdr/>
        <w:tabs>
          <w:tab w:val="clear" w:pos="1134"/>
          <w:tab w:val="left" w:pos="1261" w:leader="none"/>
        </w:tabs>
        <w:bidi w:val="0"/>
        <w:ind w:left="1261" w:right="0" w:hanging="283"/>
        <w:jc w:val="both"/>
        <w:rPr/>
      </w:pPr>
      <w:r>
        <w:rPr/>
        <w:t>FDA review and approval of the NDA prior to any commercial marketing, sale or shipment of the drug.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0" w:name="page_62"/>
      <w:bookmarkEnd w:id="80"/>
      <w:r>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pStyle w:val="TextBody"/>
        <w:bidi w:val="0"/>
        <w:jc w:val="both"/>
        <w:rPr/>
      </w:pPr>
      <w:r>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pStyle w:val="TextBody"/>
        <w:bidi w:val="0"/>
        <w:jc w:val="both"/>
        <w:rPr/>
      </w:pPr>
      <w:r>
        <w:rPr/>
        <w:t>An independent institutional review board ("</w:t>
      </w:r>
      <w:r>
        <w:rPr>
          <w:b/>
        </w:rPr>
        <w:t>IRB</w:t>
      </w:r>
      <w:r>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pStyle w:val="TextBody"/>
        <w:bidi w:val="0"/>
        <w:jc w:val="both"/>
        <w:rPr/>
      </w:pPr>
      <w:r>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pStyle w:val="TextBody"/>
        <w:bidi w:val="0"/>
        <w:jc w:val="both"/>
        <w:rPr/>
      </w:pPr>
      <w:r>
        <w:rPr/>
        <w:t>The Corporation may plan to seek orphan drug designation for certain indications qualified for such designation. The United States, European Union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United States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pStyle w:val="TextBody"/>
        <w:bidi w:val="0"/>
        <w:jc w:val="both"/>
        <w:rPr/>
      </w:pPr>
      <w:r>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1" w:name="page_63"/>
      <w:bookmarkEnd w:id="81"/>
      <w:r>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pStyle w:val="TextBody"/>
        <w:bidi w:val="0"/>
        <w:jc w:val="both"/>
        <w:rPr/>
      </w:pPr>
      <w:r>
        <w:rPr/>
        <w:t>In the United States, pharmaceutical manufacturers are subject to complex laws and regulations pertaining to healthcare "fraud and abuse," including, but not limited to, the Anti-Kickback Statute, the federal False Claims Act (the "</w:t>
      </w:r>
      <w:r>
        <w:rPr>
          <w:b/>
        </w:rPr>
        <w:t>FCA</w:t>
      </w:r>
      <w:r>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pStyle w:val="TextBody"/>
        <w:bidi w:val="0"/>
        <w:jc w:val="both"/>
        <w:rPr/>
      </w:pPr>
      <w:r>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pStyle w:val="TextBody"/>
        <w:bidi w:val="0"/>
        <w:jc w:val="both"/>
        <w:rPr/>
      </w:pPr>
      <w:r>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pStyle w:val="TextBody"/>
        <w:bidi w:val="0"/>
        <w:jc w:val="both"/>
        <w:rPr>
          <w:i/>
        </w:rPr>
      </w:pPr>
      <w:r>
        <w:rPr>
          <w:i/>
        </w:rPr>
        <w:t>Controlled Substances</w:t>
      </w:r>
    </w:p>
    <w:p>
      <w:pPr>
        <w:pStyle w:val="TextBody"/>
        <w:bidi w:val="0"/>
        <w:jc w:val="both"/>
        <w:rPr/>
      </w:pPr>
      <w:r>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pStyle w:val="TextBody"/>
        <w:bidi w:val="0"/>
        <w:jc w:val="both"/>
        <w:rPr/>
      </w:pPr>
      <w:r>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2" w:name="page_64"/>
      <w:bookmarkEnd w:id="82"/>
      <w:r>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pStyle w:val="TextBody"/>
        <w:bidi w:val="0"/>
        <w:jc w:val="both"/>
        <w:rPr/>
      </w:pPr>
      <w:r>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pStyle w:val="TextBody"/>
        <w:bidi w:val="0"/>
        <w:jc w:val="both"/>
        <w:rPr/>
      </w:pPr>
      <w:r>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pStyle w:val="TextBody"/>
        <w:bidi w:val="0"/>
        <w:jc w:val="both"/>
        <w:rPr/>
      </w:pPr>
      <w:r>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pStyle w:val="TextBody"/>
        <w:bidi w:val="0"/>
        <w:jc w:val="both"/>
        <w:rPr>
          <w:u w:val="single"/>
        </w:rPr>
      </w:pPr>
      <w:r>
        <w:rPr>
          <w:u w:val="single"/>
        </w:rPr>
        <w:t>Netherlands</w:t>
      </w:r>
    </w:p>
    <w:p>
      <w:pPr>
        <w:pStyle w:val="TextBody"/>
        <w:bidi w:val="0"/>
        <w:jc w:val="both"/>
        <w:rPr/>
      </w:pPr>
      <w:r>
        <w:rPr/>
        <w:t>Regulation (EU) No 536/2014 on Clinical Trials on Medicinal Products for Human Use ( the "</w:t>
      </w:r>
      <w:r>
        <w:rPr>
          <w:b/>
        </w:rPr>
        <w:t>CTR</w:t>
      </w:r>
      <w:r>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3" w:name="page_65"/>
      <w:bookmarkEnd w:id="83"/>
      <w:r>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b/>
        </w:rPr>
        <w:t>IMP</w:t>
      </w:r>
      <w:r>
        <w:rPr/>
        <w:t>"),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pStyle w:val="TextBody"/>
        <w:bidi w:val="0"/>
        <w:jc w:val="both"/>
        <w:rPr/>
      </w:pPr>
      <w:r>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pStyle w:val="TextBody"/>
        <w:bidi w:val="0"/>
        <w:jc w:val="both"/>
        <w:rPr/>
      </w:pPr>
      <w:r>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pStyle w:val="TextBody"/>
        <w:bidi w:val="0"/>
        <w:jc w:val="both"/>
        <w:rPr/>
      </w:pPr>
      <w:r>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pStyle w:val="TextBody"/>
        <w:bidi w:val="0"/>
        <w:jc w:val="both"/>
        <w:rPr/>
      </w:pPr>
      <w:r>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pStyle w:val="TextBody"/>
        <w:bidi w:val="0"/>
        <w:jc w:val="both"/>
        <w:rPr>
          <w:i/>
        </w:rPr>
      </w:pPr>
      <w:r>
        <w:rPr>
          <w:i/>
        </w:rPr>
        <w:t xml:space="preserve">Pharmaceutical Products </w:t>
      </w:r>
    </w:p>
    <w:p>
      <w:pPr>
        <w:pStyle w:val="TextBody"/>
        <w:bidi w:val="0"/>
        <w:jc w:val="both"/>
        <w:rPr/>
      </w:pPr>
      <w:r>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pStyle w:val="TextBody"/>
        <w:bidi w:val="0"/>
        <w:jc w:val="both"/>
        <w:rPr/>
      </w:pPr>
      <w:r>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4" w:name="page_66"/>
      <w:bookmarkEnd w:id="84"/>
      <w:r>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pStyle w:val="TextBody"/>
        <w:bidi w:val="0"/>
        <w:jc w:val="both"/>
        <w:rPr/>
      </w:pPr>
      <w:r>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pStyle w:val="TextBody"/>
        <w:bidi w:val="0"/>
        <w:jc w:val="both"/>
        <w:rPr>
          <w:i/>
        </w:rPr>
      </w:pPr>
      <w:r>
        <w:rPr>
          <w:i/>
        </w:rPr>
        <w:t xml:space="preserve">Market Authorization Regulatory Process </w:t>
      </w:r>
    </w:p>
    <w:p>
      <w:pPr>
        <w:pStyle w:val="TextBody"/>
        <w:bidi w:val="0"/>
        <w:jc w:val="both"/>
        <w:rPr/>
      </w:pPr>
      <w:r>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 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5" w:name="page_67"/>
      <w:bookmarkEnd w:id="85"/>
      <w:r>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 EEA, in all other circumstances the Decentralized procedure should be used instead if a marketing authorization is to be obtained for several EU/EEA Member States. When following the Decentralized procedure, the applicant requests one country to be the Reference Member State ("RMS")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b/>
        </w:rPr>
        <w:t>CMDh</w:t>
      </w:r>
      <w:r>
        <w:rPr/>
        <w:t>"). When all Member States involved decide on a positive opinion on products in the CMDh, Dutch translations of the summary of product characteristics, package leaflet, labelling texts and mock-ups are submitted and a national marketing authorization is issued.</w:t>
      </w:r>
    </w:p>
    <w:p>
      <w:pPr>
        <w:pStyle w:val="TextBody"/>
        <w:bidi w:val="0"/>
        <w:jc w:val="both"/>
        <w:rPr>
          <w:b/>
        </w:rPr>
      </w:pPr>
      <w:r>
        <w:rPr>
          <w:b/>
        </w:rPr>
        <w:t xml:space="preserve">Patent Cooperation Treaty </w:t>
      </w:r>
    </w:p>
    <w:p>
      <w:pPr>
        <w:pStyle w:val="TextBody"/>
        <w:bidi w:val="0"/>
        <w:jc w:val="both"/>
        <w:rPr/>
      </w:pPr>
      <w:r>
        <w:rPr/>
        <w:t>The Patent Cooperation Treaty (the "</w:t>
      </w:r>
      <w:r>
        <w:rPr>
          <w:b/>
        </w:rPr>
        <w:t>PCT</w:t>
      </w:r>
      <w:r>
        <w:rPr/>
        <w:t>") facilitates filing for patent recognition in multiple jurisdictions simultaneously using a single uniform patent application. 157 countries, including Canada and the United States have ratified the PCT.</w:t>
      </w:r>
    </w:p>
    <w:p>
      <w:pPr>
        <w:pStyle w:val="TextBody"/>
        <w:bidi w:val="0"/>
        <w:jc w:val="both"/>
        <w:rPr/>
      </w:pPr>
      <w:r>
        <w:rPr/>
        <w:t>Ultimately, patents are still granted in each country individually. As such, the PCT procedure consists of two phases: filing of an international application, and national evaluation under the patent laws in force in each country where a patent is sought.</w:t>
      </w:r>
    </w:p>
    <w:p>
      <w:pPr>
        <w:pStyle w:val="TextBody"/>
        <w:bidi w:val="0"/>
        <w:jc w:val="both"/>
        <w:rPr/>
      </w:pPr>
      <w:r>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pStyle w:val="TextBody"/>
        <w:bidi w:val="0"/>
        <w:jc w:val="both"/>
        <w:rPr/>
      </w:pPr>
      <w:r>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pStyle w:val="TextBody"/>
        <w:bidi w:val="0"/>
        <w:jc w:val="center"/>
        <w:rPr>
          <w:b/>
        </w:rPr>
      </w:pPr>
      <w:r>
        <w:rPr>
          <w:b/>
        </w:rPr>
        <w:t>COMPLIANCE PROGRAM</w:t>
      </w:r>
    </w:p>
    <w:p>
      <w:pPr>
        <w:pStyle w:val="TextBody"/>
        <w:bidi w:val="0"/>
        <w:jc w:val="both"/>
        <w:rPr/>
      </w:pPr>
      <w:r>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6" w:name="page_68"/>
      <w:bookmarkEnd w:id="86"/>
      <w:r>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pStyle w:val="TextBody"/>
        <w:bidi w:val="0"/>
        <w:jc w:val="both"/>
        <w:rPr/>
      </w:pPr>
      <w:r>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pStyle w:val="TextBody"/>
        <w:bidi w:val="0"/>
        <w:jc w:val="both"/>
        <w:rPr/>
      </w:pPr>
      <w:r>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pStyle w:val="TextBody"/>
        <w:bidi w:val="0"/>
        <w:jc w:val="both"/>
        <w:rPr/>
      </w:pPr>
      <w:r>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pStyle w:val="TextBody"/>
        <w:bidi w:val="0"/>
        <w:jc w:val="both"/>
        <w:rPr/>
      </w:pPr>
      <w:r>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pStyle w:val="TextBody"/>
        <w:bidi w:val="0"/>
        <w:jc w:val="both"/>
        <w:rPr/>
      </w:pPr>
      <w:r>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pStyle w:val="TextBody"/>
        <w:bidi w:val="0"/>
        <w:jc w:val="center"/>
        <w:rPr>
          <w:b/>
        </w:rPr>
      </w:pPr>
      <w:r>
        <w:rPr>
          <w:b/>
        </w:rPr>
        <w:t>CONSOLIDATED CAPITALIZATION</w:t>
      </w:r>
    </w:p>
    <w:p>
      <w:pPr>
        <w:pStyle w:val="TextBody"/>
        <w:bidi w:val="0"/>
        <w:jc w:val="both"/>
        <w:rPr/>
      </w:pPr>
      <w:r>
        <w:rPr/>
        <w:t>There have been no material changes to the share and loan capitalization of the Corporation since the date of the Interim Financial Statements.</w:t>
      </w:r>
    </w:p>
    <w:p>
      <w:pPr>
        <w:pStyle w:val="TextBody"/>
        <w:bidi w:val="0"/>
        <w:jc w:val="both"/>
        <w:rPr/>
      </w:pPr>
      <w:r>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pStyle w:val="TextBody"/>
        <w:bidi w:val="0"/>
        <w:jc w:val="center"/>
        <w:rPr>
          <w:b/>
        </w:rPr>
      </w:pPr>
      <w:r>
        <w:rPr>
          <w:b/>
        </w:rPr>
        <w:t>USE OF PROCEEDS</w:t>
      </w:r>
    </w:p>
    <w:p>
      <w:pPr>
        <w:pStyle w:val="TextBody"/>
        <w:bidi w:val="0"/>
        <w:jc w:val="both"/>
        <w:rPr/>
      </w:pPr>
      <w:r>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i/>
        </w:rPr>
        <w:t>"Risk Factors - Risks Related to an Offering - Discretion over the Use of Proceeds"</w:t>
      </w:r>
      <w:r>
        <w:rPr/>
        <w:t>.</w:t>
      </w:r>
    </w:p>
    <w:p>
      <w:pPr>
        <w:pStyle w:val="TextBody"/>
        <w:bidi w:val="0"/>
        <w:jc w:val="both"/>
        <w:rPr>
          <w:b/>
        </w:rPr>
      </w:pPr>
      <w:r>
        <w:rPr>
          <w:b/>
        </w:rPr>
        <w:t>Sources and Uses of Capital</w:t>
      </w:r>
    </w:p>
    <w:p>
      <w:pPr>
        <w:pStyle w:val="TextBody"/>
        <w:bidi w:val="0"/>
        <w:jc w:val="both"/>
        <w:rPr/>
      </w:pPr>
      <w:r>
        <w:rPr/>
        <w:t>As at August 8, 2023, the Corporation had cash resources, being cash and an HST receivable, of approximately $21,082,000. As at August 8, 2023, the Corporation anticipates that it will require approximately $21,082,000 to continue operations over the next 12 months, including funding for the achievement of the next significant milestone under the Corporation’s Deuterated Psilocybin Analog Program (CYB003) and the Deuterated Dimethyltryptamine Program (CYB004).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7" w:name="page_69"/>
      <w:bookmarkEnd w:id="87"/>
      <w:r>
        <w:rPr/>
        <w:t xml:space="preserve">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 </w:t>
      </w:r>
    </w:p>
    <w:tbl>
      <w:tblPr>
        <w:tblW w:w="8115" w:type="dxa"/>
        <w:jc w:val="left"/>
        <w:tblInd w:w="0" w:type="dxa"/>
        <w:tblLayout w:type="fixed"/>
        <w:tblCellMar>
          <w:top w:w="0" w:type="dxa"/>
          <w:left w:w="0" w:type="dxa"/>
          <w:bottom w:w="0" w:type="dxa"/>
          <w:right w:w="0" w:type="dxa"/>
        </w:tblCellMar>
      </w:tblPr>
      <w:tblGrid>
        <w:gridCol w:w="5195"/>
        <w:gridCol w:w="1505"/>
        <w:gridCol w:w="60"/>
        <w:gridCol w:w="1355"/>
      </w:tblGrid>
      <w:tr>
        <w:trPr/>
        <w:tc>
          <w:tcPr>
            <w:tcW w:w="5195" w:type="dxa"/>
            <w:tcBorders/>
            <w:vAlign w:val="center"/>
          </w:tcPr>
          <w:p>
            <w:pPr>
              <w:pStyle w:val="TableContents"/>
              <w:bidi w:val="0"/>
              <w:spacing w:before="0" w:after="283"/>
              <w:jc w:val="left"/>
              <w:rPr/>
            </w:pPr>
            <w:r>
              <w:rPr>
                <w:b/>
                <w:u w:val="single"/>
              </w:rPr>
              <w:t>Program</w:t>
            </w:r>
            <w:r>
              <w:rPr>
                <w:b/>
                <w:position w:val="8"/>
                <w:sz w:val="19"/>
                <w:u w:val="single"/>
              </w:rPr>
              <w:t>(1)</w:t>
            </w:r>
            <w:r>
              <w:rPr/>
              <w:t xml:space="preserve"> </w:t>
            </w:r>
          </w:p>
        </w:tc>
        <w:tc>
          <w:tcPr>
            <w:tcW w:w="1505" w:type="dxa"/>
            <w:tcBorders>
              <w:bottom w:val="single" w:sz="6" w:space="0" w:color="000000"/>
            </w:tcBorders>
            <w:tcMar>
              <w:bottom w:w="28" w:type="dxa"/>
            </w:tcMar>
            <w:vAlign w:val="center"/>
          </w:tcPr>
          <w:p>
            <w:pPr>
              <w:pStyle w:val="TableContents"/>
              <w:bidi w:val="0"/>
              <w:spacing w:before="0" w:after="283"/>
              <w:jc w:val="center"/>
              <w:rPr/>
            </w:pPr>
            <w:r>
              <w:rPr>
                <w:b/>
              </w:rPr>
              <w:t xml:space="preserve">Anticipated </w:t>
            </w:r>
            <w:r>
              <w:rPr/>
              <w:br/>
            </w:r>
            <w:r>
              <w:rPr>
                <w:b/>
              </w:rPr>
              <w:t xml:space="preserve">12 Month Use </w:t>
            </w:r>
            <w:r>
              <w:rPr/>
              <w:br/>
            </w:r>
            <w:r>
              <w:rPr>
                <w:b/>
              </w:rPr>
              <w:t>of Funds</w:t>
            </w:r>
            <w:r>
              <w:rPr>
                <w:b/>
                <w:position w:val="8"/>
                <w:sz w:val="19"/>
              </w:rPr>
              <w:t>(2)(3)</w:t>
            </w:r>
            <w:r>
              <w:rPr/>
              <w:br/>
            </w:r>
            <w:r>
              <w:rPr>
                <w:b/>
              </w:rPr>
              <w:t>($)</w:t>
            </w:r>
          </w:p>
        </w:tc>
        <w:tc>
          <w:tcPr>
            <w:tcW w:w="60" w:type="dxa"/>
            <w:tcBorders/>
            <w:vAlign w:val="center"/>
          </w:tcPr>
          <w:p>
            <w:pPr>
              <w:pStyle w:val="TableContents"/>
              <w:bidi w:val="0"/>
              <w:spacing w:before="0" w:after="283"/>
              <w:jc w:val="center"/>
              <w:rPr/>
            </w:pPr>
            <w:r>
              <w:rPr/>
              <w:t> </w:t>
            </w:r>
          </w:p>
        </w:tc>
        <w:tc>
          <w:tcPr>
            <w:tcW w:w="1355" w:type="dxa"/>
            <w:tcBorders>
              <w:bottom w:val="single" w:sz="6" w:space="0" w:color="000000"/>
            </w:tcBorders>
            <w:tcMar>
              <w:bottom w:w="28" w:type="dxa"/>
            </w:tcMar>
            <w:vAlign w:val="center"/>
          </w:tcPr>
          <w:p>
            <w:pPr>
              <w:pStyle w:val="TableContents"/>
              <w:bidi w:val="0"/>
              <w:spacing w:before="0" w:after="283"/>
              <w:jc w:val="center"/>
              <w:rPr>
                <w:b/>
              </w:rPr>
            </w:pPr>
            <w:r>
              <w:rPr>
                <w:b/>
              </w:rPr>
              <w:t>Anticipated</w:t>
              <w:br/>
              <w:t>Timeline for</w:t>
              <w:br/>
              <w:t>Completio</w:t>
            </w:r>
            <w:r>
              <w:rPr>
                <w:b/>
                <w:position w:val="8"/>
                <w:sz w:val="19"/>
              </w:rPr>
              <w:t xml:space="preserve">(4) </w:t>
            </w:r>
          </w:p>
        </w:tc>
      </w:tr>
      <w:tr>
        <w:trPr/>
        <w:tc>
          <w:tcPr>
            <w:tcW w:w="5195" w:type="dxa"/>
            <w:tcBorders/>
            <w:shd w:fill="E6EFFF" w:val="clear"/>
            <w:vAlign w:val="center"/>
          </w:tcPr>
          <w:p>
            <w:pPr>
              <w:pStyle w:val="TableContents"/>
              <w:bidi w:val="0"/>
              <w:spacing w:before="0" w:after="0"/>
              <w:jc w:val="left"/>
              <w:rPr/>
            </w:pPr>
            <w:r>
              <w:rPr/>
              <w:t>Deuterated Psilocybin Analog Program</w:t>
            </w:r>
          </w:p>
        </w:tc>
        <w:tc>
          <w:tcPr>
            <w:tcW w:w="1505" w:type="dxa"/>
            <w:tcBorders/>
            <w:shd w:fill="E6EFFF" w:val="clear"/>
            <w:vAlign w:val="center"/>
          </w:tcPr>
          <w:p>
            <w:pPr>
              <w:pStyle w:val="TableContents"/>
              <w:bidi w:val="0"/>
              <w:spacing w:before="0" w:after="283"/>
              <w:jc w:val="center"/>
              <w:rPr/>
            </w:pPr>
            <w:r>
              <w:rPr/>
              <w:t> </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 </w:t>
            </w:r>
          </w:p>
        </w:tc>
      </w:tr>
      <w:tr>
        <w:trPr/>
        <w:tc>
          <w:tcPr>
            <w:tcW w:w="5195" w:type="dxa"/>
            <w:tcBorders/>
            <w:vAlign w:val="center"/>
          </w:tcPr>
          <w:p>
            <w:pPr>
              <w:pStyle w:val="TableContents"/>
              <w:bidi w:val="0"/>
              <w:spacing w:before="0" w:after="0"/>
              <w:jc w:val="left"/>
              <w:rPr/>
            </w:pPr>
            <w:r>
              <w:rPr/>
              <w:t>Provide topline data readout from the Phase 1/2a study</w:t>
            </w:r>
          </w:p>
        </w:tc>
        <w:tc>
          <w:tcPr>
            <w:tcW w:w="1505" w:type="dxa"/>
            <w:tcBorders/>
            <w:vAlign w:val="center"/>
          </w:tcPr>
          <w:p>
            <w:pPr>
              <w:pStyle w:val="TableContents"/>
              <w:bidi w:val="0"/>
              <w:spacing w:before="0" w:after="283"/>
              <w:jc w:val="center"/>
              <w:rPr/>
            </w:pPr>
            <w:r>
              <w:rPr/>
              <w:t>3,880,627</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Q3/Q4 2023</w:t>
            </w:r>
          </w:p>
        </w:tc>
      </w:tr>
      <w:tr>
        <w:trPr/>
        <w:tc>
          <w:tcPr>
            <w:tcW w:w="5195" w:type="dxa"/>
            <w:tcBorders/>
            <w:shd w:fill="E6EFFF" w:val="clear"/>
            <w:vAlign w:val="center"/>
          </w:tcPr>
          <w:p>
            <w:pPr>
              <w:pStyle w:val="TableContents"/>
              <w:bidi w:val="0"/>
              <w:spacing w:before="0" w:after="0"/>
              <w:jc w:val="left"/>
              <w:rPr/>
            </w:pPr>
            <w:r>
              <w:rPr/>
              <w:t>Complete FDA submission of Phase 1/2a data</w:t>
            </w:r>
          </w:p>
        </w:tc>
        <w:tc>
          <w:tcPr>
            <w:tcW w:w="1505" w:type="dxa"/>
            <w:tcBorders/>
            <w:shd w:fill="E6EFFF" w:val="clear"/>
            <w:vAlign w:val="center"/>
          </w:tcPr>
          <w:p>
            <w:pPr>
              <w:pStyle w:val="TableContents"/>
              <w:bidi w:val="0"/>
              <w:spacing w:before="0" w:after="283"/>
              <w:jc w:val="center"/>
              <w:rPr/>
            </w:pPr>
            <w:r>
              <w:rPr/>
              <w:t>2,500,200</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Q4 2023</w:t>
            </w:r>
          </w:p>
        </w:tc>
      </w:tr>
      <w:tr>
        <w:trPr/>
        <w:tc>
          <w:tcPr>
            <w:tcW w:w="5195" w:type="dxa"/>
            <w:tcBorders/>
            <w:vAlign w:val="center"/>
          </w:tcPr>
          <w:p>
            <w:pPr>
              <w:pStyle w:val="TableContents"/>
              <w:bidi w:val="0"/>
              <w:spacing w:before="0" w:after="0"/>
              <w:jc w:val="left"/>
              <w:rPr/>
            </w:pPr>
            <w:r>
              <w:rPr/>
              <w:t>Deuterated Dimethyltryptamine Program</w:t>
            </w:r>
          </w:p>
        </w:tc>
        <w:tc>
          <w:tcPr>
            <w:tcW w:w="15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w:t>
            </w:r>
          </w:p>
        </w:tc>
      </w:tr>
      <w:tr>
        <w:trPr/>
        <w:tc>
          <w:tcPr>
            <w:tcW w:w="5195" w:type="dxa"/>
            <w:tcBorders/>
            <w:shd w:fill="E6EFFF" w:val="clear"/>
            <w:vAlign w:val="center"/>
          </w:tcPr>
          <w:p>
            <w:pPr>
              <w:pStyle w:val="TableContents"/>
              <w:bidi w:val="0"/>
              <w:spacing w:before="0" w:after="0"/>
              <w:jc w:val="left"/>
              <w:rPr/>
            </w:pPr>
            <w:r>
              <w:rPr/>
              <w:t>Provide topline data from Phase 1 CYB004-E trial</w:t>
            </w:r>
          </w:p>
        </w:tc>
        <w:tc>
          <w:tcPr>
            <w:tcW w:w="1505" w:type="dxa"/>
            <w:tcBorders/>
            <w:shd w:fill="E6EFFF" w:val="clear"/>
            <w:vAlign w:val="center"/>
          </w:tcPr>
          <w:p>
            <w:pPr>
              <w:pStyle w:val="TableContents"/>
              <w:bidi w:val="0"/>
              <w:spacing w:before="0" w:after="283"/>
              <w:jc w:val="center"/>
              <w:rPr/>
            </w:pPr>
            <w:r>
              <w:rPr/>
              <w:t>1,269,000</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Q3/Q4 2023</w:t>
            </w:r>
          </w:p>
        </w:tc>
      </w:tr>
      <w:tr>
        <w:trPr/>
        <w:tc>
          <w:tcPr>
            <w:tcW w:w="5195" w:type="dxa"/>
            <w:tcBorders/>
            <w:vAlign w:val="center"/>
          </w:tcPr>
          <w:p>
            <w:pPr>
              <w:pStyle w:val="TableContents"/>
              <w:bidi w:val="0"/>
              <w:spacing w:before="0" w:after="0"/>
              <w:jc w:val="left"/>
              <w:rPr/>
            </w:pPr>
            <w:r>
              <w:rPr/>
              <w:t>Complete FDA IND submission</w:t>
            </w:r>
          </w:p>
        </w:tc>
        <w:tc>
          <w:tcPr>
            <w:tcW w:w="1505" w:type="dxa"/>
            <w:tcBorders/>
            <w:vAlign w:val="center"/>
          </w:tcPr>
          <w:p>
            <w:pPr>
              <w:pStyle w:val="TableContents"/>
              <w:bidi w:val="0"/>
              <w:spacing w:before="0" w:after="283"/>
              <w:jc w:val="center"/>
              <w:rPr/>
            </w:pPr>
            <w:r>
              <w:rPr/>
              <w:t>1,372,950</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Q1 2024</w:t>
            </w:r>
          </w:p>
        </w:tc>
      </w:tr>
      <w:tr>
        <w:trPr/>
        <w:tc>
          <w:tcPr>
            <w:tcW w:w="5195" w:type="dxa"/>
            <w:tcBorders/>
            <w:shd w:fill="E6EFFF" w:val="clear"/>
            <w:vAlign w:val="center"/>
          </w:tcPr>
          <w:p>
            <w:pPr>
              <w:pStyle w:val="TableContents"/>
              <w:bidi w:val="0"/>
              <w:spacing w:before="0" w:after="0"/>
              <w:jc w:val="left"/>
              <w:rPr/>
            </w:pPr>
            <w:r>
              <w:rPr/>
              <w:t>Phenethylamine Derivatives Program</w:t>
            </w:r>
          </w:p>
        </w:tc>
        <w:tc>
          <w:tcPr>
            <w:tcW w:w="1505" w:type="dxa"/>
            <w:tcBorders/>
            <w:shd w:fill="E6EFFF" w:val="clear"/>
            <w:vAlign w:val="center"/>
          </w:tcPr>
          <w:p>
            <w:pPr>
              <w:pStyle w:val="TableContents"/>
              <w:bidi w:val="0"/>
              <w:spacing w:before="0" w:after="283"/>
              <w:jc w:val="center"/>
              <w:rPr/>
            </w:pPr>
            <w:r>
              <w:rPr/>
              <w:t>-</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w:t>
            </w:r>
          </w:p>
        </w:tc>
      </w:tr>
      <w:tr>
        <w:trPr/>
        <w:tc>
          <w:tcPr>
            <w:tcW w:w="5195" w:type="dxa"/>
            <w:tcBorders/>
            <w:vAlign w:val="center"/>
          </w:tcPr>
          <w:p>
            <w:pPr>
              <w:pStyle w:val="TableContents"/>
              <w:bidi w:val="0"/>
              <w:spacing w:before="0" w:after="0"/>
              <w:jc w:val="left"/>
              <w:rPr/>
            </w:pPr>
            <w:r>
              <w:rPr/>
              <w:t>Technology Programs</w:t>
            </w:r>
          </w:p>
        </w:tc>
        <w:tc>
          <w:tcPr>
            <w:tcW w:w="150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w:t>
            </w:r>
          </w:p>
        </w:tc>
      </w:tr>
      <w:tr>
        <w:trPr/>
        <w:tc>
          <w:tcPr>
            <w:tcW w:w="5195" w:type="dxa"/>
            <w:tcBorders/>
            <w:shd w:fill="E6EFFF" w:val="clear"/>
            <w:vAlign w:val="center"/>
          </w:tcPr>
          <w:p>
            <w:pPr>
              <w:pStyle w:val="TableContents"/>
              <w:bidi w:val="0"/>
              <w:spacing w:before="0" w:after="0"/>
              <w:jc w:val="left"/>
              <w:rPr/>
            </w:pPr>
            <w:r>
              <w:rPr/>
              <w:t>Working Capital, and General Corporate Purposes</w:t>
            </w:r>
            <w:r>
              <w:rPr>
                <w:position w:val="8"/>
                <w:sz w:val="19"/>
              </w:rPr>
              <w:t>(5)</w:t>
            </w:r>
          </w:p>
        </w:tc>
        <w:tc>
          <w:tcPr>
            <w:tcW w:w="1505" w:type="dxa"/>
            <w:tcBorders/>
            <w:shd w:fill="E6EFFF" w:val="clear"/>
            <w:vAlign w:val="center"/>
          </w:tcPr>
          <w:p>
            <w:pPr>
              <w:pStyle w:val="TableContents"/>
              <w:bidi w:val="0"/>
              <w:spacing w:before="0" w:after="283"/>
              <w:jc w:val="center"/>
              <w:rPr/>
            </w:pPr>
            <w:r>
              <w:rPr/>
              <w:t>12,059,223</w:t>
            </w:r>
          </w:p>
        </w:tc>
        <w:tc>
          <w:tcPr>
            <w:tcW w:w="60" w:type="dxa"/>
            <w:tcBorders/>
            <w:shd w:fill="E6EFFF" w:val="clear"/>
            <w:vAlign w:val="center"/>
          </w:tcPr>
          <w:p>
            <w:pPr>
              <w:pStyle w:val="TableContents"/>
              <w:bidi w:val="0"/>
              <w:spacing w:before="0" w:after="283"/>
              <w:jc w:val="center"/>
              <w:rPr/>
            </w:pPr>
            <w:r>
              <w:rPr/>
              <w:t> </w:t>
            </w:r>
          </w:p>
        </w:tc>
        <w:tc>
          <w:tcPr>
            <w:tcW w:w="1355" w:type="dxa"/>
            <w:tcBorders/>
            <w:shd w:fill="E6EFFF" w:val="clear"/>
            <w:vAlign w:val="center"/>
          </w:tcPr>
          <w:p>
            <w:pPr>
              <w:pStyle w:val="TableContents"/>
              <w:bidi w:val="0"/>
              <w:spacing w:before="0" w:after="283"/>
              <w:jc w:val="center"/>
              <w:rPr/>
            </w:pPr>
            <w:r>
              <w:rPr/>
              <w:t>N/A</w:t>
            </w:r>
          </w:p>
        </w:tc>
      </w:tr>
      <w:tr>
        <w:trPr/>
        <w:tc>
          <w:tcPr>
            <w:tcW w:w="5195" w:type="dxa"/>
            <w:tcBorders/>
            <w:vAlign w:val="center"/>
          </w:tcPr>
          <w:p>
            <w:pPr>
              <w:pStyle w:val="TableContents"/>
              <w:bidi w:val="0"/>
              <w:spacing w:before="0" w:after="283"/>
              <w:jc w:val="center"/>
              <w:rPr>
                <w:b/>
              </w:rPr>
            </w:pPr>
            <w:r>
              <w:rPr>
                <w:b/>
              </w:rPr>
              <w:t>Total</w:t>
            </w:r>
          </w:p>
        </w:tc>
        <w:tc>
          <w:tcPr>
            <w:tcW w:w="1505" w:type="dxa"/>
            <w:tcBorders/>
            <w:vAlign w:val="center"/>
          </w:tcPr>
          <w:p>
            <w:pPr>
              <w:pStyle w:val="TableContents"/>
              <w:bidi w:val="0"/>
              <w:spacing w:before="0" w:after="283"/>
              <w:jc w:val="center"/>
              <w:rPr>
                <w:b/>
              </w:rPr>
            </w:pPr>
            <w:r>
              <w:rPr>
                <w:b/>
              </w:rPr>
              <w:t>21,082,000</w:t>
            </w:r>
          </w:p>
        </w:tc>
        <w:tc>
          <w:tcPr>
            <w:tcW w:w="60" w:type="dxa"/>
            <w:tcBorders/>
            <w:vAlign w:val="center"/>
          </w:tcPr>
          <w:p>
            <w:pPr>
              <w:pStyle w:val="TableContents"/>
              <w:bidi w:val="0"/>
              <w:spacing w:before="0" w:after="283"/>
              <w:jc w:val="center"/>
              <w:rPr/>
            </w:pPr>
            <w:r>
              <w:rPr/>
              <w:t> </w:t>
            </w:r>
          </w:p>
        </w:tc>
        <w:tc>
          <w:tcPr>
            <w:tcW w:w="1355" w:type="dxa"/>
            <w:tcBorders/>
            <w:vAlign w:val="center"/>
          </w:tcPr>
          <w:p>
            <w:pPr>
              <w:pStyle w:val="TableContents"/>
              <w:bidi w:val="0"/>
              <w:spacing w:before="0" w:after="283"/>
              <w:jc w:val="center"/>
              <w:rPr/>
            </w:pPr>
            <w:r>
              <w:rPr/>
              <w:t> </w:t>
            </w:r>
          </w:p>
        </w:tc>
      </w:tr>
    </w:tbl>
    <w:p>
      <w:pPr>
        <w:pStyle w:val="TextBody"/>
        <w:bidi w:val="0"/>
        <w:ind w:left="0" w:right="0" w:firstLine="284"/>
        <w:jc w:val="both"/>
        <w:rPr>
          <w:b/>
          <w:u w:val="single"/>
        </w:rPr>
      </w:pPr>
      <w:r>
        <w:rPr>
          <w:b/>
          <w:u w:val="single"/>
        </w:rPr>
        <w:t>Notes:</w:t>
      </w:r>
    </w:p>
    <w:p>
      <w:pPr>
        <w:pStyle w:val="TextBody"/>
        <w:bidi w:val="0"/>
        <w:spacing w:before="0" w:after="0"/>
        <w:ind w:left="851" w:right="0" w:hanging="300"/>
        <w:jc w:val="both"/>
        <w:rPr/>
      </w:pPr>
      <w:r>
        <w:rPr/>
        <w:t>(1) Please see the Corporation’s Interim MD&amp;A for a description of the Corporation’s programs. All milestones are subject to receipt of all necessary approvals, including the academic and scientific organizations with which the Corporation is working.</w:t>
      </w:r>
    </w:p>
    <w:p>
      <w:pPr>
        <w:pStyle w:val="TextBody"/>
        <w:bidi w:val="0"/>
        <w:spacing w:before="0" w:after="0"/>
        <w:ind w:left="851" w:right="0" w:hanging="300"/>
        <w:jc w:val="both"/>
        <w:rPr/>
      </w:pPr>
      <w:r>
        <w:rPr/>
        <w:t>(2) Certain amounts have been converted from USD to CAD at an exchange rate of 1.35:1.</w:t>
      </w:r>
    </w:p>
    <w:p>
      <w:pPr>
        <w:pStyle w:val="TextBody"/>
        <w:bidi w:val="0"/>
        <w:spacing w:before="0" w:after="0"/>
        <w:ind w:left="851" w:right="0" w:hanging="300"/>
        <w:jc w:val="both"/>
        <w:rPr/>
      </w:pPr>
      <w:r>
        <w:rPr/>
        <w:t>(3) Represents proceeds from private placements and offerings previously disclosed, as well proceeds from the ATM Program and May 2023 Prospectus.</w:t>
      </w:r>
    </w:p>
    <w:p>
      <w:pPr>
        <w:pStyle w:val="TextBody"/>
        <w:bidi w:val="0"/>
        <w:spacing w:before="0" w:after="0"/>
        <w:ind w:left="851" w:right="0" w:hanging="300"/>
        <w:jc w:val="both"/>
        <w:rPr/>
      </w:pPr>
      <w:r>
        <w:rPr/>
        <w:t>(4) Anticipated timeline for completion is based on the calendar year. Anticipated spending and timelines regarding drug development are based on reasonable assumptions informed by current knowledge and information available to the Corporation.</w:t>
      </w:r>
    </w:p>
    <w:p>
      <w:pPr>
        <w:pStyle w:val="TextBody"/>
        <w:bidi w:val="0"/>
        <w:spacing w:before="0" w:after="0"/>
        <w:ind w:left="851" w:right="0" w:hanging="300"/>
        <w:jc w:val="both"/>
        <w:rPr/>
      </w:pPr>
      <w:r>
        <w:rPr/>
        <w:t>(5) Includes personnel costs, professional services, overhead expenses and general expenses to be incurred by the Corporation in the normal course of business. In addition, the Corporation intends to use a portion of these proceeds to continue funding both its Deuterated Psilocybin Analog Program and Deuterated Dimethyltryptamine Program. The allocation between and specific milestones within these programs have not yet been determined.</w:t>
      </w:r>
    </w:p>
    <w:p>
      <w:pPr>
        <w:pStyle w:val="TextBody"/>
        <w:bidi w:val="0"/>
        <w:jc w:val="both"/>
        <w:rPr>
          <w:b/>
        </w:rPr>
      </w:pPr>
      <w:r>
        <w:rPr>
          <w:b/>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pStyle w:val="TextBody"/>
        <w:bidi w:val="0"/>
        <w:jc w:val="both"/>
        <w:rPr/>
      </w:pPr>
      <w:r>
        <w:rPr/>
        <w:t>As at August 8,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August 8, 2023 in the amount of approximately $21,082,000.</w:t>
      </w:r>
    </w:p>
    <w:p>
      <w:pPr>
        <w:pStyle w:val="TextBody"/>
        <w:bidi w:val="0"/>
        <w:jc w:val="both"/>
        <w:rPr/>
      </w:pPr>
      <w:r>
        <w:rPr/>
        <w:t>The anticipated spend and cash burn do not account for funds that the Corporation had previously disclosed as being required to progress its Phenethylamine Derivatives Program listed in the table above. As disclosed in its Interim MD&amp;A, the Corporation anticipated spending approximately $900,000 under its Phenethylamine Derivatives Program by September 30, 2023 to complete preclinical development of a phenethylamine drug candidate, of which approximately $42,000 was spent during the three months ended June 30, 2023, and approximately $782,000 was spent during the financial year ended March 31, 2023, resulting in an approximate remaining spend as of June 30, 2023 of $76,000 by September 30, 2023.</w:t>
      </w:r>
      <w:r>
        <w:rPr>
          <w:position w:val="8"/>
          <w:sz w:val="19"/>
        </w:rPr>
        <w:t>10</w:t>
      </w:r>
      <w:r>
        <w:rPr/>
        <w:t xml:space="preserve"> If the Corporation does not raise additional funds in the coming 12 months, it anticipates that it will need to reduce the amounts spent on the Phenethylamine Derivatives Program programs and adjust the corresponding timelines disclosed in its Interim MD&amp;A.</w:t>
      </w:r>
    </w:p>
    <w:p>
      <w:pPr>
        <w:pStyle w:val="TextBody"/>
        <w:bidi w:val="0"/>
        <w:spacing w:before="0" w:after="283"/>
        <w:jc w:val="both"/>
        <w:rPr/>
      </w:pPr>
      <w:r>
        <w:rPr>
          <w:position w:val="8"/>
          <w:sz w:val="19"/>
        </w:rPr>
        <w:t>_____________________________________________</w:t>
        <w:br/>
        <w:t>10</w:t>
      </w:r>
      <w:r>
        <w:rPr/>
        <w:t xml:space="preserve"> Reflects actual spend during the financial year ended March 31, 2023, the three months ended June 30, 2023, and expected spend during the period from July 1, 2023 until the achievement of preclinical development of a phenethylamine drug candidate by September 30, 2023. The Company had previously estimated that its spending to complete preclinical development of a phenethylamine drug candidate would be $1,283,000. Anticipated timing and spending regarding drug development is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8" w:name="page_70"/>
      <w:bookmarkEnd w:id="88"/>
      <w:r>
        <w:rPr/>
        <w:t>The Corporation's expectation is based on certain assumptions and risks as set forth in the section "</w:t>
      </w:r>
      <w:r>
        <w:rPr>
          <w:i/>
        </w:rPr>
        <w:t>Cautionary Note Regarding Forward Looking Information</w:t>
      </w:r>
      <w:r>
        <w:rPr/>
        <w:t>" and "</w:t>
      </w:r>
      <w:r>
        <w:rPr>
          <w:i/>
        </w:rPr>
        <w:t>Risk Factors</w:t>
      </w:r>
      <w:r>
        <w:rPr/>
        <w:t>" in this Prospectus.</w:t>
      </w:r>
    </w:p>
    <w:p>
      <w:pPr>
        <w:pStyle w:val="TextBody"/>
        <w:bidi w:val="0"/>
        <w:jc w:val="both"/>
        <w:rPr/>
      </w:pPr>
      <w:r>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i/>
        </w:rPr>
        <w:t>Cautionary Note Regarding Forward-Looking Information"</w:t>
      </w:r>
      <w:r>
        <w:rPr/>
        <w:t xml:space="preserve"> section above. The actual amount that the Corporation spends in connection with each of the identified uses and programs will depend on a number of factors, including those listed under </w:t>
      </w:r>
      <w:r>
        <w:rPr>
          <w:i/>
        </w:rPr>
        <w:t>"Risk Factors"</w:t>
      </w:r>
      <w:r>
        <w:rPr/>
        <w:t xml:space="preserve"> in, or incorporated by reference in, this Prospectus.</w:t>
      </w:r>
    </w:p>
    <w:p>
      <w:pPr>
        <w:pStyle w:val="TextBody"/>
        <w:bidi w:val="0"/>
        <w:jc w:val="both"/>
        <w:rPr>
          <w:b/>
        </w:rPr>
      </w:pPr>
      <w:r>
        <w:rPr>
          <w:b/>
        </w:rPr>
        <w:t>Negative Cash Flow From Operations</w:t>
      </w:r>
    </w:p>
    <w:p>
      <w:pPr>
        <w:pStyle w:val="TextBody"/>
        <w:bidi w:val="0"/>
        <w:jc w:val="both"/>
        <w:rPr/>
      </w:pPr>
      <w:r>
        <w:rPr/>
        <w:t xml:space="preserve">Since inception, the Corporation has financed its operations primarily from the issuance of equity and interest income on funds available for investment. To date, the Corporation has raised approximately C$156,500,000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i/>
        </w:rPr>
        <w:t xml:space="preserve">"Risk Factors - Risks Related to an Offering - Negative Operating Cash Flow and Going Concern". </w:t>
      </w:r>
    </w:p>
    <w:p>
      <w:pPr>
        <w:pStyle w:val="TextBody"/>
        <w:bidi w:val="0"/>
        <w:jc w:val="center"/>
        <w:rPr>
          <w:b/>
        </w:rPr>
      </w:pPr>
      <w:r>
        <w:rPr>
          <w:b/>
        </w:rPr>
        <w:t>DIVIDEND POLICY</w:t>
      </w:r>
    </w:p>
    <w:p>
      <w:pPr>
        <w:pStyle w:val="TextBody"/>
        <w:bidi w:val="0"/>
        <w:jc w:val="both"/>
        <w:rPr/>
      </w:pPr>
      <w:r>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i/>
        </w:rPr>
        <w:t>Risk Factors - Risks Related to an Offering - Speculative Nature of Investment Risk</w:t>
      </w:r>
      <w:r>
        <w:rPr/>
        <w:t>".</w:t>
      </w:r>
    </w:p>
    <w:p>
      <w:pPr>
        <w:pStyle w:val="TextBody"/>
        <w:bidi w:val="0"/>
        <w:jc w:val="center"/>
        <w:rPr>
          <w:b/>
        </w:rPr>
      </w:pPr>
      <w:r>
        <w:rPr>
          <w:b/>
        </w:rPr>
        <w:t>DESCRIPTION OF SECURITIES BEING DISTRIBUTED</w:t>
      </w:r>
    </w:p>
    <w:p>
      <w:pPr>
        <w:pStyle w:val="TextBody"/>
        <w:bidi w:val="0"/>
        <w:jc w:val="both"/>
        <w:rPr/>
      </w:pPr>
      <w:r>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89" w:name="page_71"/>
      <w:bookmarkEnd w:id="89"/>
      <w:r>
        <w:rPr>
          <w:b/>
        </w:rPr>
        <w:t>Common Shares</w:t>
      </w:r>
    </w:p>
    <w:p>
      <w:pPr>
        <w:pStyle w:val="TextBody"/>
        <w:bidi w:val="0"/>
        <w:jc w:val="both"/>
        <w:rPr/>
      </w:pPr>
      <w:r>
        <w:rPr/>
        <w:t>The Corporation is authorized to issue an unlimited number of Common Shares and an unlimited number of preferred shares. As at August 16, 2023, the Corporation had 234,683,234 Common Shares and nil preferred shares issued and outstanding.</w:t>
      </w:r>
    </w:p>
    <w:p>
      <w:pPr>
        <w:pStyle w:val="TextBody"/>
        <w:bidi w:val="0"/>
        <w:jc w:val="both"/>
        <w:rPr/>
      </w:pPr>
      <w:r>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pStyle w:val="TextBody"/>
        <w:bidi w:val="0"/>
        <w:jc w:val="both"/>
        <w:rPr/>
      </w:pPr>
      <w:r>
        <w:rPr/>
        <w:t>Common Shares may be sold separately or together with certain other Securities under this Prospectus. Common Shares may also be issuable on conversion, exchange, exercise or maturity of certain other Securities qualified for issuance under this Prospectus.</w:t>
      </w:r>
    </w:p>
    <w:p>
      <w:pPr>
        <w:pStyle w:val="TextBody"/>
        <w:bidi w:val="0"/>
        <w:jc w:val="both"/>
        <w:rPr>
          <w:b/>
        </w:rPr>
      </w:pPr>
      <w:r>
        <w:rPr>
          <w:b/>
        </w:rPr>
        <w:t>Warrants</w:t>
      </w:r>
    </w:p>
    <w:p>
      <w:pPr>
        <w:pStyle w:val="TextBody"/>
        <w:bidi w:val="0"/>
        <w:jc w:val="both"/>
        <w:rPr/>
      </w:pPr>
      <w:r>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pStyle w:val="TextBody"/>
        <w:bidi w:val="0"/>
        <w:jc w:val="both"/>
        <w:rPr/>
      </w:pPr>
      <w:r>
        <w:rPr/>
        <w:t>A copy of any warrant indenture or any warrant agency agreement relating to an offering of Warrants will be filed by the Corporation with the relevant securities regulatory authorities in Canada after it has been entered into by the Corporation.</w:t>
      </w:r>
    </w:p>
    <w:p>
      <w:pPr>
        <w:pStyle w:val="TextBody"/>
        <w:bidi w:val="0"/>
        <w:jc w:val="both"/>
        <w:rPr/>
      </w:pPr>
      <w:r>
        <w:rPr/>
        <w:t>Each applicable Prospectus Supplement will set forth the terms and other information with respect to the Warrants being offered thereby, which may include, without limitation, the following (where applicable):</w:t>
      </w:r>
    </w:p>
    <w:p>
      <w:pPr>
        <w:pStyle w:val="TextBody"/>
        <w:numPr>
          <w:ilvl w:val="0"/>
          <w:numId w:val="11"/>
        </w:numPr>
        <w:pBdr/>
        <w:tabs>
          <w:tab w:val="clear" w:pos="1134"/>
          <w:tab w:val="left" w:pos="1258" w:leader="none"/>
        </w:tabs>
        <w:bidi w:val="0"/>
        <w:ind w:left="1258" w:right="0" w:hanging="283"/>
        <w:jc w:val="both"/>
        <w:rPr/>
      </w:pPr>
      <w:r>
        <w:rPr/>
        <w:t>the designation of the Warrants;</w:t>
      </w:r>
    </w:p>
    <w:p>
      <w:pPr>
        <w:pStyle w:val="TextBody"/>
        <w:numPr>
          <w:ilvl w:val="0"/>
          <w:numId w:val="11"/>
        </w:numPr>
        <w:pBdr/>
        <w:tabs>
          <w:tab w:val="clear" w:pos="1134"/>
          <w:tab w:val="left" w:pos="1258" w:leader="none"/>
        </w:tabs>
        <w:bidi w:val="0"/>
        <w:ind w:left="1258" w:right="0" w:hanging="283"/>
        <w:jc w:val="both"/>
        <w:rPr/>
      </w:pPr>
      <w:r>
        <w:rPr/>
        <w:t>the aggregate number of Warrants offered and the offering price;</w:t>
      </w:r>
    </w:p>
    <w:p>
      <w:pPr>
        <w:pStyle w:val="TextBody"/>
        <w:numPr>
          <w:ilvl w:val="0"/>
          <w:numId w:val="11"/>
        </w:numPr>
        <w:pBdr/>
        <w:tabs>
          <w:tab w:val="clear" w:pos="1134"/>
          <w:tab w:val="left" w:pos="1258" w:leader="none"/>
        </w:tabs>
        <w:bidi w:val="0"/>
        <w:ind w:left="1258" w:right="0" w:hanging="283"/>
        <w:jc w:val="both"/>
        <w:rPr/>
      </w:pPr>
      <w:r>
        <w:rPr/>
        <w:t>the designation, number and terms of the other Securities purchasable upon exercise of the Warrants, and procedures that will result in the adjustment of those numbers;</w:t>
      </w:r>
    </w:p>
    <w:p>
      <w:pPr>
        <w:pStyle w:val="TextBody"/>
        <w:numPr>
          <w:ilvl w:val="0"/>
          <w:numId w:val="11"/>
        </w:numPr>
        <w:pBdr/>
        <w:tabs>
          <w:tab w:val="clear" w:pos="1134"/>
          <w:tab w:val="left" w:pos="1258" w:leader="none"/>
        </w:tabs>
        <w:bidi w:val="0"/>
        <w:ind w:left="1258" w:right="0" w:hanging="283"/>
        <w:jc w:val="both"/>
        <w:rPr/>
      </w:pPr>
      <w:r>
        <w:rPr/>
        <w:t>the exercise price of the Warrants;</w:t>
      </w:r>
    </w:p>
    <w:p>
      <w:pPr>
        <w:pStyle w:val="TextBody"/>
        <w:numPr>
          <w:ilvl w:val="0"/>
          <w:numId w:val="11"/>
        </w:numPr>
        <w:pBdr/>
        <w:tabs>
          <w:tab w:val="clear" w:pos="1134"/>
          <w:tab w:val="left" w:pos="1258" w:leader="none"/>
        </w:tabs>
        <w:bidi w:val="0"/>
        <w:ind w:left="1258" w:right="0" w:hanging="283"/>
        <w:jc w:val="both"/>
        <w:rPr/>
      </w:pPr>
      <w:r>
        <w:rPr/>
        <w:t>the dates or periods during which the Warrants are exercisable;</w:t>
      </w:r>
    </w:p>
    <w:p>
      <w:pPr>
        <w:pStyle w:val="TextBody"/>
        <w:numPr>
          <w:ilvl w:val="0"/>
          <w:numId w:val="11"/>
        </w:numPr>
        <w:pBdr/>
        <w:tabs>
          <w:tab w:val="clear" w:pos="1134"/>
          <w:tab w:val="left" w:pos="1258" w:leader="none"/>
        </w:tabs>
        <w:bidi w:val="0"/>
        <w:ind w:left="1258" w:right="0" w:hanging="283"/>
        <w:jc w:val="both"/>
        <w:rPr/>
      </w:pPr>
      <w:r>
        <w:rPr/>
        <w:t>the designation and terms of any securities with which the Warrants are issued;</w:t>
      </w:r>
    </w:p>
    <w:p>
      <w:pPr>
        <w:pStyle w:val="TextBody"/>
        <w:numPr>
          <w:ilvl w:val="0"/>
          <w:numId w:val="11"/>
        </w:numPr>
        <w:pBdr/>
        <w:tabs>
          <w:tab w:val="clear" w:pos="1134"/>
          <w:tab w:val="left" w:pos="1258" w:leader="none"/>
        </w:tabs>
        <w:bidi w:val="0"/>
        <w:ind w:left="1258" w:right="0" w:hanging="283"/>
        <w:jc w:val="both"/>
        <w:rPr/>
      </w:pPr>
      <w:r>
        <w:rPr/>
        <w:t>if the Warrants are issued as a unit with another Security, the date on and after which the Warrants and the other Security will be separately transferable;</w:t>
      </w:r>
    </w:p>
    <w:p>
      <w:pPr>
        <w:pStyle w:val="TextBody"/>
        <w:numPr>
          <w:ilvl w:val="0"/>
          <w:numId w:val="11"/>
        </w:numPr>
        <w:pBdr/>
        <w:tabs>
          <w:tab w:val="clear" w:pos="1134"/>
          <w:tab w:val="left" w:pos="1258" w:leader="none"/>
        </w:tabs>
        <w:bidi w:val="0"/>
        <w:ind w:left="1258" w:right="0" w:hanging="283"/>
        <w:jc w:val="both"/>
        <w:rPr/>
      </w:pPr>
      <w:r>
        <w:rPr/>
        <w:t>any minimum or maximum amount of Warrants that may be exercised at any one time;</w:t>
      </w:r>
    </w:p>
    <w:p>
      <w:pPr>
        <w:pStyle w:val="TextBody"/>
        <w:numPr>
          <w:ilvl w:val="0"/>
          <w:numId w:val="11"/>
        </w:numPr>
        <w:pBdr/>
        <w:tabs>
          <w:tab w:val="clear" w:pos="1134"/>
          <w:tab w:val="left" w:pos="1258" w:leader="none"/>
        </w:tabs>
        <w:bidi w:val="0"/>
        <w:ind w:left="1258" w:right="0" w:hanging="283"/>
        <w:jc w:val="both"/>
        <w:rPr/>
      </w:pPr>
      <w:r>
        <w:rPr/>
        <w:t>whether such Warrants will be listed on any securities exchange;</w:t>
      </w:r>
    </w:p>
    <w:p>
      <w:pPr>
        <w:pStyle w:val="TextBody"/>
        <w:numPr>
          <w:ilvl w:val="0"/>
          <w:numId w:val="11"/>
        </w:numPr>
        <w:pBdr/>
        <w:tabs>
          <w:tab w:val="clear" w:pos="1134"/>
          <w:tab w:val="left" w:pos="1258" w:leader="none"/>
        </w:tabs>
        <w:bidi w:val="0"/>
        <w:ind w:left="1258" w:right="0" w:hanging="283"/>
        <w:jc w:val="both"/>
        <w:rPr/>
      </w:pPr>
      <w:r>
        <w:rPr/>
        <w:t>any terms, procedures and limitations relating to the transferability, exchange or exercise of the Warrants;</w:t>
      </w:r>
    </w:p>
    <w:p>
      <w:pPr>
        <w:pStyle w:val="TextBody"/>
        <w:numPr>
          <w:ilvl w:val="0"/>
          <w:numId w:val="11"/>
        </w:numPr>
        <w:pBdr/>
        <w:tabs>
          <w:tab w:val="clear" w:pos="1134"/>
          <w:tab w:val="left" w:pos="1258" w:leader="none"/>
        </w:tabs>
        <w:bidi w:val="0"/>
        <w:ind w:left="1258" w:right="0" w:hanging="283"/>
        <w:jc w:val="both"/>
        <w:rPr/>
      </w:pPr>
      <w:r>
        <w:rPr/>
        <w:t>certain material Canadian tax consequences of owning the Warrants; and</w:t>
      </w:r>
    </w:p>
    <w:p>
      <w:pPr>
        <w:pStyle w:val="TextBody"/>
        <w:numPr>
          <w:ilvl w:val="0"/>
          <w:numId w:val="11"/>
        </w:numPr>
        <w:pBdr/>
        <w:tabs>
          <w:tab w:val="clear" w:pos="1134"/>
          <w:tab w:val="left" w:pos="1261" w:leader="none"/>
        </w:tabs>
        <w:bidi w:val="0"/>
        <w:ind w:left="1261" w:right="0" w:hanging="283"/>
        <w:jc w:val="both"/>
        <w:rPr/>
      </w:pPr>
      <w:r>
        <w:rPr/>
        <w:t>any other material terms and conditions of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90" w:name="page_72"/>
      <w:bookmarkEnd w:id="90"/>
      <w:r>
        <w:rPr>
          <w:b/>
        </w:rPr>
        <w:t>Units</w:t>
      </w:r>
    </w:p>
    <w:p>
      <w:pPr>
        <w:pStyle w:val="TextBody"/>
        <w:bidi w:val="0"/>
        <w:jc w:val="both"/>
        <w:rPr/>
      </w:pPr>
      <w:r>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pStyle w:val="TextBody"/>
        <w:bidi w:val="0"/>
        <w:jc w:val="both"/>
        <w:rPr/>
      </w:pPr>
      <w:r>
        <w:rPr/>
        <w:t>Each applicable Prospectus Supplement will set forth the terms and other information with respect to the Units being offered thereby, which may include, without limitation, the following (where applicable):</w:t>
      </w:r>
    </w:p>
    <w:p>
      <w:pPr>
        <w:pStyle w:val="TextBody"/>
        <w:numPr>
          <w:ilvl w:val="0"/>
          <w:numId w:val="12"/>
        </w:numPr>
        <w:pBdr/>
        <w:tabs>
          <w:tab w:val="clear" w:pos="1134"/>
          <w:tab w:val="left" w:pos="1258" w:leader="none"/>
        </w:tabs>
        <w:bidi w:val="0"/>
        <w:ind w:left="1258" w:right="0" w:hanging="283"/>
        <w:jc w:val="both"/>
        <w:rPr/>
      </w:pPr>
      <w:r>
        <w:rPr/>
        <w:t>the designation, number and terms of the Units and of the Securities comprising the Units, including whether and under what circumstances those Securities may be held or transferred separately;</w:t>
      </w:r>
    </w:p>
    <w:p>
      <w:pPr>
        <w:pStyle w:val="TextBody"/>
        <w:numPr>
          <w:ilvl w:val="0"/>
          <w:numId w:val="12"/>
        </w:numPr>
        <w:pBdr/>
        <w:tabs>
          <w:tab w:val="clear" w:pos="1134"/>
          <w:tab w:val="left" w:pos="1258" w:leader="none"/>
        </w:tabs>
        <w:bidi w:val="0"/>
        <w:ind w:left="1258" w:right="0" w:hanging="283"/>
        <w:jc w:val="both"/>
        <w:rPr/>
      </w:pPr>
      <w:r>
        <w:rPr/>
        <w:t>any provisions for the issuance, payment, settlement, transfer or exchange of the Units or of the Securities comprising the Units;</w:t>
      </w:r>
    </w:p>
    <w:p>
      <w:pPr>
        <w:pStyle w:val="TextBody"/>
        <w:numPr>
          <w:ilvl w:val="0"/>
          <w:numId w:val="12"/>
        </w:numPr>
        <w:pBdr/>
        <w:tabs>
          <w:tab w:val="clear" w:pos="1134"/>
          <w:tab w:val="left" w:pos="1258" w:leader="none"/>
        </w:tabs>
        <w:bidi w:val="0"/>
        <w:ind w:left="1258" w:right="0" w:hanging="283"/>
        <w:jc w:val="both"/>
        <w:rPr/>
      </w:pPr>
      <w:r>
        <w:rPr/>
        <w:t>certain material Canadian tax consequences of owning the Securities comprising the Units; and</w:t>
      </w:r>
    </w:p>
    <w:p>
      <w:pPr>
        <w:pStyle w:val="TextBody"/>
        <w:numPr>
          <w:ilvl w:val="0"/>
          <w:numId w:val="12"/>
        </w:numPr>
        <w:pBdr/>
        <w:tabs>
          <w:tab w:val="clear" w:pos="1134"/>
          <w:tab w:val="left" w:pos="1261" w:leader="none"/>
        </w:tabs>
        <w:bidi w:val="0"/>
        <w:ind w:left="1261" w:right="0" w:hanging="283"/>
        <w:jc w:val="both"/>
        <w:rPr/>
      </w:pPr>
      <w:r>
        <w:rPr/>
        <w:t>any other material terms and conditions of the Units.</w:t>
      </w:r>
    </w:p>
    <w:p>
      <w:pPr>
        <w:pStyle w:val="TextBody"/>
        <w:bidi w:val="0"/>
        <w:ind w:left="552" w:right="0" w:hanging="0"/>
        <w:jc w:val="both"/>
        <w:rPr>
          <w:b/>
        </w:rPr>
      </w:pPr>
      <w:r>
        <w:rPr>
          <w:b/>
        </w:rPr>
        <w:t>Debt Securities</w:t>
      </w:r>
    </w:p>
    <w:p>
      <w:pPr>
        <w:pStyle w:val="TextBody"/>
        <w:bidi w:val="0"/>
        <w:jc w:val="both"/>
        <w:rPr/>
      </w:pPr>
      <w:r>
        <w:rPr/>
        <w:t>The Debt Securities may be issued in one or more series under an indenture (the "</w:t>
      </w:r>
      <w:r>
        <w:rPr>
          <w:b/>
        </w:rPr>
        <w:t>Indenture</w:t>
      </w:r>
      <w:r>
        <w:rPr/>
        <w:t>") to be entered into between the Corporation and one or more trustees (the "</w:t>
      </w:r>
      <w:r>
        <w:rPr>
          <w:b/>
        </w:rPr>
        <w:t>Trustee</w:t>
      </w:r>
      <w:r>
        <w:rPr/>
        <w:t>")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Units or Subscription Receipts or any combination thereof, as the case may be.</w:t>
      </w:r>
    </w:p>
    <w:p>
      <w:pPr>
        <w:pStyle w:val="TextBody"/>
        <w:bidi w:val="0"/>
        <w:jc w:val="both"/>
        <w:rPr/>
      </w:pPr>
      <w:r>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pStyle w:val="TextBody"/>
        <w:numPr>
          <w:ilvl w:val="0"/>
          <w:numId w:val="13"/>
        </w:numPr>
        <w:pBdr/>
        <w:tabs>
          <w:tab w:val="clear" w:pos="1134"/>
          <w:tab w:val="left" w:pos="1261" w:leader="none"/>
        </w:tabs>
        <w:bidi w:val="0"/>
        <w:ind w:left="1261" w:right="0" w:hanging="283"/>
        <w:jc w:val="both"/>
        <w:rPr/>
      </w:pPr>
      <w:r>
        <w:rPr/>
        <w:t>the title of the Debt Securities;</w:t>
      </w:r>
    </w:p>
    <w:p>
      <w:pPr>
        <w:pStyle w:val="TextBody"/>
        <w:numPr>
          <w:ilvl w:val="0"/>
          <w:numId w:val="13"/>
        </w:numPr>
        <w:pBdr/>
        <w:tabs>
          <w:tab w:val="clear" w:pos="1134"/>
          <w:tab w:val="left" w:pos="1261" w:leader="none"/>
        </w:tabs>
        <w:bidi w:val="0"/>
        <w:ind w:left="1261" w:right="0" w:hanging="283"/>
        <w:jc w:val="both"/>
        <w:rPr/>
      </w:pPr>
      <w:r>
        <w:rPr/>
        <w:t>any limit on the aggregate principal amount of the Debt Securities;</w:t>
      </w:r>
    </w:p>
    <w:p>
      <w:pPr>
        <w:pStyle w:val="TextBody"/>
        <w:numPr>
          <w:ilvl w:val="0"/>
          <w:numId w:val="13"/>
        </w:numPr>
        <w:pBdr/>
        <w:tabs>
          <w:tab w:val="clear" w:pos="1134"/>
          <w:tab w:val="left" w:pos="1261" w:leader="none"/>
        </w:tabs>
        <w:bidi w:val="0"/>
        <w:ind w:left="1261" w:right="0" w:hanging="283"/>
        <w:jc w:val="both"/>
        <w:rPr/>
      </w:pPr>
      <w:r>
        <w:rPr/>
        <w:t>the date or dates, if any, on which the Debt Securities will mature and the portion (if less than all of the principal amount) of the Debt Securities to be payable upon declaration of acceleration of maturity;</w:t>
      </w:r>
    </w:p>
    <w:p>
      <w:pPr>
        <w:pStyle w:val="TextBody"/>
        <w:numPr>
          <w:ilvl w:val="0"/>
          <w:numId w:val="13"/>
        </w:numPr>
        <w:pBdr/>
        <w:tabs>
          <w:tab w:val="clear" w:pos="1134"/>
          <w:tab w:val="left" w:pos="1261" w:leader="none"/>
        </w:tabs>
        <w:bidi w:val="0"/>
        <w:ind w:left="1261" w:right="0" w:hanging="283"/>
        <w:jc w:val="both"/>
        <w:rPr/>
      </w:pPr>
      <w:r>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pStyle w:val="TextBody"/>
        <w:numPr>
          <w:ilvl w:val="0"/>
          <w:numId w:val="13"/>
        </w:numPr>
        <w:pBdr/>
        <w:tabs>
          <w:tab w:val="clear" w:pos="1134"/>
          <w:tab w:val="left" w:pos="1261" w:leader="none"/>
        </w:tabs>
        <w:bidi w:val="0"/>
        <w:ind w:left="1261" w:right="0" w:hanging="283"/>
        <w:jc w:val="both"/>
        <w:rPr/>
      </w:pPr>
      <w:r>
        <w:rPr/>
        <w:t>the terms and conditions under which the Corporation may be obligated to redeem, repay or purchase the Debt Securities pursuant to any sinking fund or analogous provisions or otherwise;</w:t>
      </w:r>
    </w:p>
    <w:p>
      <w:pPr>
        <w:pStyle w:val="TextBody"/>
        <w:numPr>
          <w:ilvl w:val="0"/>
          <w:numId w:val="13"/>
        </w:numPr>
        <w:pBdr/>
        <w:tabs>
          <w:tab w:val="clear" w:pos="1134"/>
          <w:tab w:val="left" w:pos="1261" w:leader="none"/>
        </w:tabs>
        <w:bidi w:val="0"/>
        <w:ind w:left="1261" w:right="0" w:hanging="283"/>
        <w:jc w:val="both"/>
        <w:rPr/>
      </w:pPr>
      <w:r>
        <w:rPr/>
        <w:t>the terms and conditions upon which the Corporation may redeem the Debt Securities, in whole or in part, at its option;</w:t>
      </w:r>
    </w:p>
    <w:p>
      <w:pPr>
        <w:pStyle w:val="TextBody"/>
        <w:numPr>
          <w:ilvl w:val="0"/>
          <w:numId w:val="13"/>
        </w:numPr>
        <w:pBdr/>
        <w:tabs>
          <w:tab w:val="clear" w:pos="1134"/>
          <w:tab w:val="left" w:pos="1261" w:leader="none"/>
        </w:tabs>
        <w:bidi w:val="0"/>
        <w:ind w:left="1261" w:right="0" w:hanging="283"/>
        <w:jc w:val="both"/>
        <w:rPr/>
      </w:pPr>
      <w:r>
        <w:rPr/>
        <w:t>the covenants applicable to the Debt Securities;</w:t>
      </w:r>
    </w:p>
    <w:p>
      <w:pPr>
        <w:pStyle w:val="TextBody"/>
        <w:numPr>
          <w:ilvl w:val="0"/>
          <w:numId w:val="13"/>
        </w:numPr>
        <w:pBdr/>
        <w:tabs>
          <w:tab w:val="clear" w:pos="1134"/>
          <w:tab w:val="left" w:pos="1261" w:leader="none"/>
        </w:tabs>
        <w:bidi w:val="0"/>
        <w:ind w:left="1261" w:right="0" w:hanging="283"/>
        <w:jc w:val="both"/>
        <w:rPr/>
      </w:pPr>
      <w:r>
        <w:rPr/>
        <w:t>the terms and conditions for any conversion or exchange of the Debt Securities for any other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14"/>
        </w:numPr>
        <w:pBdr/>
        <w:tabs>
          <w:tab w:val="clear" w:pos="1134"/>
          <w:tab w:val="left" w:pos="1261" w:leader="none"/>
        </w:tabs>
        <w:bidi w:val="0"/>
        <w:ind w:left="1261" w:right="0" w:hanging="283"/>
        <w:jc w:val="both"/>
        <w:rPr/>
      </w:pPr>
      <w:bookmarkStart w:id="91" w:name="page_73"/>
      <w:bookmarkEnd w:id="91"/>
      <w:r>
        <w:rPr/>
        <w:t>the extent and manner, if any, to which payment on or in respect of the Debt Securities of the series will be senior or will be subordinated to the prior payment of other liabilities and obligations of the Corporation;</w:t>
      </w:r>
    </w:p>
    <w:p>
      <w:pPr>
        <w:pStyle w:val="TextBody"/>
        <w:numPr>
          <w:ilvl w:val="0"/>
          <w:numId w:val="14"/>
        </w:numPr>
        <w:pBdr/>
        <w:tabs>
          <w:tab w:val="clear" w:pos="1134"/>
          <w:tab w:val="left" w:pos="1261" w:leader="none"/>
        </w:tabs>
        <w:bidi w:val="0"/>
        <w:ind w:left="1261" w:right="0" w:hanging="283"/>
        <w:jc w:val="both"/>
        <w:rPr/>
      </w:pPr>
      <w:r>
        <w:rPr/>
        <w:t>whether the Debt Securities will be secured or unsecured;</w:t>
      </w:r>
    </w:p>
    <w:p>
      <w:pPr>
        <w:pStyle w:val="TextBody"/>
        <w:numPr>
          <w:ilvl w:val="0"/>
          <w:numId w:val="14"/>
        </w:numPr>
        <w:pBdr/>
        <w:tabs>
          <w:tab w:val="clear" w:pos="1134"/>
          <w:tab w:val="left" w:pos="1261" w:leader="none"/>
        </w:tabs>
        <w:bidi w:val="0"/>
        <w:ind w:left="1261" w:right="0" w:hanging="283"/>
        <w:jc w:val="both"/>
        <w:rPr/>
      </w:pPr>
      <w:r>
        <w:rPr/>
        <w:t>whether the Debt Securities will be issuable in the form of global securities ("</w:t>
      </w:r>
      <w:r>
        <w:rPr>
          <w:b/>
        </w:rPr>
        <w:t>Global Securities</w:t>
      </w:r>
      <w:r>
        <w:rPr/>
        <w:t>"), and, if so, the identity of the depositary for such Global Securities;</w:t>
      </w:r>
    </w:p>
    <w:p>
      <w:pPr>
        <w:pStyle w:val="TextBody"/>
        <w:numPr>
          <w:ilvl w:val="0"/>
          <w:numId w:val="14"/>
        </w:numPr>
        <w:pBdr/>
        <w:tabs>
          <w:tab w:val="clear" w:pos="1134"/>
          <w:tab w:val="left" w:pos="1261" w:leader="none"/>
        </w:tabs>
        <w:bidi w:val="0"/>
        <w:ind w:left="1261" w:right="0" w:hanging="283"/>
        <w:jc w:val="both"/>
        <w:rPr/>
      </w:pPr>
      <w:r>
        <w:rPr/>
        <w:t>the denominations in which Debt Securities will be issuable, if other than denominations of US$1,000 or integral multiples of US$1,000;</w:t>
      </w:r>
    </w:p>
    <w:p>
      <w:pPr>
        <w:pStyle w:val="TextBody"/>
        <w:numPr>
          <w:ilvl w:val="0"/>
          <w:numId w:val="14"/>
        </w:numPr>
        <w:pBdr/>
        <w:tabs>
          <w:tab w:val="clear" w:pos="1134"/>
          <w:tab w:val="left" w:pos="1261" w:leader="none"/>
        </w:tabs>
        <w:bidi w:val="0"/>
        <w:ind w:left="1261" w:right="0" w:hanging="283"/>
        <w:jc w:val="both"/>
        <w:rPr/>
      </w:pPr>
      <w:r>
        <w:rPr/>
        <w:t>each office or agency where payments on the Debt Securities will be made and each office or agency where the Debt Securities may be presented for registration of transfer or exchange;</w:t>
      </w:r>
    </w:p>
    <w:p>
      <w:pPr>
        <w:pStyle w:val="TextBody"/>
        <w:numPr>
          <w:ilvl w:val="0"/>
          <w:numId w:val="14"/>
        </w:numPr>
        <w:pBdr/>
        <w:tabs>
          <w:tab w:val="clear" w:pos="1134"/>
          <w:tab w:val="left" w:pos="1261" w:leader="none"/>
        </w:tabs>
        <w:bidi w:val="0"/>
        <w:ind w:left="1261" w:right="0" w:hanging="283"/>
        <w:jc w:val="both"/>
        <w:rPr/>
      </w:pPr>
      <w:r>
        <w:rPr/>
        <w:t>if other than United States dollars, the currency in which the Debt Securities are denominated or the currency in which we will make payments on the Debt Securities;</w:t>
      </w:r>
    </w:p>
    <w:p>
      <w:pPr>
        <w:pStyle w:val="TextBody"/>
        <w:numPr>
          <w:ilvl w:val="0"/>
          <w:numId w:val="14"/>
        </w:numPr>
        <w:pBdr/>
        <w:tabs>
          <w:tab w:val="clear" w:pos="1134"/>
          <w:tab w:val="left" w:pos="1261" w:leader="none"/>
        </w:tabs>
        <w:bidi w:val="0"/>
        <w:ind w:left="1261" w:right="0" w:hanging="283"/>
        <w:jc w:val="both"/>
        <w:rPr/>
      </w:pPr>
      <w:r>
        <w:rPr/>
        <w:t>material Canadian federal income tax consequences and United States federal income tax consequences of owning the Debt Securities; and</w:t>
      </w:r>
    </w:p>
    <w:p>
      <w:pPr>
        <w:pStyle w:val="TextBody"/>
        <w:numPr>
          <w:ilvl w:val="0"/>
          <w:numId w:val="14"/>
        </w:numPr>
        <w:pBdr/>
        <w:tabs>
          <w:tab w:val="clear" w:pos="1134"/>
          <w:tab w:val="left" w:pos="1261" w:leader="none"/>
        </w:tabs>
        <w:bidi w:val="0"/>
        <w:ind w:left="1261" w:right="0" w:hanging="283"/>
        <w:jc w:val="both"/>
        <w:rPr/>
      </w:pPr>
      <w:r>
        <w:rPr/>
        <w:t>any other terms, conditions, rights or preferences of the Debt Securities which apply solely to the Debt Securities.</w:t>
      </w:r>
    </w:p>
    <w:p>
      <w:pPr>
        <w:pStyle w:val="TextBody"/>
        <w:bidi w:val="0"/>
        <w:ind w:left="552" w:right="0" w:hanging="0"/>
        <w:jc w:val="both"/>
        <w:rPr/>
      </w:pPr>
      <w:r>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pStyle w:val="TextBody"/>
        <w:bidi w:val="0"/>
        <w:jc w:val="both"/>
        <w:rPr/>
      </w:pPr>
      <w:r>
        <w:rPr/>
        <w:t>This Prospectus does not qualify for issuance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CORRA, SOFR, EURIBOR or an alternative United States federal funds rate.</w:t>
      </w:r>
    </w:p>
    <w:p>
      <w:pPr>
        <w:pStyle w:val="TextBody"/>
        <w:bidi w:val="0"/>
        <w:jc w:val="both"/>
        <w:rPr/>
      </w:pPr>
      <w:r>
        <w:rPr/>
        <w:t>Each series of Debt Securities may be issued at various times with different maturity dates, may bear interest at different rates and may otherwise vary.</w:t>
      </w:r>
    </w:p>
    <w:p>
      <w:pPr>
        <w:pStyle w:val="TextBody"/>
        <w:bidi w:val="0"/>
        <w:jc w:val="both"/>
        <w:rPr/>
      </w:pPr>
      <w:r>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pStyle w:val="TextBody"/>
        <w:bidi w:val="0"/>
        <w:jc w:val="both"/>
        <w:rPr/>
      </w:pPr>
      <w:r>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pStyle w:val="TextBody"/>
        <w:bidi w:val="0"/>
        <w:jc w:val="both"/>
        <w:rPr/>
      </w:pPr>
      <w:r>
        <w:rPr/>
        <w:t>The Corporation may, from time to time, issue Debt Securities and incur additional indebtedness other than through the issue of Debt Securities pursuant to this Prospectus</w:t>
      </w:r>
    </w:p>
    <w:p>
      <w:pPr>
        <w:pStyle w:val="TextBody"/>
        <w:bidi w:val="0"/>
        <w:jc w:val="both"/>
        <w:rPr>
          <w:b/>
        </w:rPr>
      </w:pPr>
      <w:r>
        <w:rPr>
          <w:b/>
        </w:rPr>
        <w:t>Subscription Receipts</w:t>
      </w:r>
    </w:p>
    <w:p>
      <w:pPr>
        <w:pStyle w:val="TextBody"/>
        <w:bidi w:val="0"/>
        <w:jc w:val="both"/>
        <w:rPr/>
      </w:pPr>
      <w:r>
        <w:rPr/>
        <w:t>Subscription Receipts may be offered separately or together with other Securities, as the case may be. The Subscription Receipts may be issued under a subscription receipt agreement.</w:t>
      </w:r>
    </w:p>
    <w:p>
      <w:pPr>
        <w:pStyle w:val="TextBody"/>
        <w:bidi w:val="0"/>
        <w:jc w:val="both"/>
        <w:rPr/>
      </w:pPr>
      <w:r>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15"/>
        </w:numPr>
        <w:pBdr/>
        <w:tabs>
          <w:tab w:val="clear" w:pos="1134"/>
          <w:tab w:val="left" w:pos="1258" w:leader="none"/>
        </w:tabs>
        <w:bidi w:val="0"/>
        <w:ind w:left="1258" w:right="0" w:hanging="283"/>
        <w:jc w:val="both"/>
        <w:rPr/>
      </w:pPr>
      <w:bookmarkStart w:id="92" w:name="page_74"/>
      <w:bookmarkEnd w:id="92"/>
      <w:r>
        <w:rPr/>
        <w:t>the number of Subscription Receipts;</w:t>
      </w:r>
    </w:p>
    <w:p>
      <w:pPr>
        <w:pStyle w:val="TextBody"/>
        <w:numPr>
          <w:ilvl w:val="0"/>
          <w:numId w:val="15"/>
        </w:numPr>
        <w:pBdr/>
        <w:tabs>
          <w:tab w:val="clear" w:pos="1134"/>
          <w:tab w:val="left" w:pos="1258" w:leader="none"/>
        </w:tabs>
        <w:bidi w:val="0"/>
        <w:ind w:left="1258" w:right="0" w:hanging="283"/>
        <w:jc w:val="both"/>
        <w:rPr/>
      </w:pPr>
      <w:r>
        <w:rPr/>
        <w:t>the price at which the Subscription Receipts will be offered;</w:t>
      </w:r>
    </w:p>
    <w:p>
      <w:pPr>
        <w:pStyle w:val="TextBody"/>
        <w:numPr>
          <w:ilvl w:val="0"/>
          <w:numId w:val="15"/>
        </w:numPr>
        <w:pBdr/>
        <w:tabs>
          <w:tab w:val="clear" w:pos="1134"/>
          <w:tab w:val="left" w:pos="1258" w:leader="none"/>
        </w:tabs>
        <w:bidi w:val="0"/>
        <w:ind w:left="1258" w:right="0" w:hanging="283"/>
        <w:jc w:val="both"/>
        <w:rPr/>
      </w:pPr>
      <w:r>
        <w:rPr/>
        <w:t>the terms, conditions and procedures for the conversion of the Subscription Receipts into other Securities;</w:t>
      </w:r>
    </w:p>
    <w:p>
      <w:pPr>
        <w:pStyle w:val="TextBody"/>
        <w:numPr>
          <w:ilvl w:val="0"/>
          <w:numId w:val="15"/>
        </w:numPr>
        <w:pBdr/>
        <w:tabs>
          <w:tab w:val="clear" w:pos="1134"/>
          <w:tab w:val="left" w:pos="1258" w:leader="none"/>
        </w:tabs>
        <w:bidi w:val="0"/>
        <w:ind w:left="1258" w:right="0" w:hanging="283"/>
        <w:jc w:val="both"/>
        <w:rPr/>
      </w:pPr>
      <w:r>
        <w:rPr/>
        <w:t>the designation, number and terms of the other Securities that may be exchanged upon conversion of each Subscription Receipt;</w:t>
      </w:r>
    </w:p>
    <w:p>
      <w:pPr>
        <w:pStyle w:val="TextBody"/>
        <w:numPr>
          <w:ilvl w:val="0"/>
          <w:numId w:val="15"/>
        </w:numPr>
        <w:pBdr/>
        <w:tabs>
          <w:tab w:val="clear" w:pos="1134"/>
          <w:tab w:val="left" w:pos="1258" w:leader="none"/>
        </w:tabs>
        <w:bidi w:val="0"/>
        <w:ind w:left="1258" w:right="0" w:hanging="283"/>
        <w:jc w:val="both"/>
        <w:rPr/>
      </w:pPr>
      <w:r>
        <w:rPr/>
        <w:t>the designation, number and terms of other Securities with which the Subscription Receipts will be offered, if any, and the number of Subscription Receipts that will be offered with each Security;</w:t>
      </w:r>
    </w:p>
    <w:p>
      <w:pPr>
        <w:pStyle w:val="TextBody"/>
        <w:numPr>
          <w:ilvl w:val="0"/>
          <w:numId w:val="15"/>
        </w:numPr>
        <w:pBdr/>
        <w:tabs>
          <w:tab w:val="clear" w:pos="1134"/>
          <w:tab w:val="left" w:pos="1258" w:leader="none"/>
        </w:tabs>
        <w:bidi w:val="0"/>
        <w:ind w:left="1258" w:right="0" w:hanging="283"/>
        <w:jc w:val="both"/>
        <w:rPr/>
      </w:pPr>
      <w:r>
        <w:rPr/>
        <w:t>terms applicable to the gross or net proceeds from the sale of the Subscription Receipts plus any interest earned thereon;</w:t>
      </w:r>
    </w:p>
    <w:p>
      <w:pPr>
        <w:pStyle w:val="TextBody"/>
        <w:numPr>
          <w:ilvl w:val="0"/>
          <w:numId w:val="15"/>
        </w:numPr>
        <w:pBdr/>
        <w:tabs>
          <w:tab w:val="clear" w:pos="1134"/>
          <w:tab w:val="left" w:pos="1258" w:leader="none"/>
        </w:tabs>
        <w:bidi w:val="0"/>
        <w:ind w:left="1258" w:right="0" w:hanging="283"/>
        <w:jc w:val="both"/>
        <w:rPr/>
      </w:pPr>
      <w:r>
        <w:rPr/>
        <w:t>certain material Canadian tax consequences of owning the Subscription Receipts; and</w:t>
      </w:r>
    </w:p>
    <w:p>
      <w:pPr>
        <w:pStyle w:val="TextBody"/>
        <w:numPr>
          <w:ilvl w:val="0"/>
          <w:numId w:val="15"/>
        </w:numPr>
        <w:pBdr/>
        <w:tabs>
          <w:tab w:val="clear" w:pos="1134"/>
          <w:tab w:val="left" w:pos="1261" w:leader="none"/>
        </w:tabs>
        <w:bidi w:val="0"/>
        <w:ind w:left="1261" w:right="0" w:hanging="283"/>
        <w:jc w:val="both"/>
        <w:rPr/>
      </w:pPr>
      <w:r>
        <w:rPr/>
        <w:t>any other material terms and conditions of the Subscription Receipts.</w:t>
      </w:r>
    </w:p>
    <w:p>
      <w:pPr>
        <w:pStyle w:val="TextBody"/>
        <w:bidi w:val="0"/>
        <w:ind w:left="552" w:right="0" w:hanging="0"/>
        <w:jc w:val="center"/>
        <w:rPr>
          <w:b/>
        </w:rPr>
      </w:pPr>
      <w:r>
        <w:rPr>
          <w:b/>
        </w:rPr>
        <w:t>PLAN OF DISTRIBUTION</w:t>
      </w:r>
    </w:p>
    <w:p>
      <w:pPr>
        <w:pStyle w:val="TextBody"/>
        <w:bidi w:val="0"/>
        <w:jc w:val="both"/>
        <w:rPr>
          <w:b/>
        </w:rPr>
      </w:pPr>
      <w:r>
        <w:rPr>
          <w:b/>
        </w:rPr>
        <w:t>General</w:t>
      </w:r>
    </w:p>
    <w:p>
      <w:pPr>
        <w:pStyle w:val="TextBody"/>
        <w:bidi w:val="0"/>
        <w:jc w:val="both"/>
        <w:rPr/>
      </w:pPr>
      <w:r>
        <w:rPr/>
        <w:t>The Corporation may from time to time during the 25-month period that this Prospectus, including any amendments and supplements hereto, remains valid, offer for sale and sell up to an aggregate of $160,000,000 in Securities hereunder.</w:t>
      </w:r>
    </w:p>
    <w:p>
      <w:pPr>
        <w:pStyle w:val="TextBody"/>
        <w:bidi w:val="0"/>
        <w:jc w:val="both"/>
        <w:rPr/>
      </w:pPr>
      <w:r>
        <w:rPr/>
        <w:t>The Securities may be sold by the Corporation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the Corporation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Corporation's Securities offered by that Prospectus Supplement.</w:t>
      </w:r>
    </w:p>
    <w:p>
      <w:pPr>
        <w:pStyle w:val="TextBody"/>
        <w:bidi w:val="0"/>
        <w:jc w:val="both"/>
        <w:rPr/>
      </w:pPr>
      <w:r>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pStyle w:val="TextBody"/>
        <w:bidi w:val="0"/>
        <w:jc w:val="both"/>
        <w:rPr/>
      </w:pPr>
      <w:r>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93" w:name="page_75"/>
      <w:bookmarkEnd w:id="93"/>
      <w:r>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pStyle w:val="TextBody"/>
        <w:bidi w:val="0"/>
        <w:jc w:val="both"/>
        <w:rPr/>
      </w:pPr>
      <w:r>
        <w:rPr/>
        <w:t>In connection with the sale of the Securities, underwriters, dealers or agents may receive compensation from the Corporation including in the form of underwriters', dealers' or agents' fees, commissions or concessions.</w:t>
      </w:r>
    </w:p>
    <w:p>
      <w:pPr>
        <w:pStyle w:val="TextBody"/>
        <w:bidi w:val="0"/>
        <w:jc w:val="both"/>
        <w:rPr/>
      </w:pPr>
      <w:r>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pStyle w:val="TextBody"/>
        <w:bidi w:val="0"/>
        <w:jc w:val="both"/>
        <w:rPr/>
      </w:pPr>
      <w:r>
        <w:rPr/>
        <w:t>Underwriters, dealers or agents who participate in the distribution of the Securities may be entitled, under agreements to be entered into with the Corporation to indemnification by the Corporation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pStyle w:val="TextBody"/>
        <w:bidi w:val="0"/>
        <w:jc w:val="both"/>
        <w:rPr/>
      </w:pPr>
      <w:r>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pStyle w:val="TextBody"/>
        <w:bidi w:val="0"/>
        <w:jc w:val="both"/>
        <w:rPr/>
      </w:pPr>
      <w:r>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i/>
        </w:rPr>
        <w:t>"Risk Factors"</w:t>
      </w:r>
      <w:r>
        <w:rPr/>
        <w:t>.</w:t>
      </w:r>
    </w:p>
    <w:p>
      <w:pPr>
        <w:pStyle w:val="TextBody"/>
        <w:bidi w:val="0"/>
        <w:jc w:val="center"/>
        <w:rPr>
          <w:b/>
        </w:rPr>
      </w:pPr>
      <w:r>
        <w:rPr>
          <w:b/>
        </w:rPr>
        <w:t>RISK FACTORS</w:t>
      </w:r>
    </w:p>
    <w:p>
      <w:pPr>
        <w:pStyle w:val="TextBody"/>
        <w:bidi w:val="0"/>
        <w:jc w:val="both"/>
        <w:rPr/>
      </w:pPr>
      <w:r>
        <w:rPr>
          <w:b/>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b/>
          <w:i/>
        </w:rPr>
        <w:t>Risk Factors”</w:t>
      </w:r>
      <w:r>
        <w:rPr>
          <w:b/>
        </w:rPr>
        <w:t xml:space="preserve"> in the Annual Information Form and under the heading “</w:t>
      </w:r>
      <w:r>
        <w:rPr>
          <w:b/>
          <w:i/>
        </w:rPr>
        <w:t>Risks and Uncertainties”</w:t>
      </w:r>
      <w:r>
        <w:rPr>
          <w:b/>
        </w:rPr>
        <w:t xml:space="preserve"> in the Interim MD&amp;A, and any other risk factors described herein or in a document incorporated by reference herein, which investors should carefully consider before investing. </w:t>
      </w:r>
      <w:r>
        <w:rPr/>
        <w:t>Additional risk 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94" w:name="page_76"/>
      <w:bookmarkEnd w:id="94"/>
      <w:r>
        <w:rPr>
          <w:b/>
        </w:rPr>
        <w:t>Risks Related to the Business of the Corporation</w:t>
      </w:r>
    </w:p>
    <w:p>
      <w:pPr>
        <w:pStyle w:val="TextBody"/>
        <w:bidi w:val="0"/>
        <w:jc w:val="both"/>
        <w:rPr>
          <w:i/>
        </w:rPr>
      </w:pPr>
      <w:r>
        <w:rPr>
          <w:i/>
        </w:rPr>
        <w:t>Ongoing Impact of the Novel Coronavirus "COVID-19"</w:t>
      </w:r>
    </w:p>
    <w:p>
      <w:pPr>
        <w:pStyle w:val="TextBody"/>
        <w:bidi w:val="0"/>
        <w:jc w:val="both"/>
        <w:rPr/>
      </w:pPr>
      <w:r>
        <w:rPr/>
        <w:t>The outbreak of COVID-19 and its eventual declaration as a pandemic by the World Health Organization ("</w:t>
      </w:r>
      <w:r>
        <w:rPr>
          <w:b/>
        </w:rPr>
        <w:t>WHO</w:t>
      </w:r>
      <w:r>
        <w:rPr/>
        <w:t>")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Corporation in future periods. The Corporation is not currently aware of any changes in laws, regulations or guidelines, including tax and accounting requirements, arising from COVID-19 which would be reasonably anticipated to materially affect the Corporation's business.</w:t>
      </w:r>
    </w:p>
    <w:p>
      <w:pPr>
        <w:pStyle w:val="TextBody"/>
        <w:bidi w:val="0"/>
        <w:jc w:val="both"/>
        <w:rPr>
          <w:i/>
        </w:rPr>
      </w:pPr>
      <w:r>
        <w:rPr>
          <w:i/>
        </w:rPr>
        <w:t>Regulatory Risks and Uncertainties</w:t>
      </w:r>
    </w:p>
    <w:p>
      <w:pPr>
        <w:pStyle w:val="TextBody"/>
        <w:bidi w:val="0"/>
        <w:jc w:val="both"/>
        <w:rPr/>
      </w:pPr>
      <w:r>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pStyle w:val="TextBody"/>
        <w:bidi w:val="0"/>
        <w:jc w:val="both"/>
        <w:rPr/>
      </w:pPr>
      <w:r>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pStyle w:val="TextBody"/>
        <w:bidi w:val="0"/>
        <w:jc w:val="both"/>
        <w:rPr/>
      </w:pPr>
      <w:r>
        <w:rPr/>
        <w:t>The loss of the necessary licences and permits for any of the above scheduled drugs could have an adverse effect on the Corporation's operations.</w:t>
      </w:r>
    </w:p>
    <w:p>
      <w:pPr>
        <w:pStyle w:val="TextBody"/>
        <w:bidi w:val="0"/>
        <w:jc w:val="both"/>
        <w:rPr/>
      </w:pPr>
      <w:r>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95" w:name="page_77"/>
      <w:bookmarkEnd w:id="95"/>
      <w:r>
        <w:rPr/>
        <w:t>The success of the Corporation's business is dependent on the reform of controlled substances laws pertaining to psilocybin. If controlled substances laws are not favourably reformed in Canada, the United States, the Netherlands, the United Kingdom, and other global jurisdictions, the commercial opportunity that the Corporation is pursuing may be highly limited.</w:t>
      </w:r>
    </w:p>
    <w:p>
      <w:pPr>
        <w:pStyle w:val="TextBody"/>
        <w:bidi w:val="0"/>
        <w:jc w:val="both"/>
        <w:rPr/>
      </w:pPr>
      <w:r>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pStyle w:val="TextBody"/>
        <w:bidi w:val="0"/>
        <w:jc w:val="both"/>
        <w:rPr>
          <w:i/>
        </w:rPr>
      </w:pPr>
      <w:r>
        <w:rPr>
          <w:i/>
        </w:rPr>
        <w:t>"Foreign Private Issuer" Status Under the U.S. Securities Laws</w:t>
      </w:r>
    </w:p>
    <w:p>
      <w:pPr>
        <w:pStyle w:val="TextBody"/>
        <w:bidi w:val="0"/>
        <w:jc w:val="both"/>
        <w:rPr/>
      </w:pPr>
      <w:r>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pStyle w:val="TextBody"/>
        <w:bidi w:val="0"/>
        <w:jc w:val="both"/>
        <w:rPr/>
      </w:pPr>
      <w:r>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pStyle w:val="TextBody"/>
        <w:bidi w:val="0"/>
        <w:jc w:val="both"/>
        <w:rPr>
          <w:b/>
        </w:rPr>
      </w:pPr>
      <w:r>
        <w:rPr>
          <w:b/>
        </w:rPr>
        <w:t>Risks Related to an Offering</w:t>
      </w:r>
    </w:p>
    <w:p>
      <w:pPr>
        <w:pStyle w:val="TextBody"/>
        <w:bidi w:val="0"/>
        <w:jc w:val="both"/>
        <w:rPr>
          <w:i/>
        </w:rPr>
      </w:pPr>
      <w:r>
        <w:rPr>
          <w:i/>
        </w:rPr>
        <w:t>Speculative Nature of Investment Risk</w:t>
      </w:r>
    </w:p>
    <w:p>
      <w:pPr>
        <w:pStyle w:val="TextBody"/>
        <w:bidi w:val="0"/>
        <w:jc w:val="both"/>
        <w:rPr/>
      </w:pPr>
      <w:r>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i/>
        </w:rPr>
      </w:pPr>
      <w:bookmarkStart w:id="96" w:name="page_78"/>
      <w:bookmarkEnd w:id="96"/>
      <w:r>
        <w:rPr>
          <w:i/>
        </w:rPr>
        <w:t>Negative Operating Cash Flow and Going Concern</w:t>
      </w:r>
    </w:p>
    <w:p>
      <w:pPr>
        <w:pStyle w:val="TextBody"/>
        <w:bidi w:val="0"/>
        <w:jc w:val="both"/>
        <w:rPr/>
      </w:pPr>
      <w:r>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   </w:t>
      </w:r>
    </w:p>
    <w:p>
      <w:pPr>
        <w:pStyle w:val="TextBody"/>
        <w:bidi w:val="0"/>
        <w:jc w:val="both"/>
        <w:rPr/>
      </w:pPr>
      <w:r>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i/>
        </w:rPr>
        <w:t>"Risk Factors - Risks Related to the Offering - Potential Need for Additional Financing"</w:t>
      </w:r>
      <w:r>
        <w:rPr/>
        <w:t>.</w:t>
      </w:r>
    </w:p>
    <w:p>
      <w:pPr>
        <w:pStyle w:val="TextBody"/>
        <w:bidi w:val="0"/>
        <w:jc w:val="both"/>
        <w:rPr>
          <w:i/>
        </w:rPr>
      </w:pPr>
      <w:r>
        <w:rPr>
          <w:i/>
        </w:rPr>
        <w:t>Discretion over the Use of Proceeds</w:t>
      </w:r>
    </w:p>
    <w:p>
      <w:pPr>
        <w:pStyle w:val="TextBody"/>
        <w:bidi w:val="0"/>
        <w:jc w:val="both"/>
        <w:rPr/>
      </w:pPr>
      <w:r>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pStyle w:val="TextBody"/>
        <w:bidi w:val="0"/>
        <w:jc w:val="both"/>
        <w:rPr/>
      </w:pPr>
      <w:r>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i/>
        </w:rPr>
        <w:t>"Use of Proceeds"</w:t>
      </w:r>
      <w:r>
        <w:rPr/>
        <w:t>.</w:t>
      </w:r>
    </w:p>
    <w:p>
      <w:pPr>
        <w:pStyle w:val="TextBody"/>
        <w:bidi w:val="0"/>
        <w:jc w:val="both"/>
        <w:rPr>
          <w:i/>
        </w:rPr>
      </w:pPr>
      <w:r>
        <w:rPr>
          <w:i/>
        </w:rPr>
        <w:t>Need for Additional Financing</w:t>
      </w:r>
    </w:p>
    <w:p>
      <w:pPr>
        <w:pStyle w:val="TextBody"/>
        <w:bidi w:val="0"/>
        <w:jc w:val="both"/>
        <w:rPr/>
      </w:pPr>
      <w:r>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i/>
        </w:rPr>
        <w:t>"Risk Factors - Risks Related to an Offering - Negative Operating Cash Flow and Going Concern" and "- Potential Dilution".</w:t>
      </w:r>
    </w:p>
    <w:p>
      <w:pPr>
        <w:pStyle w:val="TextBody"/>
        <w:bidi w:val="0"/>
        <w:jc w:val="both"/>
        <w:rPr>
          <w:i/>
        </w:rPr>
      </w:pPr>
      <w:r>
        <w:rPr>
          <w:i/>
        </w:rPr>
        <w:t>Volatile Market Price of Corporation's Common Shares</w:t>
      </w:r>
    </w:p>
    <w:p>
      <w:pPr>
        <w:pStyle w:val="TextBody"/>
        <w:bidi w:val="0"/>
        <w:jc w:val="both"/>
        <w:rPr/>
      </w:pPr>
      <w:r>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97" w:name="page_79"/>
      <w:bookmarkEnd w:id="97"/>
      <w:r>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i/>
        </w:rPr>
        <w:t>"Cautionary Note Regarding Forward-Looking Information"</w:t>
      </w:r>
      <w:r>
        <w:rPr/>
        <w:t>. In addition, the market price for securities on stock markets, including the Neo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pStyle w:val="TextBody"/>
        <w:bidi w:val="0"/>
        <w:jc w:val="both"/>
        <w:rPr/>
      </w:pPr>
      <w:r>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pStyle w:val="TextBody"/>
        <w:bidi w:val="0"/>
        <w:jc w:val="both"/>
        <w:rPr>
          <w:i/>
        </w:rPr>
      </w:pPr>
      <w:r>
        <w:rPr>
          <w:i/>
        </w:rPr>
        <w:t>Potential Dilution</w:t>
      </w:r>
    </w:p>
    <w:p>
      <w:pPr>
        <w:pStyle w:val="TextBody"/>
        <w:bidi w:val="0"/>
        <w:jc w:val="both"/>
        <w:rPr/>
      </w:pPr>
      <w:r>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i/>
        </w:rPr>
        <w:t>"Risk Factors - Risks Related to an Offering - Potential Need for Additional Financing</w:t>
      </w:r>
      <w:r>
        <w:rPr/>
        <w:t>".</w:t>
      </w:r>
    </w:p>
    <w:p>
      <w:pPr>
        <w:pStyle w:val="TextBody"/>
        <w:bidi w:val="0"/>
        <w:jc w:val="both"/>
        <w:rPr>
          <w:i/>
        </w:rPr>
      </w:pPr>
      <w:r>
        <w:rPr>
          <w:i/>
        </w:rPr>
        <w:t>Market for Securities</w:t>
      </w:r>
    </w:p>
    <w:p>
      <w:pPr>
        <w:pStyle w:val="TextBody"/>
        <w:bidi w:val="0"/>
        <w:jc w:val="both"/>
        <w:rPr/>
      </w:pPr>
      <w:r>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pStyle w:val="TextBody"/>
        <w:bidi w:val="0"/>
        <w:jc w:val="both"/>
        <w:rPr>
          <w:i/>
        </w:rPr>
      </w:pPr>
      <w:r>
        <w:rPr>
          <w:i/>
        </w:rPr>
        <w:t>Enforcement of Civil Liabilities</w:t>
      </w:r>
    </w:p>
    <w:p>
      <w:pPr>
        <w:pStyle w:val="TextBody"/>
        <w:bidi w:val="0"/>
        <w:jc w:val="both"/>
        <w:rPr/>
      </w:pPr>
      <w:r>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98" w:name="page_80"/>
      <w:bookmarkEnd w:id="98"/>
      <w:r>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pStyle w:val="TextBody"/>
        <w:bidi w:val="0"/>
        <w:jc w:val="both"/>
        <w:rPr/>
      </w:pPr>
      <w:r>
        <w:rPr/>
        <w:t>Most of the officers and directors named in this Prospectus are not residents of the United States, and some of the Corporation's assets and all or a substantial portion of the assets of such person are located outside of the United States.</w:t>
      </w:r>
    </w:p>
    <w:p>
      <w:pPr>
        <w:pStyle w:val="TextBody"/>
        <w:bidi w:val="0"/>
        <w:jc w:val="both"/>
        <w:rPr/>
      </w:pPr>
      <w:r>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pStyle w:val="TextBody"/>
        <w:bidi w:val="0"/>
        <w:jc w:val="both"/>
        <w:rPr/>
      </w:pPr>
      <w:r>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pStyle w:val="TextBody"/>
        <w:bidi w:val="0"/>
        <w:jc w:val="center"/>
        <w:rPr>
          <w:b/>
        </w:rPr>
      </w:pPr>
      <w:r>
        <w:rPr>
          <w:b/>
        </w:rPr>
        <w:t>CERTAIN FEDERAL INCOME TAX CONSIDERATIONS</w:t>
      </w:r>
    </w:p>
    <w:p>
      <w:pPr>
        <w:pStyle w:val="TextBody"/>
        <w:bidi w:val="0"/>
        <w:jc w:val="both"/>
        <w:rPr/>
      </w:pPr>
      <w:r>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pStyle w:val="TextBody"/>
        <w:bidi w:val="0"/>
        <w:jc w:val="center"/>
        <w:rPr>
          <w:b/>
        </w:rPr>
      </w:pPr>
      <w:r>
        <w:rPr>
          <w:b/>
        </w:rPr>
        <w:t>LEGAL MATTERS</w:t>
      </w:r>
    </w:p>
    <w:p>
      <w:pPr>
        <w:pStyle w:val="TextBody"/>
        <w:bidi w:val="0"/>
        <w:jc w:val="both"/>
        <w:rPr/>
      </w:pPr>
      <w:r>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pStyle w:val="TextBody"/>
        <w:bidi w:val="0"/>
        <w:jc w:val="center"/>
        <w:rPr>
          <w:b/>
        </w:rPr>
      </w:pPr>
      <w:r>
        <w:rPr>
          <w:b/>
        </w:rPr>
        <w:t>AUDITORS, TRANSFER AGENT AND REGISTRAR</w:t>
      </w:r>
    </w:p>
    <w:p>
      <w:pPr>
        <w:pStyle w:val="TextBody"/>
        <w:bidi w:val="0"/>
        <w:jc w:val="both"/>
        <w:rPr/>
      </w:pPr>
      <w:r>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pStyle w:val="TextBody"/>
        <w:bidi w:val="0"/>
        <w:jc w:val="both"/>
        <w:rPr/>
      </w:pPr>
      <w:r>
        <w:rPr/>
        <w:t>The registrar and transfer agent of the Common Shares is Odyssey Trust Company at its principal office in Calgary, Alberta.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54323</Words>
  <Characters>300362</Characters>
  <CharactersWithSpaces>353401</CharactersWithSpaces>
  <Paragraphs>1942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