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8" w:space="0" w:color="000000"/>
        </w:pBdr>
        <w:bidi w:val="0"/>
        <w:jc w:val="left"/>
        <w:rPr/>
      </w:pPr>
      <w:r>
        <w:rPr/>
      </w:r>
      <w:bookmarkStart w:id="0" w:name="form6k.htm"/>
      <w:bookmarkStart w:id="1" w:name="ksform6k"/>
      <w:bookmarkStart w:id="2" w:name="form6k.htm"/>
      <w:bookmarkStart w:id="3" w:name="ksform6k"/>
      <w:bookmarkEnd w:id="2"/>
      <w:bookmarkEnd w:id="3"/>
    </w:p>
    <w:p>
      <w:pPr>
        <w:pStyle w:val="TextBody"/>
        <w:bidi w:val="0"/>
        <w:spacing w:before="200" w:after="200"/>
        <w:jc w:val="center"/>
        <w:rPr/>
      </w:pPr>
      <w:bookmarkStart w:id="4" w:name="page_1"/>
      <w:bookmarkEnd w:id="4"/>
      <w:r>
        <w:rPr>
          <w:b/>
          <w:sz w:val="36"/>
        </w:rPr>
        <w:t>UNITED STATES</w:t>
      </w:r>
      <w:r>
        <w:rPr/>
        <w:br/>
      </w:r>
      <w:r>
        <w:rPr>
          <w:b/>
          <w:sz w:val="36"/>
        </w:rPr>
        <w:t>SECURITIES AND EXCHANGE COMMISSION</w:t>
      </w:r>
      <w:r>
        <w:rPr/>
        <w:br/>
      </w:r>
      <w:r>
        <w:rPr>
          <w:b/>
        </w:rPr>
        <w:t>Washington, D.C. 20549</w:t>
      </w:r>
      <w:r>
        <w:rPr/>
        <w:br/>
        <w:br/>
      </w:r>
      <w:r>
        <w:rPr>
          <w:b/>
          <w:sz w:val="36"/>
        </w:rPr>
        <w:t>Form 6-K</w:t>
      </w:r>
      <w:r>
        <w:rPr/>
        <w:br/>
        <w:br/>
      </w:r>
      <w:r>
        <w:rPr>
          <w:b/>
        </w:rPr>
        <w:t>REPORT OF FOREIGN PRIVATE ISSUER PURSUANT TO RULE 13a-16 OR 15d-16</w:t>
      </w:r>
      <w:r>
        <w:rPr/>
        <w:br/>
      </w:r>
      <w:r>
        <w:rPr>
          <w:b/>
        </w:rPr>
        <w:t>UNDER THE SECURITIES EXCHANGE ACT OF 1934</w:t>
      </w:r>
    </w:p>
    <w:p>
      <w:pPr>
        <w:pStyle w:val="TextBody"/>
        <w:bidi w:val="0"/>
        <w:spacing w:before="200" w:after="200"/>
        <w:jc w:val="center"/>
        <w:rPr/>
      </w:pPr>
      <w:r>
        <w:rPr/>
        <w:t xml:space="preserve">For the month of </w:t>
      </w:r>
      <w:r>
        <w:rPr>
          <w:b/>
          <w:u w:val="single"/>
        </w:rPr>
        <w:t>October, 2026.</w:t>
      </w:r>
    </w:p>
    <w:p>
      <w:pPr>
        <w:pStyle w:val="TextBody"/>
        <w:bidi w:val="0"/>
        <w:spacing w:before="200" w:after="200"/>
        <w:jc w:val="center"/>
        <w:rPr/>
      </w:pPr>
      <w:r>
        <w:rPr/>
        <w:t xml:space="preserve">Commission File Number: </w:t>
      </w:r>
      <w:r>
        <w:rPr>
          <w:b/>
          <w:u w:val="single"/>
        </w:rPr>
        <w:t>001-40673</w:t>
      </w:r>
    </w:p>
    <w:p>
      <w:pPr>
        <w:pStyle w:val="TextBody"/>
        <w:bidi w:val="0"/>
        <w:spacing w:before="200" w:after="200"/>
        <w:jc w:val="center"/>
        <w:rPr/>
      </w:pPr>
      <w:r>
        <w:rPr>
          <w:b/>
          <w:sz w:val="36"/>
          <w:u w:val="single"/>
        </w:rPr>
        <w:t>Helus Pharma Inc.</w:t>
      </w:r>
      <w:r>
        <w:rPr/>
        <w:br/>
        <w:t>(Exact Name of Registrant as Specified in Charter)</w:t>
        <w:br/>
        <w:br/>
      </w:r>
      <w:r>
        <w:rPr>
          <w:b/>
          <w:u w:val="single"/>
        </w:rPr>
        <w:t>100 King Street West, Suite 5600, Toronto, Ontario, M5X 1C9</w:t>
      </w:r>
      <w:r>
        <w:rPr>
          <w:b/>
        </w:rPr>
        <w:br/>
      </w:r>
      <w:r>
        <w:rPr/>
        <w:t>(Address of principal executive offices)</w:t>
      </w:r>
    </w:p>
    <w:p>
      <w:pPr>
        <w:pStyle w:val="TextBody"/>
        <w:bidi w:val="0"/>
        <w:spacing w:before="200" w:after="0"/>
        <w:jc w:val="both"/>
        <w:rPr/>
      </w:pPr>
      <w:r>
        <w:rPr/>
        <w:t>Indicate by check mark whether the registrant files or will file annual reports under cover Form 20-F or Form 40-F.</w:t>
      </w:r>
    </w:p>
    <w:p>
      <w:pPr>
        <w:pStyle w:val="TextBody"/>
        <w:bidi w:val="0"/>
        <w:spacing w:before="0" w:after="200"/>
        <w:jc w:val="both"/>
        <w:rPr/>
      </w:pPr>
      <w:r>
        <w:rPr/>
        <w:t>Form 20-F □ Form 40-F ⊠</w:t>
      </w:r>
    </w:p>
    <w:p>
      <w:pPr>
        <w:pStyle w:val="HorizontalLine"/>
        <w:pBdr>
          <w:bottom w:val="single" w:sz="30" w:space="0" w:color="000000"/>
        </w:pBdr>
        <w:bidi w:val="0"/>
        <w:jc w:val="left"/>
        <w:rPr/>
      </w:pPr>
      <w:r>
        <w:rPr/>
      </w:r>
    </w:p>
    <w:p>
      <w:pPr>
        <w:pStyle w:val="TextBody"/>
        <w:bidi w:val="0"/>
        <w:spacing w:before="200" w:after="200"/>
        <w:jc w:val="center"/>
        <w:rPr>
          <w:b/>
        </w:rPr>
      </w:pPr>
      <w:bookmarkStart w:id="5" w:name="page_2"/>
      <w:bookmarkEnd w:id="5"/>
      <w:r>
        <w:rPr>
          <w:b/>
        </w:rPr>
        <w:t>INCORPORATION BY REFERENCE</w:t>
      </w:r>
    </w:p>
    <w:p>
      <w:pPr>
        <w:pStyle w:val="TextBody"/>
        <w:bidi w:val="0"/>
        <w:spacing w:before="200" w:after="200"/>
        <w:ind w:left="0" w:right="0" w:firstLine="720"/>
        <w:jc w:val="both"/>
        <w:rPr/>
      </w:pPr>
      <w:r>
        <w:rPr/>
        <w:t>Exhibit 99.1 of this Form 6-K of Helus Pharma Inc. (formerly, "Cybin Inc.") (the "Company") is hereby incorporated by reference into the Registration Statement on Form F-10 (</w:t>
      </w:r>
      <w:hyperlink r:id="rId2">
        <w:r>
          <w:rPr>
            <w:rStyle w:val="InternetLink"/>
            <w:u w:val="single"/>
          </w:rPr>
          <w:t>File No. 333-292294</w:t>
        </w:r>
      </w:hyperlink>
      <w:r>
        <w:rPr/>
        <w:t>) of the Company, as amended or supplemented.</w:t>
      </w:r>
    </w:p>
    <w:p>
      <w:pPr>
        <w:pStyle w:val="HorizontalLine"/>
        <w:pBdr>
          <w:bottom w:val="single" w:sz="30" w:space="0" w:color="000000"/>
        </w:pBdr>
        <w:bidi w:val="0"/>
        <w:jc w:val="left"/>
        <w:rPr/>
      </w:pPr>
      <w:r>
        <w:rPr/>
      </w:r>
    </w:p>
    <w:p>
      <w:pPr>
        <w:pStyle w:val="TextBody"/>
        <w:bidi w:val="0"/>
        <w:spacing w:before="200" w:after="200"/>
        <w:jc w:val="center"/>
        <w:rPr>
          <w:b/>
        </w:rPr>
      </w:pPr>
      <w:bookmarkStart w:id="6" w:name="page_3"/>
      <w:bookmarkEnd w:id="6"/>
      <w:r>
        <w:rPr>
          <w:b/>
        </w:rPr>
        <w:t>SIGNATURE</w:t>
      </w:r>
    </w:p>
    <w:p>
      <w:pPr>
        <w:pStyle w:val="TextBody"/>
        <w:bidi w:val="0"/>
        <w:spacing w:before="200" w:after="200"/>
        <w:ind w:left="0" w:right="0" w:firstLine="720"/>
        <w:jc w:val="both"/>
        <w:rPr/>
      </w:pPr>
      <w:r>
        <w:rPr/>
        <w:t>Pursuant to the requirements of the Securities Exchange Act of 1934, the registrant has duly caused this report to be signed on its behalf by the undersigned, thereunto duly authorized.</w:t>
      </w:r>
    </w:p>
    <w:tbl>
      <w:tblPr>
        <w:tblW w:w="5797" w:type="dxa"/>
        <w:jc w:val="left"/>
        <w:tblInd w:w="0" w:type="dxa"/>
        <w:tblLayout w:type="fixed"/>
        <w:tblCellMar>
          <w:top w:w="0" w:type="dxa"/>
          <w:left w:w="0" w:type="dxa"/>
          <w:bottom w:w="0" w:type="dxa"/>
          <w:right w:w="0" w:type="dxa"/>
        </w:tblCellMar>
      </w:tblPr>
      <w:tblGrid>
        <w:gridCol w:w="545"/>
        <w:gridCol w:w="1685"/>
        <w:gridCol w:w="1283"/>
        <w:gridCol w:w="2209"/>
        <w:gridCol w:w="75"/>
      </w:tblGrid>
      <w:tr>
        <w:trPr/>
        <w:tc>
          <w:tcPr>
            <w:tcW w:w="5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3492" w:type="dxa"/>
            <w:gridSpan w:val="2"/>
            <w:tcBorders/>
            <w:vAlign w:val="center"/>
          </w:tcPr>
          <w:p>
            <w:pPr>
              <w:pStyle w:val="TableContents"/>
              <w:bidi w:val="0"/>
              <w:spacing w:before="0" w:after="0"/>
              <w:jc w:val="left"/>
              <w:rPr>
                <w:b/>
              </w:rPr>
            </w:pPr>
            <w:r>
              <w:rPr>
                <w:b/>
              </w:rPr>
              <w:t>HELUS PHARMA INC.</w:t>
            </w:r>
          </w:p>
        </w:tc>
        <w:tc>
          <w:tcPr>
            <w:tcW w:w="75" w:type="dxa"/>
            <w:tcBorders/>
            <w:vAlign w:val="center"/>
          </w:tcPr>
          <w:p>
            <w:pPr>
              <w:pStyle w:val="TableContents"/>
              <w:bidi w:val="0"/>
              <w:spacing w:before="0" w:after="0"/>
              <w:jc w:val="left"/>
              <w:rPr/>
            </w:pPr>
            <w:r>
              <w:rPr/>
              <w:t> </w:t>
            </w:r>
          </w:p>
        </w:tc>
      </w:tr>
      <w:tr>
        <w:trPr/>
        <w:tc>
          <w:tcPr>
            <w:tcW w:w="5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3492" w:type="dxa"/>
            <w:gridSpan w:val="2"/>
            <w:tcBorders/>
            <w:vAlign w:val="center"/>
          </w:tcPr>
          <w:p>
            <w:pPr>
              <w:pStyle w:val="TableContents"/>
              <w:bidi w:val="0"/>
              <w:spacing w:before="0" w:after="0"/>
              <w:jc w:val="left"/>
              <w:rPr/>
            </w:pPr>
            <w:r>
              <w:rPr/>
              <w:t>(Registrant)</w:t>
            </w:r>
          </w:p>
        </w:tc>
        <w:tc>
          <w:tcPr>
            <w:tcW w:w="75" w:type="dxa"/>
            <w:tcBorders/>
            <w:vAlign w:val="center"/>
          </w:tcPr>
          <w:p>
            <w:pPr>
              <w:pStyle w:val="TableContents"/>
              <w:bidi w:val="0"/>
              <w:spacing w:before="0" w:after="0"/>
              <w:jc w:val="left"/>
              <w:rPr/>
            </w:pPr>
            <w:r>
              <w:rPr/>
              <w:t> </w:t>
            </w:r>
          </w:p>
        </w:tc>
      </w:tr>
      <w:tr>
        <w:trPr/>
        <w:tc>
          <w:tcPr>
            <w:tcW w:w="5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0"/>
              <w:jc w:val="left"/>
              <w:rPr/>
            </w:pPr>
            <w:r>
              <w:rPr/>
              <w:t> </w:t>
            </w:r>
          </w:p>
        </w:tc>
        <w:tc>
          <w:tcPr>
            <w:tcW w:w="2209"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545" w:type="dxa"/>
            <w:tcBorders/>
            <w:vAlign w:val="center"/>
          </w:tcPr>
          <w:p>
            <w:pPr>
              <w:pStyle w:val="TableContents"/>
              <w:bidi w:val="0"/>
              <w:spacing w:before="0" w:after="0"/>
              <w:jc w:val="left"/>
              <w:rPr/>
            </w:pPr>
            <w:r>
              <w:rPr/>
              <w:t>Date:</w:t>
            </w:r>
          </w:p>
        </w:tc>
        <w:tc>
          <w:tcPr>
            <w:tcW w:w="1685" w:type="dxa"/>
            <w:tcBorders/>
            <w:vAlign w:val="center"/>
          </w:tcPr>
          <w:p>
            <w:pPr>
              <w:pStyle w:val="TableContents"/>
              <w:bidi w:val="0"/>
              <w:spacing w:before="0" w:after="0"/>
              <w:jc w:val="left"/>
              <w:rPr/>
            </w:pPr>
            <w:r>
              <w:rPr/>
              <w:t>October 21, 2026</w:t>
            </w:r>
          </w:p>
        </w:tc>
        <w:tc>
          <w:tcPr>
            <w:tcW w:w="1283" w:type="dxa"/>
            <w:tcBorders/>
            <w:vAlign w:val="center"/>
          </w:tcPr>
          <w:p>
            <w:pPr>
              <w:pStyle w:val="TableContents"/>
              <w:bidi w:val="0"/>
              <w:spacing w:before="0" w:after="0"/>
              <w:jc w:val="left"/>
              <w:rPr/>
            </w:pPr>
            <w:r>
              <w:rPr/>
              <w:t>By:</w:t>
            </w:r>
          </w:p>
        </w:tc>
        <w:tc>
          <w:tcPr>
            <w:tcW w:w="2209" w:type="dxa"/>
            <w:tcBorders>
              <w:bottom w:val="single" w:sz="6" w:space="0" w:color="000000"/>
            </w:tcBorders>
            <w:tcMar>
              <w:bottom w:w="28" w:type="dxa"/>
            </w:tcMar>
            <w:vAlign w:val="center"/>
          </w:tcPr>
          <w:p>
            <w:pPr>
              <w:pStyle w:val="TableContents"/>
              <w:bidi w:val="0"/>
              <w:spacing w:before="0" w:after="0"/>
              <w:jc w:val="left"/>
              <w:rPr>
                <w:i/>
              </w:rPr>
            </w:pPr>
            <w:r>
              <w:rPr>
                <w:i/>
              </w:rPr>
              <w:t xml:space="preserve">/s/ Greg Cavers </w:t>
            </w:r>
          </w:p>
        </w:tc>
        <w:tc>
          <w:tcPr>
            <w:tcW w:w="75" w:type="dxa"/>
            <w:tcBorders/>
            <w:vAlign w:val="center"/>
          </w:tcPr>
          <w:p>
            <w:pPr>
              <w:pStyle w:val="TableContents"/>
              <w:bidi w:val="0"/>
              <w:spacing w:before="0" w:after="0"/>
              <w:jc w:val="left"/>
              <w:rPr/>
            </w:pPr>
            <w:r>
              <w:rPr/>
              <w:t> </w:t>
            </w:r>
          </w:p>
        </w:tc>
      </w:tr>
      <w:tr>
        <w:trPr/>
        <w:tc>
          <w:tcPr>
            <w:tcW w:w="5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0"/>
              <w:jc w:val="left"/>
              <w:rPr/>
            </w:pPr>
            <w:r>
              <w:rPr/>
              <w:t>Name:</w:t>
            </w:r>
          </w:p>
        </w:tc>
        <w:tc>
          <w:tcPr>
            <w:tcW w:w="2209" w:type="dxa"/>
            <w:tcBorders/>
            <w:vAlign w:val="center"/>
          </w:tcPr>
          <w:p>
            <w:pPr>
              <w:pStyle w:val="TableContents"/>
              <w:bidi w:val="0"/>
              <w:spacing w:before="0" w:after="0"/>
              <w:jc w:val="left"/>
              <w:rPr/>
            </w:pPr>
            <w:r>
              <w:rPr/>
              <w:t>Greg Cavers</w:t>
            </w:r>
          </w:p>
        </w:tc>
        <w:tc>
          <w:tcPr>
            <w:tcW w:w="75" w:type="dxa"/>
            <w:tcBorders/>
            <w:vAlign w:val="center"/>
          </w:tcPr>
          <w:p>
            <w:pPr>
              <w:pStyle w:val="TableContents"/>
              <w:bidi w:val="0"/>
              <w:spacing w:before="0" w:after="0"/>
              <w:jc w:val="left"/>
              <w:rPr/>
            </w:pPr>
            <w:r>
              <w:rPr/>
              <w:t> </w:t>
            </w:r>
          </w:p>
        </w:tc>
      </w:tr>
      <w:tr>
        <w:trPr/>
        <w:tc>
          <w:tcPr>
            <w:tcW w:w="5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0"/>
              <w:jc w:val="left"/>
              <w:rPr/>
            </w:pPr>
            <w:r>
              <w:rPr/>
              <w:t>Title:</w:t>
            </w:r>
          </w:p>
        </w:tc>
        <w:tc>
          <w:tcPr>
            <w:tcW w:w="2209" w:type="dxa"/>
            <w:tcBorders/>
            <w:vAlign w:val="center"/>
          </w:tcPr>
          <w:p>
            <w:pPr>
              <w:pStyle w:val="TableContents"/>
              <w:bidi w:val="0"/>
              <w:spacing w:before="0" w:after="0"/>
              <w:jc w:val="left"/>
              <w:rPr/>
            </w:pPr>
            <w:r>
              <w:rPr/>
              <w:t>Chief Financial Officer</w:t>
            </w:r>
          </w:p>
        </w:tc>
        <w:tc>
          <w:tcPr>
            <w:tcW w:w="75" w:type="dxa"/>
            <w:tcBorders/>
            <w:vAlign w:val="center"/>
          </w:tcPr>
          <w:p>
            <w:pPr>
              <w:pStyle w:val="TableContents"/>
              <w:bidi w:val="0"/>
              <w:spacing w:before="0" w:after="0"/>
              <w:jc w:val="left"/>
              <w:rPr/>
            </w:pPr>
            <w:r>
              <w:rPr/>
              <w:t> </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spacing w:before="200" w:after="200"/>
        <w:jc w:val="center"/>
        <w:rPr>
          <w:b/>
          <w:u w:val="single"/>
        </w:rPr>
      </w:pPr>
      <w:bookmarkStart w:id="7" w:name="page_4"/>
      <w:bookmarkEnd w:id="7"/>
      <w:r>
        <w:rPr>
          <w:b/>
          <w:u w:val="single"/>
        </w:rPr>
        <w:t>EXHIBIT INDEX</w:t>
      </w:r>
    </w:p>
    <w:tbl>
      <w:tblPr>
        <w:tblW w:w="4135" w:type="dxa"/>
        <w:jc w:val="left"/>
        <w:tblInd w:w="0" w:type="dxa"/>
        <w:tblLayout w:type="fixed"/>
        <w:tblCellMar>
          <w:top w:w="0" w:type="dxa"/>
          <w:left w:w="0" w:type="dxa"/>
          <w:bottom w:w="0" w:type="dxa"/>
          <w:right w:w="0" w:type="dxa"/>
        </w:tblCellMar>
      </w:tblPr>
      <w:tblGrid>
        <w:gridCol w:w="455"/>
        <w:gridCol w:w="3680"/>
      </w:tblGrid>
      <w:tr>
        <w:trPr/>
        <w:tc>
          <w:tcPr>
            <w:tcW w:w="455" w:type="dxa"/>
            <w:tcBorders/>
            <w:shd w:fill="EEEEEE" w:val="clear"/>
            <w:vAlign w:val="center"/>
          </w:tcPr>
          <w:p>
            <w:pPr>
              <w:pStyle w:val="TableContents"/>
              <w:bidi w:val="0"/>
              <w:spacing w:before="0" w:after="0"/>
              <w:jc w:val="left"/>
              <w:rPr/>
            </w:pPr>
            <w:hyperlink w:anchor="exhibit99-1.htm">
              <w:r>
                <w:rPr>
                  <w:rStyle w:val="InternetLink"/>
                </w:rPr>
                <w:t>99.1</w:t>
              </w:r>
            </w:hyperlink>
          </w:p>
        </w:tc>
        <w:tc>
          <w:tcPr>
            <w:tcW w:w="3680" w:type="dxa"/>
            <w:tcBorders/>
            <w:shd w:fill="EEEEEE" w:val="clear"/>
            <w:vAlign w:val="center"/>
          </w:tcPr>
          <w:p>
            <w:pPr>
              <w:pStyle w:val="TableContents"/>
              <w:bidi w:val="0"/>
              <w:spacing w:before="0" w:after="0"/>
              <w:jc w:val="left"/>
              <w:rPr/>
            </w:pPr>
            <w:hyperlink w:anchor="exhibit99-1.htm">
              <w:r>
                <w:rPr>
                  <w:rStyle w:val="InternetLink"/>
                </w:rPr>
                <w:t>News Release dated October 21, 2026</w:t>
              </w:r>
            </w:hyperlink>
          </w:p>
        </w:tc>
      </w:tr>
      <w:tr>
        <w:trPr/>
        <w:tc>
          <w:tcPr>
            <w:tcW w:w="455"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pPr>
            <w:r>
              <w:rPr/>
              <w:t> </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8" w:name="exhibit99-1.htm"/>
      <w:bookmarkStart w:id="9" w:name="ksexhibit991"/>
      <w:bookmarkStart w:id="10" w:name="exhibit99-1.htm"/>
      <w:bookmarkStart w:id="11" w:name="ksexhibit991"/>
      <w:bookmarkEnd w:id="10"/>
      <w:bookmarkEnd w:id="11"/>
      <w:r>
        <w:br w:type="page"/>
      </w:r>
    </w:p>
    <w:p>
      <w:pPr>
        <w:pStyle w:val="TextBody"/>
        <w:bidi w:val="0"/>
        <w:spacing w:before="200" w:after="200"/>
        <w:jc w:val="center"/>
        <w:rPr/>
      </w:pPr>
      <w:bookmarkStart w:id="12" w:name="page_11"/>
      <w:bookmarkEnd w:id="12"/>
      <w:r>
        <w:rPr/>
        <w:drawing>
          <wp:inline distT="0" distB="0" distL="0" distR="0">
            <wp:extent cx="1971675" cy="971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1971675" cy="971550"/>
                    </a:xfrm>
                    <a:prstGeom prst="rect">
                      <a:avLst/>
                    </a:prstGeom>
                  </pic:spPr>
                </pic:pic>
              </a:graphicData>
            </a:graphic>
          </wp:inline>
        </w:drawing>
      </w:r>
    </w:p>
    <w:p>
      <w:pPr>
        <w:pStyle w:val="TextBody"/>
        <w:bidi w:val="0"/>
        <w:spacing w:before="200" w:after="200"/>
        <w:jc w:val="center"/>
        <w:rPr>
          <w:b/>
          <w:sz w:val="28"/>
        </w:rPr>
      </w:pPr>
      <w:r>
        <w:rPr>
          <w:b/>
          <w:sz w:val="28"/>
        </w:rPr>
        <w:t>Helus Pharma Highlights Clinical Program Advancements at Investor Presentation Held on October 21, 2026</w:t>
      </w:r>
    </w:p>
    <w:p>
      <w:pPr>
        <w:pStyle w:val="TextBody"/>
        <w:bidi w:val="0"/>
        <w:spacing w:before="200" w:after="200"/>
        <w:ind w:left="0" w:right="0" w:firstLine="720"/>
        <w:jc w:val="center"/>
        <w:rPr/>
      </w:pPr>
      <w:r>
        <w:rPr/>
        <w:t>Topline data readout from APPROACH Phase 3 study of HLP003 in development for the potential adjunctive treatment of major depressive disorder ("MDD") on track for Q4 2026</w:t>
      </w:r>
      <w:r>
        <w:rPr>
          <w:i/>
          <w:position w:val="8"/>
          <w:sz w:val="19"/>
          <w:shd w:fill="FFFFFF" w:val="clear"/>
        </w:rPr>
        <w:t>1,2</w:t>
      </w:r>
    </w:p>
    <w:p>
      <w:pPr>
        <w:pStyle w:val="TextBody"/>
        <w:bidi w:val="0"/>
        <w:spacing w:before="200" w:after="200"/>
        <w:ind w:left="0" w:right="0" w:firstLine="720"/>
        <w:jc w:val="center"/>
        <w:rPr/>
      </w:pPr>
      <w:r>
        <w:rPr/>
        <w:t>HLP004 Program progressing with Phase 2 monotherapy study for the potential treatment of generalized anxiety disorder ("GAD") expected to initiate in Q1 2027</w:t>
      </w:r>
      <w:r>
        <w:rPr>
          <w:i/>
          <w:position w:val="8"/>
          <w:sz w:val="19"/>
          <w:shd w:fill="FFFFFF" w:val="clear"/>
        </w:rPr>
        <w:t>1,,2,3</w:t>
      </w:r>
      <w:r>
        <w:rPr>
          <w:shd w:fill="FFFFFF" w:val="clear"/>
        </w:rPr>
        <w:t xml:space="preserve"> </w:t>
      </w:r>
    </w:p>
    <w:p>
      <w:pPr>
        <w:pStyle w:val="TextBody"/>
        <w:bidi w:val="0"/>
        <w:spacing w:before="200" w:after="200"/>
        <w:jc w:val="both"/>
        <w:rPr>
          <w:i/>
          <w:shd w:fill="FFFFFF" w:val="clear"/>
        </w:rPr>
      </w:pPr>
      <w:r>
        <w:rPr>
          <w:i/>
          <w:shd w:fill="FFFFFF" w:val="clear"/>
        </w:rPr>
        <w:t>This news release constitutes a "designated news release" for the purpose of the Company's prospectus supplement dated December 30, 2025, to its short form base shelf prospectus dated September 17, 2025, as amended on December 19, 2025.</w:t>
      </w:r>
    </w:p>
    <w:p>
      <w:pPr>
        <w:pStyle w:val="TextBody"/>
        <w:bidi w:val="0"/>
        <w:spacing w:before="200" w:after="200"/>
        <w:jc w:val="both"/>
        <w:rPr/>
      </w:pPr>
      <w:r>
        <w:rPr>
          <w:b/>
        </w:rPr>
        <w:t xml:space="preserve">NEW YORK and TORONTO </w:t>
      </w:r>
      <w:r>
        <w:rPr/>
        <w:t>- October 21, 2026 - Helus Pharma Inc. (Nasdaq: HELP) (Cboe CA: HELP) ("Helus Pharma" or the "Company"), a clinical-stage pharmaceutical company committed to improving the treatment landscape in mental health through the development of novel serotonergic agonists ("NSAs"), today provided highlights on the advancement of its lead programs HLP003 and HLP004 as detailed in the investor presentation held by the Company on October 21, 2026 (the "Investor Presentation").</w:t>
      </w:r>
    </w:p>
    <w:p>
      <w:pPr>
        <w:pStyle w:val="TextBody"/>
        <w:bidi w:val="0"/>
        <w:spacing w:before="200" w:after="200"/>
        <w:jc w:val="both"/>
        <w:rPr/>
      </w:pPr>
      <w:r>
        <w:rPr>
          <w:shd w:fill="FFFFFF" w:val="clear"/>
        </w:rPr>
        <w:t xml:space="preserve">The Company reiterated that HLP003 </w:t>
      </w:r>
      <w:r>
        <w:rPr/>
        <w:t xml:space="preserve">APPROACH </w:t>
      </w:r>
      <w:r>
        <w:rPr>
          <w:shd w:fill="FFFFFF" w:val="clear"/>
        </w:rPr>
        <w:t>Phase 3 topline data readout is on track for Q4 2026</w:t>
      </w:r>
      <w:r>
        <w:rPr>
          <w:i/>
          <w:position w:val="8"/>
          <w:sz w:val="19"/>
          <w:shd w:fill="FFFFFF" w:val="clear"/>
        </w:rPr>
        <w:t>1,2</w:t>
      </w:r>
      <w:r>
        <w:rPr>
          <w:shd w:fill="FFFFFF" w:val="clear"/>
        </w:rPr>
        <w:t xml:space="preserve"> and provided an overview of the competitive landscape and commercial opportunity in the adjunctive treatment of MDD. The Company also shared details of the next HLP004 Phase 2 monotherapy study for the potential treatment of GAD, which is </w:t>
      </w:r>
      <w:r>
        <w:rPr/>
        <w:t>expected to initiate in Q1 2027.</w:t>
      </w:r>
      <w:r>
        <w:rPr>
          <w:i/>
          <w:position w:val="8"/>
          <w:sz w:val="19"/>
          <w:shd w:fill="FFFFFF" w:val="clear"/>
        </w:rPr>
        <w:t>1,2,3</w:t>
      </w:r>
      <w:r>
        <w:rPr>
          <w:shd w:fill="FFFFFF" w:val="clear"/>
        </w:rPr>
        <w:t xml:space="preserve"> </w:t>
      </w:r>
    </w:p>
    <w:p>
      <w:pPr>
        <w:pStyle w:val="TextBody"/>
        <w:bidi w:val="0"/>
        <w:spacing w:before="200" w:after="200"/>
        <w:jc w:val="both"/>
        <w:rPr/>
      </w:pPr>
      <w:r>
        <w:rPr/>
        <w:t>"The continued advancement of our two lead candidates represents an important period for Helus Pharma, with several key catalysts anticipated in the near term. We remain focused on achieving our key development milestones and advancing these programs towards regulatory approval and potential commercialization, positioning the Company for its next stage of growth," said Michael Halstead, Chief Executive Officer of Helus Pharma.</w:t>
      </w:r>
    </w:p>
    <w:p>
      <w:pPr>
        <w:pStyle w:val="TextBody"/>
        <w:bidi w:val="0"/>
        <w:spacing w:before="200" w:after="200"/>
        <w:jc w:val="both"/>
        <w:rPr/>
      </w:pPr>
      <w:r>
        <w:rPr/>
        <w:t>The Company previously announced completion of enrollment of 223 participants in its APPROACH Phase 3 pivotal study in July 2026. Enrollment is continuing in EMBRACE, the second pivotal study in the Phase 3 HLP003 program. Eligible participants from APPROACH and EMBRACE may also roll into EXTEND, Helus Pharma's long-term extension study, which is designed to further evaluate safety, durability of clinical effect and the potential role of redosing. </w:t>
      </w:r>
    </w:p>
    <w:p>
      <w:pPr>
        <w:pStyle w:val="HorizontalLine"/>
        <w:pBdr>
          <w:bottom w:val="single" w:sz="30" w:space="0" w:color="000000"/>
        </w:pBdr>
        <w:bidi w:val="0"/>
        <w:jc w:val="left"/>
        <w:rPr/>
      </w:pPr>
      <w:r>
        <w:rPr/>
      </w:r>
    </w:p>
    <w:p>
      <w:pPr>
        <w:pStyle w:val="TextBody"/>
        <w:bidi w:val="0"/>
        <w:spacing w:before="200" w:after="200"/>
        <w:jc w:val="both"/>
        <w:rPr/>
      </w:pPr>
      <w:bookmarkStart w:id="13" w:name="page_21"/>
      <w:bookmarkEnd w:id="13"/>
      <w:r>
        <w:rPr/>
        <w:t xml:space="preserve">Adjunctive therapy is a well-established treatment approach for patients who do not achieve an adequate response to first-line anti-depressants. However, available </w:t>
      </w:r>
      <w:r>
        <w:rPr>
          <w:shd w:fill="FFFFFF" w:val="clear"/>
        </w:rPr>
        <w:t>U.S. Food and Drug Administration ("FDA")</w:t>
      </w:r>
      <w:r>
        <w:rPr/>
        <w:t xml:space="preserve"> approved adjunctive treatment options remain limited and are often associated with tolerability and safety challenges that can impact long-term use. The Company believes that HLP003 may offer a differentiated approach that can build upon the benefits of a patient's existing antidepressant regimen with a potentially favorable safety profile.</w:t>
      </w:r>
    </w:p>
    <w:p>
      <w:pPr>
        <w:pStyle w:val="TextBody"/>
        <w:bidi w:val="0"/>
        <w:spacing w:before="200" w:after="200"/>
        <w:jc w:val="both"/>
        <w:rPr>
          <w:shd w:fill="FFFFFF" w:val="clear"/>
        </w:rPr>
      </w:pPr>
      <w:r>
        <w:rPr>
          <w:shd w:fill="FFFFFF" w:val="clear"/>
        </w:rPr>
        <w:t xml:space="preserve">HLP003 has been granted Breakthrough Therapy Designation by the FDA, which makes HLP003 eligible for an expedited review pathway, with the potential to reduce drug development timelines. Helus Pharma expects to file a New Drug Application with the FDA in 2028. </w:t>
      </w:r>
      <w:r>
        <w:rPr>
          <w:i/>
          <w:position w:val="8"/>
          <w:sz w:val="19"/>
          <w:shd w:fill="FFFFFF" w:val="clear"/>
        </w:rPr>
        <w:t>1,2</w:t>
      </w:r>
    </w:p>
    <w:p>
      <w:pPr>
        <w:pStyle w:val="TextBody"/>
        <w:bidi w:val="0"/>
        <w:spacing w:before="200" w:after="200"/>
        <w:jc w:val="both"/>
        <w:rPr/>
      </w:pPr>
      <w:r>
        <w:rPr/>
        <w:t>In GAD, FDA-approved treatment options remain limited, and approximately half of patients do not respond to initial therapy.</w:t>
      </w:r>
      <w:r>
        <w:rPr>
          <w:i/>
          <w:position w:val="8"/>
          <w:sz w:val="19"/>
          <w:shd w:fill="FFFFFF" w:val="clear"/>
        </w:rPr>
        <w:t>4</w:t>
      </w:r>
      <w:r>
        <w:rPr/>
        <w:t xml:space="preserve"> The Company believes that this significant unmet need supports the evaluation of HLP004 as a potential monotherapy treatment. Accordingly, the Company's upcoming Phase 2 study will assess the efficacy of two 30 mg administrations of HLP004 as monotherapy in adults with GAD.</w:t>
      </w:r>
    </w:p>
    <w:p>
      <w:pPr>
        <w:pStyle w:val="TextBody"/>
        <w:bidi w:val="0"/>
        <w:spacing w:before="200" w:after="200"/>
        <w:jc w:val="both"/>
        <w:rPr/>
      </w:pPr>
      <w:r>
        <w:rPr/>
        <w:t>The study will be a multi-center, randomized, double-blind, placebo-controlled study, evaluating the efficacy and safety of HLP004 versus inactive placebo in adult patients with GAD. The study will enroll adult participants using the Diagnostic and Statistical Manual of Mental Disorders fifth edition primary diagnosis of GAD, who have a minimum Hamilton Anxiety Rating Scale ("HAM-A") total score of ≥ 20 at screening and baseline. Approximately 144 participants will be randomized in a 1:1 ratio to either 30 mg of HLP004 or inactive placebo. The primary endpoint and key secondary endpoint are change from baseline in HAM-A total score at Week 6 and Week 12, respectively. During the presentation, Amir Inamdar, Chief Medical Officer of Helus Pharma, highlighted the key evidence that supported the selection of 30 mg as the optimum dose for further development in a monotherapy GAD study.</w:t>
      </w:r>
    </w:p>
    <w:p>
      <w:pPr>
        <w:pStyle w:val="TextBody"/>
        <w:bidi w:val="0"/>
        <w:spacing w:before="200" w:after="200"/>
        <w:jc w:val="both"/>
        <w:rPr/>
      </w:pPr>
      <w:r>
        <w:rPr/>
        <w:t>In addition to Helus Pharma executives, the Investor Presentation featured distinguished key opinion leaders, who shared perspectives on the current and evolving landscape in depression and anxiety treatment.</w:t>
      </w:r>
    </w:p>
    <w:p>
      <w:pPr>
        <w:pStyle w:val="TextBody"/>
        <w:shd w:fill="FFFFFF" w:val="clear"/>
        <w:bidi w:val="0"/>
        <w:spacing w:before="200" w:after="200"/>
        <w:jc w:val="both"/>
        <w:rPr>
          <w:color w:val="46423A"/>
        </w:rPr>
      </w:pPr>
      <w:r>
        <w:rPr>
          <w:color w:val="46423A"/>
        </w:rPr>
        <w:t>Featured key opinion leaders included:</w:t>
      </w:r>
    </w:p>
    <w:p>
      <w:pPr>
        <w:pStyle w:val="TextBody"/>
        <w:bidi w:val="0"/>
        <w:spacing w:before="200" w:after="200"/>
        <w:ind w:left="720" w:right="0" w:hanging="0"/>
        <w:jc w:val="both"/>
        <w:rPr>
          <w:shd w:fill="FFFFFF" w:val="clear"/>
        </w:rPr>
      </w:pPr>
      <w:r>
        <w:rPr>
          <w:color w:val="46423A"/>
          <w:shd w:fill="FFFFFF" w:val="clear"/>
        </w:rPr>
        <w:t>•</w:t>
      </w:r>
      <w:r>
        <w:rPr>
          <w:shd w:fill="FFFFFF" w:val="clear"/>
        </w:rPr>
        <w:t> </w:t>
      </w:r>
      <w:r>
        <w:rPr>
          <w:b/>
          <w:color w:val="46423A"/>
          <w:shd w:fill="FFFFFF" w:val="clear"/>
        </w:rPr>
        <w:t>Rakesh Jain, M.D., MPH</w:t>
      </w:r>
      <w:r>
        <w:rPr>
          <w:color w:val="46423A"/>
          <w:shd w:fill="FFFFFF" w:val="clear"/>
        </w:rPr>
        <w:t>, Clinical Professor Department of Psychiatry, at Texas Tech University School of Medicine.</w:t>
      </w:r>
    </w:p>
    <w:p>
      <w:pPr>
        <w:pStyle w:val="TextBody"/>
        <w:bidi w:val="0"/>
        <w:spacing w:before="200" w:after="200"/>
        <w:ind w:left="720" w:right="0" w:hanging="0"/>
        <w:jc w:val="both"/>
        <w:rPr>
          <w:shd w:fill="FFFFFF" w:val="clear"/>
        </w:rPr>
      </w:pPr>
      <w:r>
        <w:rPr>
          <w:color w:val="46423A"/>
          <w:shd w:fill="FFFFFF" w:val="clear"/>
        </w:rPr>
        <w:t>•</w:t>
      </w:r>
      <w:r>
        <w:rPr>
          <w:shd w:fill="FFFFFF" w:val="clear"/>
        </w:rPr>
        <w:t> </w:t>
      </w:r>
      <w:r>
        <w:rPr>
          <w:b/>
          <w:color w:val="46423A"/>
          <w:shd w:fill="FFFFFF" w:val="clear"/>
        </w:rPr>
        <w:t>Martha B. Koo, M.D., FASAM, FCTMSS, LFAPA</w:t>
      </w:r>
      <w:r>
        <w:rPr>
          <w:color w:val="46423A"/>
          <w:shd w:fill="FFFFFF" w:val="clear"/>
        </w:rPr>
        <w:t>, Board-certified psychiatrist, addiction specialist, psychoanalyst, and certified psychedelic-assisted therapist.</w:t>
      </w:r>
    </w:p>
    <w:p>
      <w:pPr>
        <w:pStyle w:val="TextBody"/>
        <w:bidi w:val="0"/>
        <w:spacing w:before="200" w:after="200"/>
        <w:ind w:left="720" w:right="0" w:hanging="0"/>
        <w:jc w:val="both"/>
        <w:rPr>
          <w:shd w:fill="FFFFFF" w:val="clear"/>
        </w:rPr>
      </w:pPr>
      <w:r>
        <w:rPr>
          <w:color w:val="46423A"/>
          <w:shd w:fill="FFFFFF" w:val="clear"/>
        </w:rPr>
        <w:t>•</w:t>
      </w:r>
      <w:r>
        <w:rPr>
          <w:shd w:fill="FFFFFF" w:val="clear"/>
        </w:rPr>
        <w:t> </w:t>
      </w:r>
      <w:r>
        <w:rPr>
          <w:b/>
          <w:color w:val="46423A"/>
          <w:shd w:fill="FFFFFF" w:val="clear"/>
        </w:rPr>
        <w:t>Roger S. McIntyre, M.D., FRCPC</w:t>
      </w:r>
      <w:r>
        <w:rPr>
          <w:color w:val="46423A"/>
          <w:shd w:fill="FFFFFF" w:val="clear"/>
        </w:rPr>
        <w:t>, Professor of Psychiatry and Pharmacology at the University of Toronto.</w:t>
      </w:r>
    </w:p>
    <w:p>
      <w:pPr>
        <w:pStyle w:val="TextBody"/>
        <w:bidi w:val="0"/>
        <w:spacing w:before="200" w:after="200"/>
        <w:ind w:left="360" w:right="0" w:hanging="0"/>
        <w:jc w:val="both"/>
        <w:rPr/>
      </w:pPr>
      <w:r>
        <w:rPr/>
        <w:t>Presentation materials and the webcast of the Investor Presentation are available on the Company's website on the Events &amp; Presentations page.</w:t>
      </w:r>
    </w:p>
    <w:p>
      <w:pPr>
        <w:pStyle w:val="HorizontalLine"/>
        <w:pBdr>
          <w:bottom w:val="single" w:sz="30" w:space="0" w:color="000000"/>
        </w:pBdr>
        <w:bidi w:val="0"/>
        <w:jc w:val="left"/>
        <w:rPr/>
      </w:pPr>
      <w:r>
        <w:rPr/>
      </w:r>
    </w:p>
    <w:p>
      <w:pPr>
        <w:pStyle w:val="TextBody"/>
        <w:bidi w:val="0"/>
        <w:spacing w:before="200" w:after="200"/>
        <w:jc w:val="both"/>
        <w:rPr>
          <w:b/>
        </w:rPr>
      </w:pPr>
      <w:bookmarkStart w:id="14" w:name="page_31"/>
      <w:bookmarkEnd w:id="14"/>
      <w:r>
        <w:rPr>
          <w:b/>
        </w:rPr>
        <w:t>About Helus Pharma</w:t>
      </w:r>
    </w:p>
    <w:p>
      <w:pPr>
        <w:pStyle w:val="TextBody"/>
        <w:bidi w:val="0"/>
        <w:spacing w:before="200" w:after="200"/>
        <w:jc w:val="both"/>
        <w:rPr/>
      </w:pPr>
      <w:r>
        <w:rPr/>
        <w:t>Helus Pharma is a clinical stage pharmaceutical company committed to improving the treatment landscape in mental health through the development of NSAs,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pStyle w:val="TextBody"/>
        <w:bidi w:val="0"/>
        <w:spacing w:before="200" w:after="200"/>
        <w:jc w:val="both"/>
        <w:rPr/>
      </w:pPr>
      <w:r>
        <w:rPr/>
        <w:t>Helus Pharma is currently developing HLP003, a proprietary NSA, in Phase 3 clinical development for the potential adjunctive treatment of major depressive disorder that has received Breakthrough Therapy Designation from the FDA and HLP004, also a proprietary NSA in Phase 2 for GAD. Additionally, Helus Pharma has an extensive research portfolio of investigational NSAs.</w:t>
      </w:r>
    </w:p>
    <w:p>
      <w:pPr>
        <w:pStyle w:val="TextBody"/>
        <w:bidi w:val="0"/>
        <w:spacing w:before="200" w:after="200"/>
        <w:jc w:val="both"/>
        <w:rPr/>
      </w:pPr>
      <w:r>
        <w:rPr/>
        <w:t>The Company operates in Canada, the United States, the United Kingdom, and Ireland. For Company updates and to learn more about Helus Pharma, visit www.helus.com or follow the team on X, LinkedIn, YouTube and Instagram. Helus Pharma™ is a trademark of Helus Pharma Corp.</w:t>
      </w:r>
    </w:p>
    <w:p>
      <w:pPr>
        <w:pStyle w:val="TextBody"/>
        <w:shd w:fill="FFFFFF" w:val="clear"/>
        <w:bidi w:val="0"/>
        <w:spacing w:before="200" w:after="200"/>
        <w:jc w:val="both"/>
        <w:rPr>
          <w:b/>
        </w:rPr>
      </w:pPr>
      <w:r>
        <w:rPr>
          <w:b/>
        </w:rPr>
        <w:t>Notes</w:t>
      </w:r>
    </w:p>
    <w:p>
      <w:pPr>
        <w:pStyle w:val="TextBody"/>
        <w:bidi w:val="0"/>
        <w:spacing w:before="200" w:after="200"/>
        <w:ind w:left="714" w:right="0" w:hanging="0"/>
        <w:jc w:val="both"/>
        <w:rPr>
          <w:shd w:fill="FFFFFF" w:val="clear"/>
        </w:rPr>
      </w:pPr>
      <w:r>
        <w:rPr>
          <w:shd w:fill="FFFFFF" w:val="clear"/>
        </w:rPr>
        <w:t>1. There is no assurance that this timeline will be met or that the program will advance clinical trials, at all.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Company.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pStyle w:val="TextBody"/>
        <w:bidi w:val="0"/>
        <w:spacing w:before="200" w:after="200"/>
        <w:ind w:left="714" w:right="0" w:hanging="0"/>
        <w:jc w:val="both"/>
        <w:rPr>
          <w:shd w:fill="FFFFFF" w:val="clear"/>
        </w:rPr>
      </w:pPr>
      <w:r>
        <w:rPr>
          <w:shd w:fill="FFFFFF" w:val="clear"/>
        </w:rPr>
        <w:t>2. There is no assurance that timelines will be met. Anticipated timelines regarding the initiation, advancement and results of clinical trials are based on reasonable assumptions informed by current knowledge and information available to the Company. See "Cautionary Notes and Forward-Looking Statements".</w:t>
      </w:r>
    </w:p>
    <w:p>
      <w:pPr>
        <w:pStyle w:val="TextBody"/>
        <w:bidi w:val="0"/>
        <w:spacing w:before="200" w:after="200"/>
        <w:ind w:left="714" w:right="0" w:hanging="0"/>
        <w:jc w:val="both"/>
        <w:rPr>
          <w:shd w:fill="FFFFFF" w:val="clear"/>
        </w:rPr>
      </w:pPr>
      <w:r>
        <w:rPr>
          <w:shd w:fill="FFFFFF" w:val="clear"/>
        </w:rPr>
        <w:t>3. The Company had previously disclosed that the HLP004 Program was being developed as an adjunctive therapy for GAD.  This program is now being developed as a monotherapy. The decision to pursue a monotherapy development strategy reflects the Company's assessment of the current GAD treatment landscape, including the limited availability of new treatment options and limitations associated with currently approved monotherapies.</w:t>
      </w:r>
    </w:p>
    <w:p>
      <w:pPr>
        <w:pStyle w:val="HorizontalLine"/>
        <w:pBdr>
          <w:bottom w:val="single" w:sz="30" w:space="0" w:color="000000"/>
        </w:pBdr>
        <w:bidi w:val="0"/>
        <w:jc w:val="left"/>
        <w:rPr/>
      </w:pPr>
      <w:r>
        <w:rPr/>
      </w:r>
    </w:p>
    <w:p>
      <w:pPr>
        <w:pStyle w:val="TextBody"/>
        <w:bidi w:val="0"/>
        <w:spacing w:before="200" w:after="200"/>
        <w:ind w:left="714" w:right="0" w:hanging="0"/>
        <w:jc w:val="both"/>
        <w:rPr>
          <w:shd w:fill="FFFFFF" w:val="clear"/>
        </w:rPr>
      </w:pPr>
      <w:bookmarkStart w:id="15" w:name="page_41"/>
      <w:bookmarkEnd w:id="15"/>
      <w:r>
        <w:rPr>
          <w:shd w:fill="FFFFFF" w:val="clear"/>
        </w:rPr>
        <w:t>4. Ansara, E. D. (2020). Management of treatment-resistant generalized anxiety disorder. Mental Health Clinician, 10(6), 326-334. https://doi.org/10.9740/ mhc.2020.11.326.</w:t>
      </w:r>
    </w:p>
    <w:p>
      <w:pPr>
        <w:pStyle w:val="TextBody"/>
        <w:bidi w:val="0"/>
        <w:spacing w:before="200" w:after="200"/>
        <w:ind w:left="357" w:right="0" w:hanging="0"/>
        <w:jc w:val="both"/>
        <w:rPr>
          <w:b/>
        </w:rPr>
      </w:pPr>
      <w:r>
        <w:rPr>
          <w:b/>
        </w:rPr>
        <w:t>Cautionary Notes and Forward-Looking Statements</w:t>
      </w:r>
    </w:p>
    <w:p>
      <w:pPr>
        <w:pStyle w:val="TextBody"/>
        <w:bidi w:val="0"/>
        <w:spacing w:before="200" w:after="200"/>
        <w:jc w:val="both"/>
        <w:rPr/>
      </w:pPr>
      <w:r>
        <w:rPr/>
        <w:t xml:space="preserve">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uncertainties, and other important factors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readout topline APPROACH Phase 3 study data in Q4 2026; initiate next Phase 2 HLP004 monotherapy study  in Q1 2027; roll eligible participants from APPROACH and EMBRACE into the EXTEND long-term extension study; the Company's belief that HLP003 may offer a differentiated approach that can build upon the benefits of a patient's existing antidepressant regimen with a favorable safety profile; </w:t>
      </w:r>
      <w:r>
        <w:rPr>
          <w:shd w:fill="FFFFFF" w:val="clear"/>
        </w:rPr>
        <w:t xml:space="preserve">file a New Drug Application with the FDA in 2028; </w:t>
      </w:r>
      <w:r>
        <w:rPr/>
        <w:t>leverage FDA Breakthrough Therapy Designation towards</w:t>
      </w:r>
      <w:r>
        <w:rPr>
          <w:shd w:fill="FFFFFF" w:val="clear"/>
        </w:rPr>
        <w:t xml:space="preserve"> expedited review and resulting reduced drug development timelines; obtain regulatory review or approval; enroll approximately 144 eligible participants in the Company's next Phase 2 GAD monotherapy study;</w:t>
      </w:r>
      <w:r>
        <w:rPr/>
        <w:t xml:space="preserve"> commercialize the Company's programs following receipt of regulatory approval and the related competitive landscape; the Company's next stage of growth; and the Company's plans to engineer proprietary drug discovery platforms, innovative drug delivery systems, novel formulation approaches and treatment regimens for mental health conditions, and the timing of any of the foregoing.</w:t>
      </w:r>
    </w:p>
    <w:p>
      <w:pPr>
        <w:pStyle w:val="TextBody"/>
        <w:bidi w:val="0"/>
        <w:spacing w:before="200" w:after="200"/>
        <w:jc w:val="both"/>
        <w:rPr/>
      </w:pPr>
      <w:r>
        <w:rPr/>
        <w:t>Any forward-looking statements are based on reasonable assumptions and estimates of management of the Company at the time such statements were made. Forward-looking statements involve known and unknown risks, uncertainties, and other important factors which may cause the actual results, performance, or achievements of the Company to materially differ from any future results, performance, or achievements expressed or implied by such forward-looking statements. Such factors, among other things, include: regulatory requirements and approvals;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months ended June 30, 2026 and the Company's annual information form for the year ended March 31, 2026, which are available under the Company's profile on SEDAR+ at www.sedarplus.ca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pStyle w:val="HorizontalLine"/>
        <w:pBdr>
          <w:bottom w:val="single" w:sz="30" w:space="0" w:color="000000"/>
        </w:pBdr>
        <w:bidi w:val="0"/>
        <w:jc w:val="left"/>
        <w:rPr/>
      </w:pPr>
      <w:r>
        <w:rPr/>
      </w:r>
    </w:p>
    <w:p>
      <w:pPr>
        <w:pStyle w:val="TextBody"/>
        <w:bidi w:val="0"/>
        <w:spacing w:before="200" w:after="200"/>
        <w:jc w:val="both"/>
        <w:rPr/>
      </w:pPr>
      <w:bookmarkStart w:id="16" w:name="page_5"/>
      <w:bookmarkEnd w:id="16"/>
      <w:r>
        <w:rPr/>
        <w:t>The Company makes no medical, treatment or health benefit claims about any of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pStyle w:val="TextBody"/>
        <w:bidi w:val="0"/>
        <w:spacing w:before="200" w:after="0"/>
        <w:jc w:val="both"/>
        <w:rPr>
          <w:i/>
        </w:rPr>
      </w:pPr>
      <w:r>
        <w:rPr>
          <w:i/>
        </w:rPr>
        <w:t>Neither Cboe Canada nor the Nasdaq Global Market stock exchange have approved or disapproved the contents of this news release and are not responsible for the adequacy and accuracy of the contents herein.</w:t>
      </w:r>
    </w:p>
    <w:p>
      <w:pPr>
        <w:pStyle w:val="TextBody"/>
        <w:bidi w:val="0"/>
        <w:spacing w:before="0" w:after="0"/>
        <w:jc w:val="both"/>
        <w:rPr>
          <w:color w:val="333333"/>
        </w:rPr>
      </w:pPr>
      <w:r>
        <w:rPr>
          <w:color w:val="333333"/>
        </w:rPr>
        <w:t>‍</w:t>
      </w:r>
    </w:p>
    <w:p>
      <w:pPr>
        <w:pStyle w:val="TextBody"/>
        <w:bidi w:val="0"/>
        <w:spacing w:before="0" w:after="0"/>
        <w:ind w:left="1" w:right="0" w:hanging="0"/>
        <w:jc w:val="both"/>
        <w:rPr>
          <w:b/>
        </w:rPr>
      </w:pPr>
      <w:r>
        <w:rPr>
          <w:b/>
        </w:rPr>
        <w:t>Investor Contact:</w:t>
      </w:r>
    </w:p>
    <w:p>
      <w:pPr>
        <w:pStyle w:val="TextBody"/>
        <w:bidi w:val="0"/>
        <w:spacing w:before="0" w:after="0"/>
        <w:ind w:left="1" w:right="0" w:hanging="0"/>
        <w:jc w:val="both"/>
        <w:rPr/>
      </w:pPr>
      <w:r>
        <w:rPr/>
        <w:t>Matthew Beck</w:t>
      </w:r>
    </w:p>
    <w:p>
      <w:pPr>
        <w:pStyle w:val="TextBody"/>
        <w:bidi w:val="0"/>
        <w:spacing w:before="0" w:after="0"/>
        <w:ind w:left="1" w:right="0" w:hanging="0"/>
        <w:jc w:val="both"/>
        <w:rPr/>
      </w:pPr>
      <w:r>
        <w:rPr/>
        <w:t>astr partners</w:t>
      </w:r>
    </w:p>
    <w:p>
      <w:pPr>
        <w:pStyle w:val="TextBody"/>
        <w:bidi w:val="0"/>
        <w:spacing w:before="0" w:after="0"/>
        <w:ind w:left="1" w:right="0" w:hanging="0"/>
        <w:jc w:val="both"/>
        <w:rPr/>
      </w:pPr>
      <w:r>
        <w:rPr/>
        <w:t>Managing Partner</w:t>
      </w:r>
    </w:p>
    <w:p>
      <w:pPr>
        <w:pStyle w:val="TextBody"/>
        <w:bidi w:val="0"/>
        <w:spacing w:before="0" w:after="0"/>
        <w:ind w:left="1" w:right="0" w:hanging="0"/>
        <w:jc w:val="both"/>
        <w:rPr/>
      </w:pPr>
      <w:r>
        <w:rPr/>
        <w:t>(917) 415-1750</w:t>
      </w:r>
    </w:p>
    <w:p>
      <w:pPr>
        <w:pStyle w:val="TextBody"/>
        <w:bidi w:val="0"/>
        <w:spacing w:before="0" w:after="200"/>
        <w:ind w:left="1" w:right="0" w:hanging="0"/>
        <w:jc w:val="both"/>
        <w:rPr>
          <w:color w:val="0563C1"/>
          <w:u w:val="single"/>
        </w:rPr>
      </w:pPr>
      <w:r>
        <w:rPr>
          <w:color w:val="0563C1"/>
          <w:u w:val="single"/>
        </w:rPr>
        <w:t>Matthew.beck@astrpartners.com</w:t>
      </w:r>
    </w:p>
    <w:p>
      <w:pPr>
        <w:pStyle w:val="TextBody"/>
        <w:bidi w:val="0"/>
        <w:spacing w:before="200" w:after="0"/>
        <w:ind w:left="1" w:right="0" w:hanging="0"/>
        <w:jc w:val="both"/>
        <w:rPr/>
      </w:pPr>
      <w:r>
        <w:rPr/>
        <w:t>Paul Glavine</w:t>
      </w:r>
    </w:p>
    <w:p>
      <w:pPr>
        <w:pStyle w:val="TextBody"/>
        <w:bidi w:val="0"/>
        <w:spacing w:before="0" w:after="0"/>
        <w:ind w:left="1" w:right="0" w:hanging="0"/>
        <w:jc w:val="both"/>
        <w:rPr/>
      </w:pPr>
      <w:r>
        <w:rPr/>
        <w:t>Chief Growth Officer</w:t>
      </w:r>
    </w:p>
    <w:p>
      <w:pPr>
        <w:pStyle w:val="TextBody"/>
        <w:bidi w:val="0"/>
        <w:spacing w:before="0" w:after="0"/>
        <w:ind w:left="1" w:right="0" w:hanging="0"/>
        <w:jc w:val="both"/>
        <w:rPr/>
      </w:pPr>
      <w:r>
        <w:rPr/>
        <w:t>Helus Pharma</w:t>
      </w:r>
    </w:p>
    <w:p>
      <w:pPr>
        <w:pStyle w:val="TextBody"/>
        <w:bidi w:val="0"/>
        <w:spacing w:before="0" w:after="0"/>
        <w:ind w:left="1" w:right="0" w:hanging="0"/>
        <w:jc w:val="both"/>
        <w:rPr/>
      </w:pPr>
      <w:r>
        <w:rPr/>
        <w:t>1-866-292-4601 x724</w:t>
      </w:r>
    </w:p>
    <w:p>
      <w:pPr>
        <w:pStyle w:val="TextBody"/>
        <w:bidi w:val="0"/>
        <w:spacing w:before="0" w:after="200"/>
        <w:ind w:left="1" w:right="0" w:hanging="0"/>
        <w:jc w:val="both"/>
        <w:rPr/>
      </w:pPr>
      <w:r>
        <w:rPr>
          <w:color w:val="0563C1"/>
          <w:u w:val="single"/>
        </w:rPr>
        <w:t>irteam@helus.com</w:t>
      </w:r>
      <w:r>
        <w:rPr/>
        <w:t xml:space="preserve"> - or - </w:t>
      </w:r>
      <w:r>
        <w:rPr>
          <w:color w:val="0563C1"/>
          <w:u w:val="single"/>
        </w:rPr>
        <w:t>media@helus.com</w:t>
      </w:r>
    </w:p>
    <w:p>
      <w:pPr>
        <w:pStyle w:val="TextBody"/>
        <w:bidi w:val="0"/>
        <w:spacing w:before="200" w:after="0"/>
        <w:ind w:left="1" w:right="0" w:hanging="0"/>
        <w:jc w:val="both"/>
        <w:rPr>
          <w:b/>
        </w:rPr>
      </w:pPr>
      <w:r>
        <w:rPr>
          <w:b/>
        </w:rPr>
        <w:t>Media Contact:</w:t>
      </w:r>
    </w:p>
    <w:p>
      <w:pPr>
        <w:pStyle w:val="TextBody"/>
        <w:bidi w:val="0"/>
        <w:spacing w:before="0" w:after="0"/>
        <w:ind w:left="1" w:right="0" w:hanging="0"/>
        <w:jc w:val="both"/>
        <w:rPr/>
      </w:pPr>
      <w:r>
        <w:rPr/>
        <w:t>Victoria Verdeja</w:t>
      </w:r>
    </w:p>
    <w:p>
      <w:pPr>
        <w:pStyle w:val="TextBody"/>
        <w:bidi w:val="0"/>
        <w:spacing w:before="0" w:after="0"/>
        <w:ind w:left="1" w:right="0" w:hanging="0"/>
        <w:jc w:val="both"/>
        <w:rPr/>
      </w:pPr>
      <w:r>
        <w:rPr/>
        <w:t>RXMD</w:t>
      </w:r>
    </w:p>
    <w:p>
      <w:pPr>
        <w:pStyle w:val="TextBody"/>
        <w:bidi w:val="0"/>
        <w:spacing w:before="0" w:after="0"/>
        <w:ind w:left="1" w:right="0" w:hanging="0"/>
        <w:jc w:val="both"/>
        <w:rPr/>
      </w:pPr>
      <w:r>
        <w:rPr/>
        <w:t>Public Relations Director</w:t>
      </w:r>
    </w:p>
    <w:p>
      <w:pPr>
        <w:pStyle w:val="TextBody"/>
        <w:bidi w:val="0"/>
        <w:spacing w:before="0" w:after="0"/>
        <w:ind w:left="1" w:right="0" w:hanging="0"/>
        <w:jc w:val="both"/>
        <w:rPr/>
      </w:pPr>
      <w:r>
        <w:rPr/>
        <w:t>(212) 537-9495</w:t>
      </w:r>
    </w:p>
    <w:p>
      <w:pPr>
        <w:pStyle w:val="TextBody"/>
        <w:bidi w:val="0"/>
        <w:spacing w:before="0" w:after="200"/>
        <w:ind w:left="1" w:right="0" w:hanging="0"/>
        <w:jc w:val="both"/>
        <w:rPr>
          <w:color w:val="0563C1"/>
          <w:u w:val="single"/>
        </w:rPr>
      </w:pPr>
      <w:r>
        <w:rPr>
          <w:color w:val="0563C1"/>
          <w:u w:val="single"/>
        </w:rPr>
        <w:t>vverdeja@rxmedyn.com</w:t>
      </w:r>
    </w:p>
    <w:p>
      <w:pPr>
        <w:pStyle w:val="HorizontalLine"/>
        <w:pBdr>
          <w:bottom w:val="single" w:sz="30" w:space="0" w:color="00000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33141/000106299325017416/formf10.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2184</Words>
  <Characters>12833</Characters>
  <CharactersWithSpaces>14973</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