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right="360"/>
        <w:spacing w:after="0" w:line="303"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79"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19, 2021</w:t>
            </w:r>
          </w:p>
        </w:tc>
        <w:tc>
          <w:tcPr>
            <w:tcW w:w="246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600" w:type="dxa"/>
            <w:vAlign w:val="bottom"/>
          </w:tcPr>
          <w:p>
            <w:pPr>
              <w:spacing w:after="0"/>
              <w:rPr>
                <w:sz w:val="16"/>
                <w:szCs w:val="16"/>
                <w:color w:val="auto"/>
              </w:rPr>
            </w:pPr>
          </w:p>
        </w:tc>
        <w:tc>
          <w:tcPr>
            <w:tcW w:w="2460" w:type="dxa"/>
            <w:vAlign w:val="bottom"/>
          </w:tcPr>
          <w:p>
            <w:pPr>
              <w:ind w:left="19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6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October 19,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Completion of 74 Pre-Clinical</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Psychedelic Molecule Studies</w:t>
      </w:r>
    </w:p>
    <w:p>
      <w:pPr>
        <w:spacing w:after="0" w:line="20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--The Company expects to hold a Research &amp; Development event to review these breakthrough findings in Q4 2021 that will be open to the public, shareholders, analysts and the media--</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October 19,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progressing psychedelic therapeutics, today announced the completion of its 74</w:t>
      </w:r>
      <w:r>
        <w:rPr>
          <w:rFonts w:ascii="Arial" w:cs="Arial" w:eastAsia="Arial" w:hAnsi="Arial"/>
          <w:sz w:val="15"/>
          <w:szCs w:val="15"/>
          <w:color w:val="auto"/>
        </w:rPr>
        <w:t>th</w:t>
      </w:r>
      <w:r>
        <w:rPr>
          <w:rFonts w:ascii="Arial" w:cs="Arial" w:eastAsia="Arial" w:hAnsi="Arial"/>
          <w:sz w:val="18"/>
          <w:szCs w:val="18"/>
          <w:color w:val="auto"/>
        </w:rPr>
        <w:t xml:space="preserve"> pre-clinical study as it continues to progress its proprietary psychedelic molecules into Investigational New Drug (“IND”)-enabling studies.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Cybin’s Research and Development team has completed 74 in-vitro and in-vivo evaluations of Cybin’s expanding portfolio of psychedelic compounds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aims to create a world class portfolio of psychedelic molecules that can become commercially viable drug candidates for both internal development and through future development partnerships.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highlights:</w:t>
      </w:r>
    </w:p>
    <w:p>
      <w:pPr>
        <w:spacing w:after="0" w:line="131" w:lineRule="exact"/>
        <w:rPr>
          <w:sz w:val="20"/>
          <w:szCs w:val="20"/>
          <w:color w:val="auto"/>
        </w:rPr>
      </w:pPr>
    </w:p>
    <w:p>
      <w:pPr>
        <w:ind w:left="960" w:right="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74</w:t>
      </w:r>
      <w:r>
        <w:rPr>
          <w:rFonts w:ascii="Arial" w:cs="Arial" w:eastAsia="Arial" w:hAnsi="Arial"/>
          <w:sz w:val="15"/>
          <w:szCs w:val="15"/>
          <w:color w:val="auto"/>
        </w:rPr>
        <w:t>th</w:t>
      </w:r>
      <w:r>
        <w:rPr>
          <w:rFonts w:ascii="Arial" w:cs="Arial" w:eastAsia="Arial" w:hAnsi="Arial"/>
          <w:sz w:val="18"/>
          <w:szCs w:val="18"/>
          <w:color w:val="auto"/>
        </w:rPr>
        <w:t xml:space="preserve"> pre-clinical research and development study in support of advancing CYB003 and CYB004 and other molecules towards clinical development;</w:t>
      </w:r>
    </w:p>
    <w:p>
      <w:pPr>
        <w:spacing w:after="0" w:line="75" w:lineRule="exact"/>
        <w:rPr>
          <w:rFonts w:ascii="Arial" w:cs="Arial" w:eastAsia="Arial" w:hAnsi="Arial"/>
          <w:sz w:val="18"/>
          <w:szCs w:val="18"/>
          <w:color w:val="auto"/>
        </w:rPr>
      </w:pPr>
    </w:p>
    <w:p>
      <w:pPr>
        <w:jc w:val="both"/>
        <w:ind w:left="96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comparative data clearly shows multiple potential advantages over classical psychedelic molecules that include faster onset of action, shorter duration of action, excellent oral bioavailability, significant brain penetration and significantly less inter-subject variability. It is suggested that these properties may translate to significantly better patient experiences;</w:t>
      </w:r>
    </w:p>
    <w:p>
      <w:pPr>
        <w:sectPr>
          <w:pgSz w:w="11900" w:h="16838" w:orient="portrait"/>
          <w:cols w:equalWidth="0" w:num="1">
            <w:col w:w="11020"/>
          </w:cols>
          <w:pgMar w:left="440" w:top="121" w:right="439" w:bottom="1440" w:gutter="0" w:footer="0" w:header="0"/>
        </w:sectPr>
      </w:pPr>
    </w:p>
    <w:bookmarkStart w:id="4" w:name="page5"/>
    <w:bookmarkEnd w:id="4"/>
    <w:p>
      <w:pPr>
        <w:ind w:left="960" w:right="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safety and toxicology studies to U.S. Food and Drug Administration (“FDA”) standards have been initiated in preparation for human clinical studies, expected in early 2022; and</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progress in preparing CYB003 and CYB004 drug substance to FDA standards for human use has been achieved in partnership with an FDA approved manufacturer.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“Cybin continues to demonstrate superior properties of its CYB003 and CYB004 programs as we progress toward first-in-human studies, expected in early 2022. These experiments greatly expand our understanding of the potential therapeutic value of the studied compounds and further demonstrate Cybin’s strong research and development capabilities,” said Doug Drysdale, Cybin’s CEO.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w:t>
      </w:r>
    </w:p>
    <w:p>
      <w:pPr>
        <w:sectPr>
          <w:pgSz w:w="11900" w:h="16838" w:orient="portrait"/>
          <w:cols w:equalWidth="0" w:num="1">
            <w:col w:w="11020"/>
          </w:cols>
          <w:pgMar w:left="440" w:top="274" w:right="4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operates; and the risk factors set out in the Company’s management’s discussion and analysis for the period ended June 30,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2021-10-19T12:02:16Z</dcterms:created>
  <dcterms:modified xsi:type="dcterms:W3CDTF">2021-10-19T12:02:16Z</dcterms:modified>
</cp:coreProperties>
</file>