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FOREIGN PRIVATE ISSUER PURSUANT TO RULE 13a-16 OR 15d-16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For the month of February, 2024.</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001-40673</w:t>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Cybin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100 King Street West, Suite 5600, Toronto, Ontario, M5X 1C9</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16"/>
          <w:szCs w:val="16"/>
          <w:color w:val="auto"/>
        </w:rPr>
        <w:t xml:space="preserve">Form 20-F </w:t>
      </w: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p>
      <w:pPr>
        <w:spacing w:after="0" w:line="85"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auto"/>
        </w:rPr>
        <w:t>Exhibits 99.1 - 99.2 of this Form 6-K of Cybin Inc. (the "Company") are hereby incorporated by reference into the Registration Statement on Form F-10 (File No.</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85" w:lineRule="exact"/>
        <w:rPr>
          <w:sz w:val="20"/>
          <w:szCs w:val="20"/>
          <w:color w:val="auto"/>
        </w:rPr>
      </w:pPr>
    </w:p>
    <w:p>
      <w:pPr>
        <w:ind w:firstLine="582"/>
        <w:spacing w:after="0" w:line="27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CYBIN INC.</w:t>
            </w:r>
          </w:p>
        </w:tc>
      </w:tr>
      <w:tr>
        <w:trPr>
          <w:trHeight w:val="230"/>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(Registrant)</w:t>
            </w:r>
          </w:p>
        </w:tc>
      </w:tr>
      <w:tr>
        <w:trPr>
          <w:trHeight w:val="46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February 14, 2024</w:t>
            </w: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By:</w:t>
            </w:r>
          </w:p>
        </w:tc>
        <w:tc>
          <w:tcPr>
            <w:tcW w:w="4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i w:val="1"/>
                <w:iCs w:val="1"/>
                <w:color w:val="auto"/>
              </w:rPr>
              <w:t>/s/ Doug Drysdale</w:t>
            </w:r>
          </w:p>
        </w:tc>
      </w:tr>
      <w:tr>
        <w:trPr>
          <w:trHeight w:val="216"/>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Doug Drysdale</w:t>
            </w:r>
          </w:p>
        </w:tc>
      </w:tr>
      <w:tr>
        <w:trPr>
          <w:trHeight w:val="230"/>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10680"/>
          </w:cols>
          <w:pgMar w:left="320" w:top="1285" w:right="8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EXHIBIT INDEX</w:t>
            </w:r>
          </w:p>
        </w:tc>
        <w:tc>
          <w:tcPr>
            <w:tcW w:w="680" w:type="dxa"/>
            <w:vAlign w:val="bottom"/>
            <w:gridSpan w:val="2"/>
          </w:tcPr>
          <w:p>
            <w:pPr>
              <w:spacing w:after="0"/>
              <w:rPr>
                <w:sz w:val="16"/>
                <w:szCs w:val="16"/>
                <w:color w:val="auto"/>
              </w:rPr>
            </w:pPr>
          </w:p>
        </w:tc>
      </w:tr>
      <w:tr>
        <w:trPr>
          <w:trHeight w:val="514"/>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99.1</w:t>
            </w:r>
          </w:p>
        </w:tc>
        <w:tc>
          <w:tcPr>
            <w:tcW w:w="5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Interim Consolidated Financial Statements for the nine months ended December 31, 2023</w:t>
            </w: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99.2</w:t>
            </w:r>
          </w:p>
        </w:tc>
        <w:tc>
          <w:tcPr>
            <w:tcW w:w="58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Management’s Discussion and Analysis for the nine months ended December 31, 2023</w:t>
            </w: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99.3</w:t>
            </w:r>
          </w:p>
        </w:tc>
        <w:tc>
          <w:tcPr>
            <w:tcW w:w="42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Interim Filings by CEO dated February 14, 2024</w:t>
            </w:r>
          </w:p>
        </w:tc>
        <w:tc>
          <w:tcPr>
            <w:tcW w:w="1420" w:type="dxa"/>
            <w:vAlign w:val="bottom"/>
            <w:tcBorders>
              <w:top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99.4</w:t>
            </w:r>
          </w:p>
        </w:tc>
        <w:tc>
          <w:tcPr>
            <w:tcW w:w="4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Interim Filings by CFO dated February 14, 2024</w:t>
            </w:r>
          </w:p>
        </w:tc>
        <w:tc>
          <w:tcPr>
            <w:tcW w:w="1620" w:type="dxa"/>
            <w:vAlign w:val="bottom"/>
            <w:gridSpan w:val="4"/>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99.5</w:t>
            </w:r>
          </w:p>
        </w:tc>
        <w:tc>
          <w:tcPr>
            <w:tcW w:w="2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News Release dated February 14, 2024</w:t>
            </w:r>
          </w:p>
        </w:tc>
        <w:tc>
          <w:tcPr>
            <w:tcW w:w="3260" w:type="dxa"/>
            <w:vAlign w:val="bottom"/>
            <w:gridSpan w:val="6"/>
          </w:tcPr>
          <w:p>
            <w:pPr>
              <w:spacing w:after="0"/>
              <w:rPr>
                <w:sz w:val="18"/>
                <w:szCs w:val="18"/>
                <w:color w:val="auto"/>
              </w:rPr>
            </w:pPr>
          </w:p>
        </w:tc>
      </w:tr>
    </w:tbl>
    <w:p>
      <w:pPr>
        <w:sectPr>
          <w:pgSz w:w="11900" w:h="16838" w:orient="portrait"/>
          <w:cols w:equalWidth="0" w:num="1">
            <w:col w:w="10119"/>
          </w:cols>
          <w:pgMar w:left="340" w:top="127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3081655</wp:posOffset>
            </wp:positionH>
            <wp:positionV relativeFrom="page">
              <wp:posOffset>2314575</wp:posOffset>
            </wp:positionV>
            <wp:extent cx="1386205" cy="800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86205" cy="800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Calibri" w:cs="Calibri" w:eastAsia="Calibri" w:hAnsi="Calibri"/>
          <w:sz w:val="39"/>
          <w:szCs w:val="39"/>
          <w:b w:val="1"/>
          <w:bCs w:val="1"/>
          <w:color w:val="auto"/>
        </w:rPr>
        <w:t>CYBIN INC.</w:t>
      </w:r>
    </w:p>
    <w:p>
      <w:pPr>
        <w:spacing w:after="0" w:line="236"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CONDENSED INTERIM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Calibri" w:cs="Calibri" w:eastAsia="Calibri" w:hAnsi="Calibri"/>
          <w:sz w:val="23"/>
          <w:szCs w:val="23"/>
          <w:b w:val="1"/>
          <w:bCs w:val="1"/>
          <w:color w:val="auto"/>
        </w:rPr>
        <w:t>DECEMBER 31, 2023</w:t>
      </w: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TO OUR SHAREHOLDERS</w:t>
      </w:r>
    </w:p>
    <w:p>
      <w:pPr>
        <w:spacing w:after="0" w:line="205" w:lineRule="exact"/>
        <w:rPr>
          <w:sz w:val="20"/>
          <w:szCs w:val="20"/>
          <w:color w:val="auto"/>
        </w:rPr>
      </w:pPr>
    </w:p>
    <w:p>
      <w:pPr>
        <w:jc w:val="both"/>
        <w:spacing w:after="0" w:line="278" w:lineRule="auto"/>
        <w:rPr>
          <w:sz w:val="20"/>
          <w:szCs w:val="20"/>
          <w:color w:val="auto"/>
        </w:rPr>
      </w:pPr>
      <w:r>
        <w:rPr>
          <w:rFonts w:ascii="Calibri" w:cs="Calibri" w:eastAsia="Calibri" w:hAnsi="Calibri"/>
          <w:sz w:val="19"/>
          <w:szCs w:val="19"/>
          <w:color w:val="auto"/>
        </w:rPr>
        <w:t xml:space="preserve">The accompanying unaudited condensed interim consolidated fnancial statements of Cybin Inc. ("Cybin") have been prepared by and are the responsibility of Cybin's management in accordance with Internatonal Accountng Standards (“IAS”) 34, Interim Financial Reportng as issued by the Internatonal Accountng Standards Board ("IASB''). These unaudited condensed interim consolidated fnancial statements do not include all the informaton and notes required by Internatonal Financial Reportng Standards ("IFRS'') for annual fnancial statements and should be read in conjuncton with Cybin’s annual fnancial statements and notes for the year ended March 31, 2023, which are available on SEDAR+ at </w:t>
      </w:r>
      <w:r>
        <w:rPr>
          <w:rFonts w:ascii="Calibri" w:cs="Calibri" w:eastAsia="Calibri" w:hAnsi="Calibri"/>
          <w:sz w:val="19"/>
          <w:szCs w:val="19"/>
          <w:u w:val="single" w:color="auto"/>
          <w:color w:val="0000E1"/>
        </w:rPr>
        <w:t>www.sedarplus.com</w:t>
      </w:r>
      <w:r>
        <w:rPr>
          <w:rFonts w:ascii="Calibri" w:cs="Calibri" w:eastAsia="Calibri" w:hAnsi="Calibri"/>
          <w:sz w:val="19"/>
          <w:szCs w:val="19"/>
          <w:color w:val="auto"/>
        </w:rPr>
        <w:t>.</w:t>
      </w:r>
    </w:p>
    <w:p>
      <w:pPr>
        <w:sectPr>
          <w:pgSz w:w="11900" w:h="16838" w:orient="portrait"/>
          <w:cols w:equalWidth="0" w:num="1">
            <w:col w:w="11240"/>
          </w:cols>
          <w:pgMar w:left="320" w:top="1440" w:right="339" w:bottom="1440" w:gutter="0" w:footer="0" w:header="0"/>
        </w:sectPr>
      </w:pPr>
    </w:p>
    <w:bookmarkStart w:id="5" w:name="page6"/>
    <w:bookmarkEnd w:id="5"/>
    <w:p>
      <w:pPr>
        <w:ind w:left="60"/>
        <w:spacing w:after="0"/>
        <w:rPr>
          <w:sz w:val="20"/>
          <w:szCs w:val="20"/>
          <w:color w:val="auto"/>
        </w:rPr>
      </w:pPr>
      <w:r>
        <w:rPr>
          <w:rFonts w:ascii="Calibri" w:cs="Calibri" w:eastAsia="Calibri" w:hAnsi="Calibri"/>
          <w:sz w:val="19"/>
          <w:szCs w:val="19"/>
          <w:b w:val="1"/>
          <w:bCs w:val="1"/>
          <w:color w:val="auto"/>
        </w:rPr>
        <w:t>CYBIN INC.</w:t>
      </w:r>
    </w:p>
    <w:p>
      <w:pPr>
        <w:ind w:left="60" w:right="4840"/>
        <w:spacing w:after="0"/>
        <w:rPr>
          <w:sz w:val="20"/>
          <w:szCs w:val="20"/>
          <w:color w:val="auto"/>
        </w:rPr>
      </w:pPr>
      <w:r>
        <w:rPr>
          <w:rFonts w:ascii="Calibri" w:cs="Calibri" w:eastAsia="Calibri" w:hAnsi="Calibri"/>
          <w:sz w:val="19"/>
          <w:szCs w:val="19"/>
          <w:b w:val="1"/>
          <w:bCs w:val="1"/>
          <w:color w:val="auto"/>
        </w:rPr>
        <w:t>CONDENSED INTERIM CONSOLIDATED STATEMENTS OF FINANCIAL POSITION (All amounts expressed in thousands of Canadian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7015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tcPr>
          <w:p>
            <w:pPr>
              <w:ind w:left="60"/>
              <w:spacing w:after="0"/>
              <w:rPr>
                <w:sz w:val="20"/>
                <w:szCs w:val="20"/>
                <w:color w:val="auto"/>
              </w:rPr>
            </w:pPr>
            <w:r>
              <w:rPr>
                <w:rFonts w:ascii="Arial" w:cs="Arial" w:eastAsia="Arial" w:hAnsi="Arial"/>
                <w:sz w:val="15"/>
                <w:szCs w:val="15"/>
                <w:b w:val="1"/>
                <w:bCs w:val="1"/>
                <w:color w:val="auto"/>
              </w:rPr>
              <w:t>As at</w:t>
            </w:r>
          </w:p>
        </w:tc>
        <w:tc>
          <w:tcPr>
            <w:tcW w:w="2620" w:type="dxa"/>
            <w:vAlign w:val="bottom"/>
          </w:tcPr>
          <w:p>
            <w:pPr>
              <w:jc w:val="center"/>
              <w:ind w:left="1167"/>
              <w:spacing w:after="0"/>
              <w:rPr>
                <w:sz w:val="20"/>
                <w:szCs w:val="20"/>
                <w:color w:val="auto"/>
              </w:rPr>
            </w:pPr>
            <w:r>
              <w:rPr>
                <w:rFonts w:ascii="Calibri" w:cs="Calibri" w:eastAsia="Calibri" w:hAnsi="Calibri"/>
                <w:sz w:val="15"/>
                <w:szCs w:val="15"/>
                <w:i w:val="1"/>
                <w:iCs w:val="1"/>
                <w:color w:val="auto"/>
                <w:w w:val="95"/>
              </w:rPr>
              <w:t>Notes</w:t>
            </w:r>
          </w:p>
        </w:tc>
        <w:tc>
          <w:tcPr>
            <w:tcW w:w="2240" w:type="dxa"/>
            <w:vAlign w:val="bottom"/>
          </w:tcPr>
          <w:p>
            <w:pPr>
              <w:jc w:val="right"/>
              <w:ind w:right="487"/>
              <w:spacing w:after="0"/>
              <w:rPr>
                <w:sz w:val="20"/>
                <w:szCs w:val="20"/>
                <w:color w:val="auto"/>
              </w:rPr>
            </w:pPr>
            <w:r>
              <w:rPr>
                <w:rFonts w:ascii="Calibri" w:cs="Calibri" w:eastAsia="Calibri" w:hAnsi="Calibri"/>
                <w:sz w:val="15"/>
                <w:szCs w:val="15"/>
                <w:b w:val="1"/>
                <w:bCs w:val="1"/>
                <w:color w:val="auto"/>
              </w:rPr>
              <w:t>December 31, 2023</w:t>
            </w:r>
          </w:p>
        </w:tc>
        <w:tc>
          <w:tcPr>
            <w:tcW w:w="1480" w:type="dxa"/>
            <w:vAlign w:val="bottom"/>
          </w:tcPr>
          <w:p>
            <w:pPr>
              <w:jc w:val="right"/>
              <w:spacing w:after="0"/>
              <w:rPr>
                <w:sz w:val="20"/>
                <w:szCs w:val="20"/>
                <w:color w:val="auto"/>
              </w:rPr>
            </w:pPr>
            <w:r>
              <w:rPr>
                <w:rFonts w:ascii="Calibri" w:cs="Calibri" w:eastAsia="Calibri" w:hAnsi="Calibri"/>
                <w:sz w:val="15"/>
                <w:szCs w:val="15"/>
                <w:b w:val="1"/>
                <w:bCs w:val="1"/>
                <w:color w:val="auto"/>
              </w:rPr>
              <w:t>March 31, 2023</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6"/>
        </w:trPr>
        <w:tc>
          <w:tcPr>
            <w:tcW w:w="4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4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w:t>
            </w:r>
          </w:p>
        </w:tc>
        <w:tc>
          <w:tcPr>
            <w:tcW w:w="1480" w:type="dxa"/>
            <w:vAlign w:val="bottom"/>
          </w:tcPr>
          <w:p>
            <w:pPr>
              <w:jc w:val="right"/>
              <w:spacing w:after="0"/>
              <w:rPr>
                <w:sz w:val="20"/>
                <w:szCs w:val="20"/>
                <w:color w:val="auto"/>
              </w:rPr>
            </w:pPr>
            <w:r>
              <w:rPr>
                <w:rFonts w:ascii="Calibri" w:cs="Calibri" w:eastAsia="Calibri" w:hAnsi="Calibri"/>
                <w:sz w:val="15"/>
                <w:szCs w:val="15"/>
                <w:b w:val="1"/>
                <w:bCs w:val="1"/>
                <w:color w:val="auto"/>
              </w:rPr>
              <w:t>$</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7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ASSETS</w:t>
            </w:r>
          </w:p>
        </w:tc>
        <w:tc>
          <w:tcPr>
            <w:tcW w:w="2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6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4700" w:type="dxa"/>
            <w:vAlign w:val="bottom"/>
          </w:tcPr>
          <w:p>
            <w:pPr>
              <w:ind w:left="500"/>
              <w:spacing w:after="0"/>
              <w:rPr>
                <w:sz w:val="20"/>
                <w:szCs w:val="20"/>
                <w:color w:val="auto"/>
              </w:rPr>
            </w:pPr>
            <w:r>
              <w:rPr>
                <w:rFonts w:ascii="Calibri" w:cs="Calibri" w:eastAsia="Calibri" w:hAnsi="Calibri"/>
                <w:sz w:val="15"/>
                <w:szCs w:val="15"/>
                <w:color w:val="auto"/>
              </w:rPr>
              <w:t>Cash</w:t>
            </w:r>
          </w:p>
        </w:tc>
        <w:tc>
          <w:tcPr>
            <w:tcW w:w="2620" w:type="dxa"/>
            <w:vAlign w:val="bottom"/>
          </w:tcPr>
          <w:p>
            <w:pPr>
              <w:spacing w:after="0"/>
              <w:rPr>
                <w:sz w:val="24"/>
                <w:szCs w:val="24"/>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38,999</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16,633</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Accounts receivable</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4,256</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3,050</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Prepaid expenses</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3,312</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1,733</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Other current assets</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2,152</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1,769</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4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7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Current Assets</w:t>
            </w:r>
          </w:p>
        </w:tc>
        <w:tc>
          <w:tcPr>
            <w:tcW w:w="2620" w:type="dxa"/>
            <w:vAlign w:val="bottom"/>
          </w:tcPr>
          <w:p>
            <w:pPr>
              <w:spacing w:after="0"/>
              <w:rPr>
                <w:sz w:val="14"/>
                <w:szCs w:val="14"/>
                <w:color w:val="auto"/>
              </w:rPr>
            </w:pPr>
          </w:p>
        </w:tc>
        <w:tc>
          <w:tcPr>
            <w:tcW w:w="2240" w:type="dxa"/>
            <w:vAlign w:val="bottom"/>
          </w:tcPr>
          <w:p>
            <w:pPr>
              <w:jc w:val="right"/>
              <w:ind w:right="427"/>
              <w:spacing w:after="0" w:line="165" w:lineRule="exact"/>
              <w:rPr>
                <w:sz w:val="20"/>
                <w:szCs w:val="20"/>
                <w:color w:val="auto"/>
              </w:rPr>
            </w:pPr>
            <w:r>
              <w:rPr>
                <w:rFonts w:ascii="Calibri" w:cs="Calibri" w:eastAsia="Calibri" w:hAnsi="Calibri"/>
                <w:sz w:val="15"/>
                <w:szCs w:val="15"/>
                <w:b w:val="1"/>
                <w:bCs w:val="1"/>
                <w:color w:val="auto"/>
              </w:rPr>
              <w:t>48,719</w:t>
            </w:r>
          </w:p>
        </w:tc>
        <w:tc>
          <w:tcPr>
            <w:tcW w:w="1480" w:type="dxa"/>
            <w:vAlign w:val="bottom"/>
          </w:tcPr>
          <w:p>
            <w:pPr>
              <w:jc w:val="right"/>
              <w:spacing w:after="0" w:line="165" w:lineRule="exact"/>
              <w:rPr>
                <w:sz w:val="20"/>
                <w:szCs w:val="20"/>
                <w:color w:val="auto"/>
              </w:rPr>
            </w:pPr>
            <w:r>
              <w:rPr>
                <w:rFonts w:ascii="Calibri" w:cs="Calibri" w:eastAsia="Calibri" w:hAnsi="Calibri"/>
                <w:sz w:val="15"/>
                <w:szCs w:val="15"/>
                <w:color w:val="auto"/>
              </w:rPr>
              <w:t>23,185</w:t>
            </w: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4700" w:type="dxa"/>
            <w:vAlign w:val="bottom"/>
          </w:tcPr>
          <w:p>
            <w:pPr>
              <w:ind w:left="200"/>
              <w:spacing w:after="0"/>
              <w:rPr>
                <w:sz w:val="20"/>
                <w:szCs w:val="20"/>
                <w:color w:val="auto"/>
              </w:rPr>
            </w:pPr>
            <w:r>
              <w:rPr>
                <w:rFonts w:ascii="Calibri" w:cs="Calibri" w:eastAsia="Calibri" w:hAnsi="Calibri"/>
                <w:sz w:val="15"/>
                <w:szCs w:val="15"/>
                <w:b w:val="1"/>
                <w:bCs w:val="1"/>
                <w:color w:val="auto"/>
              </w:rPr>
              <w:t>Non-current</w:t>
            </w:r>
          </w:p>
        </w:tc>
        <w:tc>
          <w:tcPr>
            <w:tcW w:w="2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Equipment</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4</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300</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450</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Intangible assets</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5</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44,247</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5,470</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700" w:type="dxa"/>
            <w:vAlign w:val="bottom"/>
          </w:tcPr>
          <w:p>
            <w:pPr>
              <w:ind w:left="20"/>
              <w:spacing w:after="0"/>
              <w:rPr>
                <w:sz w:val="20"/>
                <w:szCs w:val="20"/>
                <w:color w:val="auto"/>
              </w:rPr>
            </w:pPr>
            <w:r>
              <w:rPr>
                <w:rFonts w:ascii="Calibri" w:cs="Calibri" w:eastAsia="Calibri" w:hAnsi="Calibri"/>
                <w:sz w:val="15"/>
                <w:szCs w:val="15"/>
                <w:color w:val="auto"/>
              </w:rPr>
              <w:t>Right-of-use asset</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6</w:t>
            </w:r>
          </w:p>
        </w:tc>
        <w:tc>
          <w:tcPr>
            <w:tcW w:w="224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356</w:t>
            </w:r>
          </w:p>
        </w:tc>
        <w:tc>
          <w:tcPr>
            <w:tcW w:w="148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4"/>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Goodwill</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7</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36,102</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24,792</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4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7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Non-Current Assets</w:t>
            </w:r>
          </w:p>
        </w:tc>
        <w:tc>
          <w:tcPr>
            <w:tcW w:w="2620" w:type="dxa"/>
            <w:vAlign w:val="bottom"/>
          </w:tcPr>
          <w:p>
            <w:pPr>
              <w:spacing w:after="0"/>
              <w:rPr>
                <w:sz w:val="14"/>
                <w:szCs w:val="14"/>
                <w:color w:val="auto"/>
              </w:rPr>
            </w:pPr>
          </w:p>
        </w:tc>
        <w:tc>
          <w:tcPr>
            <w:tcW w:w="2240" w:type="dxa"/>
            <w:vAlign w:val="bottom"/>
          </w:tcPr>
          <w:p>
            <w:pPr>
              <w:jc w:val="right"/>
              <w:ind w:right="427"/>
              <w:spacing w:after="0" w:line="165" w:lineRule="exact"/>
              <w:rPr>
                <w:sz w:val="20"/>
                <w:szCs w:val="20"/>
                <w:color w:val="auto"/>
              </w:rPr>
            </w:pPr>
            <w:r>
              <w:rPr>
                <w:rFonts w:ascii="Calibri" w:cs="Calibri" w:eastAsia="Calibri" w:hAnsi="Calibri"/>
                <w:sz w:val="15"/>
                <w:szCs w:val="15"/>
                <w:b w:val="1"/>
                <w:bCs w:val="1"/>
                <w:color w:val="auto"/>
              </w:rPr>
              <w:t>81,005</w:t>
            </w:r>
          </w:p>
        </w:tc>
        <w:tc>
          <w:tcPr>
            <w:tcW w:w="1480" w:type="dxa"/>
            <w:vAlign w:val="bottom"/>
          </w:tcPr>
          <w:p>
            <w:pPr>
              <w:jc w:val="right"/>
              <w:spacing w:after="0" w:line="165" w:lineRule="exact"/>
              <w:rPr>
                <w:sz w:val="20"/>
                <w:szCs w:val="20"/>
                <w:color w:val="auto"/>
              </w:rPr>
            </w:pPr>
            <w:r>
              <w:rPr>
                <w:rFonts w:ascii="Calibri" w:cs="Calibri" w:eastAsia="Calibri" w:hAnsi="Calibri"/>
                <w:sz w:val="15"/>
                <w:szCs w:val="15"/>
                <w:color w:val="auto"/>
              </w:rPr>
              <w:t>30,712</w:t>
            </w: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ASSETS</w:t>
            </w:r>
          </w:p>
        </w:tc>
        <w:tc>
          <w:tcPr>
            <w:tcW w:w="2620" w:type="dxa"/>
            <w:vAlign w:val="bottom"/>
            <w:tcBorders>
              <w:bottom w:val="single" w:sz="8" w:color="D9D9D9"/>
            </w:tcBorders>
            <w:shd w:val="clear" w:color="auto" w:fill="D9D9D9"/>
          </w:tcPr>
          <w:p>
            <w:pPr>
              <w:spacing w:after="0"/>
              <w:rPr>
                <w:sz w:val="16"/>
                <w:szCs w:val="16"/>
                <w:color w:val="auto"/>
              </w:rPr>
            </w:pPr>
          </w:p>
        </w:tc>
        <w:tc>
          <w:tcPr>
            <w:tcW w:w="2240" w:type="dxa"/>
            <w:vAlign w:val="bottom"/>
            <w:tcBorders>
              <w:bottom w:val="single" w:sz="8" w:color="D9D9D9"/>
            </w:tcBorders>
            <w:shd w:val="clear" w:color="auto" w:fill="D9D9D9"/>
          </w:tcPr>
          <w:p>
            <w:pPr>
              <w:jc w:val="right"/>
              <w:ind w:right="427"/>
              <w:spacing w:after="0" w:line="173" w:lineRule="exact"/>
              <w:rPr>
                <w:sz w:val="20"/>
                <w:szCs w:val="20"/>
                <w:color w:val="auto"/>
              </w:rPr>
            </w:pPr>
            <w:r>
              <w:rPr>
                <w:rFonts w:ascii="Calibri" w:cs="Calibri" w:eastAsia="Calibri" w:hAnsi="Calibri"/>
                <w:sz w:val="15"/>
                <w:szCs w:val="15"/>
                <w:b w:val="1"/>
                <w:bCs w:val="1"/>
                <w:color w:val="auto"/>
              </w:rPr>
              <w:t>129,724</w:t>
            </w:r>
          </w:p>
        </w:tc>
        <w:tc>
          <w:tcPr>
            <w:tcW w:w="148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53,897</w:t>
            </w:r>
          </w:p>
        </w:tc>
        <w:tc>
          <w:tcPr>
            <w:tcW w:w="0" w:type="dxa"/>
            <w:vAlign w:val="bottom"/>
          </w:tcPr>
          <w:p>
            <w:pPr>
              <w:spacing w:after="0"/>
              <w:rPr>
                <w:sz w:val="1"/>
                <w:szCs w:val="1"/>
                <w:color w:val="auto"/>
              </w:rPr>
            </w:pPr>
          </w:p>
        </w:tc>
      </w:tr>
      <w:tr>
        <w:trPr>
          <w:trHeight w:val="198"/>
        </w:trPr>
        <w:tc>
          <w:tcPr>
            <w:tcW w:w="47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LIABILITIES</w:t>
            </w:r>
          </w:p>
        </w:tc>
        <w:tc>
          <w:tcPr>
            <w:tcW w:w="262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6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700" w:type="dxa"/>
            <w:vAlign w:val="bottom"/>
          </w:tcPr>
          <w:p>
            <w:pPr>
              <w:ind w:left="500"/>
              <w:spacing w:after="0"/>
              <w:rPr>
                <w:sz w:val="20"/>
                <w:szCs w:val="20"/>
                <w:color w:val="auto"/>
              </w:rPr>
            </w:pPr>
            <w:r>
              <w:rPr>
                <w:rFonts w:ascii="Calibri" w:cs="Calibri" w:eastAsia="Calibri" w:hAnsi="Calibri"/>
                <w:sz w:val="15"/>
                <w:szCs w:val="15"/>
                <w:color w:val="auto"/>
              </w:rPr>
              <w:t>Accounts payable and accrued liabilites</w:t>
            </w:r>
          </w:p>
        </w:tc>
        <w:tc>
          <w:tcPr>
            <w:tcW w:w="2620" w:type="dxa"/>
            <w:vAlign w:val="bottom"/>
          </w:tcPr>
          <w:p>
            <w:pPr>
              <w:spacing w:after="0"/>
              <w:rPr>
                <w:sz w:val="24"/>
                <w:szCs w:val="24"/>
                <w:color w:val="auto"/>
              </w:rPr>
            </w:pPr>
          </w:p>
        </w:tc>
        <w:tc>
          <w:tcPr>
            <w:tcW w:w="224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8,137</w:t>
            </w:r>
          </w:p>
        </w:tc>
        <w:tc>
          <w:tcPr>
            <w:tcW w:w="1480" w:type="dxa"/>
            <w:vAlign w:val="bottom"/>
          </w:tcPr>
          <w:p>
            <w:pPr>
              <w:jc w:val="right"/>
              <w:spacing w:after="0"/>
              <w:rPr>
                <w:sz w:val="20"/>
                <w:szCs w:val="20"/>
                <w:color w:val="auto"/>
              </w:rPr>
            </w:pPr>
            <w:r>
              <w:rPr>
                <w:rFonts w:ascii="Calibri" w:cs="Calibri" w:eastAsia="Calibri" w:hAnsi="Calibri"/>
                <w:sz w:val="15"/>
                <w:szCs w:val="15"/>
                <w:color w:val="auto"/>
              </w:rPr>
              <w:t>5,663</w:t>
            </w:r>
          </w:p>
        </w:tc>
        <w:tc>
          <w:tcPr>
            <w:tcW w:w="0" w:type="dxa"/>
            <w:vAlign w:val="bottom"/>
          </w:tcPr>
          <w:p>
            <w:pPr>
              <w:spacing w:after="0"/>
              <w:rPr>
                <w:sz w:val="1"/>
                <w:szCs w:val="1"/>
                <w:color w:val="auto"/>
              </w:rPr>
            </w:pPr>
          </w:p>
        </w:tc>
      </w:tr>
      <w:tr>
        <w:trPr>
          <w:trHeight w:val="194"/>
        </w:trPr>
        <w:tc>
          <w:tcPr>
            <w:tcW w:w="4700" w:type="dxa"/>
            <w:vAlign w:val="bottom"/>
          </w:tcPr>
          <w:p>
            <w:pPr>
              <w:ind w:left="20"/>
              <w:spacing w:after="0"/>
              <w:rPr>
                <w:sz w:val="20"/>
                <w:szCs w:val="20"/>
                <w:color w:val="auto"/>
              </w:rPr>
            </w:pPr>
            <w:r>
              <w:rPr>
                <w:rFonts w:ascii="Calibri" w:cs="Calibri" w:eastAsia="Calibri" w:hAnsi="Calibri"/>
                <w:sz w:val="15"/>
                <w:szCs w:val="15"/>
                <w:color w:val="auto"/>
              </w:rPr>
              <w:t>Lease liabilites</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6</w:t>
            </w:r>
          </w:p>
        </w:tc>
        <w:tc>
          <w:tcPr>
            <w:tcW w:w="224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324</w:t>
            </w:r>
          </w:p>
        </w:tc>
        <w:tc>
          <w:tcPr>
            <w:tcW w:w="148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6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427"/>
              <w:spacing w:after="0" w:line="173" w:lineRule="exact"/>
              <w:rPr>
                <w:sz w:val="20"/>
                <w:szCs w:val="20"/>
                <w:color w:val="auto"/>
              </w:rPr>
            </w:pPr>
            <w:r>
              <w:rPr>
                <w:rFonts w:ascii="Calibri" w:cs="Calibri" w:eastAsia="Calibri" w:hAnsi="Calibri"/>
                <w:sz w:val="15"/>
                <w:szCs w:val="15"/>
                <w:b w:val="1"/>
                <w:bCs w:val="1"/>
                <w:color w:val="auto"/>
              </w:rPr>
              <w:t>8,461</w:t>
            </w:r>
          </w:p>
        </w:tc>
        <w:tc>
          <w:tcPr>
            <w:tcW w:w="1480" w:type="dxa"/>
            <w:vAlign w:val="bottom"/>
            <w:tcBorders>
              <w:bottom w:val="single" w:sz="8" w:color="auto"/>
            </w:tcBorders>
          </w:tcPr>
          <w:p>
            <w:pPr>
              <w:jc w:val="right"/>
              <w:spacing w:after="0" w:line="173" w:lineRule="exact"/>
              <w:rPr>
                <w:sz w:val="20"/>
                <w:szCs w:val="20"/>
                <w:color w:val="auto"/>
              </w:rPr>
            </w:pPr>
            <w:r>
              <w:rPr>
                <w:rFonts w:ascii="Calibri" w:cs="Calibri" w:eastAsia="Calibri" w:hAnsi="Calibri"/>
                <w:sz w:val="15"/>
                <w:szCs w:val="15"/>
                <w:color w:val="auto"/>
              </w:rPr>
              <w:t>5,663</w:t>
            </w: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5"/>
                <w:szCs w:val="15"/>
                <w:b w:val="1"/>
                <w:bCs w:val="1"/>
                <w:color w:val="auto"/>
              </w:rPr>
              <w:t>Non-current</w:t>
            </w:r>
          </w:p>
        </w:tc>
        <w:tc>
          <w:tcPr>
            <w:tcW w:w="26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00" w:type="dxa"/>
            <w:vAlign w:val="bottom"/>
          </w:tcPr>
          <w:p>
            <w:pPr>
              <w:ind w:left="20"/>
              <w:spacing w:after="0" w:line="173" w:lineRule="exact"/>
              <w:rPr>
                <w:sz w:val="20"/>
                <w:szCs w:val="20"/>
                <w:color w:val="auto"/>
              </w:rPr>
            </w:pPr>
            <w:r>
              <w:rPr>
                <w:rFonts w:ascii="Calibri" w:cs="Calibri" w:eastAsia="Calibri" w:hAnsi="Calibri"/>
                <w:sz w:val="15"/>
                <w:szCs w:val="15"/>
                <w:color w:val="auto"/>
              </w:rPr>
              <w:t>Lease liabilites</w:t>
            </w:r>
          </w:p>
        </w:tc>
        <w:tc>
          <w:tcPr>
            <w:tcW w:w="2620" w:type="dxa"/>
            <w:vAlign w:val="bottom"/>
          </w:tcPr>
          <w:p>
            <w:pPr>
              <w:jc w:val="center"/>
              <w:ind w:left="1187"/>
              <w:spacing w:after="0" w:line="173" w:lineRule="exact"/>
              <w:rPr>
                <w:sz w:val="20"/>
                <w:szCs w:val="20"/>
                <w:color w:val="auto"/>
              </w:rPr>
            </w:pPr>
            <w:r>
              <w:rPr>
                <w:rFonts w:ascii="Calibri" w:cs="Calibri" w:eastAsia="Calibri" w:hAnsi="Calibri"/>
                <w:sz w:val="15"/>
                <w:szCs w:val="15"/>
                <w:i w:val="1"/>
                <w:iCs w:val="1"/>
                <w:color w:val="auto"/>
              </w:rPr>
              <w:t>6</w:t>
            </w:r>
          </w:p>
        </w:tc>
        <w:tc>
          <w:tcPr>
            <w:tcW w:w="2240" w:type="dxa"/>
            <w:vAlign w:val="bottom"/>
          </w:tcPr>
          <w:p>
            <w:pPr>
              <w:jc w:val="right"/>
              <w:ind w:right="427"/>
              <w:spacing w:after="0" w:line="173" w:lineRule="exact"/>
              <w:rPr>
                <w:sz w:val="20"/>
                <w:szCs w:val="20"/>
                <w:color w:val="auto"/>
              </w:rPr>
            </w:pPr>
            <w:r>
              <w:rPr>
                <w:rFonts w:ascii="Calibri" w:cs="Calibri" w:eastAsia="Calibri" w:hAnsi="Calibri"/>
                <w:sz w:val="15"/>
                <w:szCs w:val="15"/>
                <w:b w:val="1"/>
                <w:bCs w:val="1"/>
                <w:color w:val="auto"/>
              </w:rPr>
              <w:t>42</w:t>
            </w:r>
          </w:p>
        </w:tc>
        <w:tc>
          <w:tcPr>
            <w:tcW w:w="1480" w:type="dxa"/>
            <w:vAlign w:val="bottom"/>
          </w:tcPr>
          <w:p>
            <w:pPr>
              <w:jc w:val="right"/>
              <w:spacing w:after="0" w:line="173" w:lineRule="exact"/>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Non- Current Liabilities</w:t>
            </w:r>
          </w:p>
        </w:tc>
        <w:tc>
          <w:tcPr>
            <w:tcW w:w="26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427"/>
              <w:spacing w:after="0" w:line="173" w:lineRule="exact"/>
              <w:rPr>
                <w:sz w:val="20"/>
                <w:szCs w:val="20"/>
                <w:color w:val="auto"/>
              </w:rPr>
            </w:pPr>
            <w:r>
              <w:rPr>
                <w:rFonts w:ascii="Calibri" w:cs="Calibri" w:eastAsia="Calibri" w:hAnsi="Calibri"/>
                <w:sz w:val="15"/>
                <w:szCs w:val="15"/>
                <w:b w:val="1"/>
                <w:bCs w:val="1"/>
                <w:color w:val="auto"/>
              </w:rPr>
              <w:t>42</w:t>
            </w:r>
          </w:p>
        </w:tc>
        <w:tc>
          <w:tcPr>
            <w:tcW w:w="1480" w:type="dxa"/>
            <w:vAlign w:val="bottom"/>
            <w:tcBorders>
              <w:bottom w:val="single" w:sz="8" w:color="auto"/>
            </w:tcBorders>
          </w:tcPr>
          <w:p>
            <w:pPr>
              <w:jc w:val="right"/>
              <w:spacing w:after="0" w:line="173" w:lineRule="exact"/>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0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TOTAL LIABILITIES</w:t>
            </w:r>
          </w:p>
        </w:tc>
        <w:tc>
          <w:tcPr>
            <w:tcW w:w="2620" w:type="dxa"/>
            <w:vAlign w:val="bottom"/>
            <w:tcBorders>
              <w:bottom w:val="single" w:sz="8" w:color="D9D9D9"/>
            </w:tcBorders>
            <w:shd w:val="clear" w:color="auto" w:fill="D9D9D9"/>
          </w:tcPr>
          <w:p>
            <w:pPr>
              <w:spacing w:after="0"/>
              <w:rPr>
                <w:sz w:val="16"/>
                <w:szCs w:val="16"/>
                <w:color w:val="auto"/>
              </w:rPr>
            </w:pPr>
          </w:p>
        </w:tc>
        <w:tc>
          <w:tcPr>
            <w:tcW w:w="2240" w:type="dxa"/>
            <w:vAlign w:val="bottom"/>
            <w:tcBorders>
              <w:bottom w:val="single" w:sz="8" w:color="D9D9D9"/>
            </w:tcBorders>
            <w:shd w:val="clear" w:color="auto" w:fill="D9D9D9"/>
          </w:tcPr>
          <w:p>
            <w:pPr>
              <w:jc w:val="right"/>
              <w:ind w:right="427"/>
              <w:spacing w:after="0" w:line="165" w:lineRule="exact"/>
              <w:rPr>
                <w:sz w:val="20"/>
                <w:szCs w:val="20"/>
                <w:color w:val="auto"/>
              </w:rPr>
            </w:pPr>
            <w:r>
              <w:rPr>
                <w:rFonts w:ascii="Calibri" w:cs="Calibri" w:eastAsia="Calibri" w:hAnsi="Calibri"/>
                <w:sz w:val="15"/>
                <w:szCs w:val="15"/>
                <w:b w:val="1"/>
                <w:bCs w:val="1"/>
                <w:color w:val="auto"/>
              </w:rPr>
              <w:t>8,503</w:t>
            </w:r>
          </w:p>
        </w:tc>
        <w:tc>
          <w:tcPr>
            <w:tcW w:w="1480" w:type="dxa"/>
            <w:vAlign w:val="bottom"/>
            <w:tcBorders>
              <w:bottom w:val="single" w:sz="8" w:color="D9D9D9"/>
            </w:tcBorders>
            <w:shd w:val="clear" w:color="auto" w:fill="D9D9D9"/>
          </w:tcPr>
          <w:p>
            <w:pPr>
              <w:jc w:val="right"/>
              <w:spacing w:after="0" w:line="165" w:lineRule="exact"/>
              <w:rPr>
                <w:sz w:val="20"/>
                <w:szCs w:val="20"/>
                <w:color w:val="auto"/>
              </w:rPr>
            </w:pPr>
            <w:r>
              <w:rPr>
                <w:rFonts w:ascii="Calibri" w:cs="Calibri" w:eastAsia="Calibri" w:hAnsi="Calibri"/>
                <w:sz w:val="15"/>
                <w:szCs w:val="15"/>
                <w:color w:val="auto"/>
              </w:rPr>
              <w:t>5,663</w:t>
            </w:r>
          </w:p>
        </w:tc>
        <w:tc>
          <w:tcPr>
            <w:tcW w:w="0" w:type="dxa"/>
            <w:vAlign w:val="bottom"/>
          </w:tcPr>
          <w:p>
            <w:pPr>
              <w:spacing w:after="0"/>
              <w:rPr>
                <w:sz w:val="1"/>
                <w:szCs w:val="1"/>
                <w:color w:val="auto"/>
              </w:rPr>
            </w:pPr>
          </w:p>
        </w:tc>
      </w:tr>
      <w:tr>
        <w:trPr>
          <w:trHeight w:val="198"/>
        </w:trPr>
        <w:tc>
          <w:tcPr>
            <w:tcW w:w="47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SHAREHOLDERS' EQUITY</w:t>
            </w:r>
          </w:p>
        </w:tc>
        <w:tc>
          <w:tcPr>
            <w:tcW w:w="262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Share capital</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8</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251,247</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158,162</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Contributed surplus</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4,236</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2,102</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Optons reserve</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8</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38,922</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27,283</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Warrants reserve</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8</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32,139</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10,873</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Accumulated other comprehensive loss</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(438)</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(2,035)</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Defcit</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(204,885)</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(148,151)</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4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0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TOTAL SHAREHOLDERS' EQUITY</w:t>
            </w:r>
          </w:p>
        </w:tc>
        <w:tc>
          <w:tcPr>
            <w:tcW w:w="2620" w:type="dxa"/>
            <w:vAlign w:val="bottom"/>
            <w:tcBorders>
              <w:bottom w:val="single" w:sz="8" w:color="D9D9D9"/>
            </w:tcBorders>
            <w:shd w:val="clear" w:color="auto" w:fill="D9D9D9"/>
          </w:tcPr>
          <w:p>
            <w:pPr>
              <w:spacing w:after="0"/>
              <w:rPr>
                <w:sz w:val="16"/>
                <w:szCs w:val="16"/>
                <w:color w:val="auto"/>
              </w:rPr>
            </w:pPr>
          </w:p>
        </w:tc>
        <w:tc>
          <w:tcPr>
            <w:tcW w:w="2240" w:type="dxa"/>
            <w:vAlign w:val="bottom"/>
            <w:tcBorders>
              <w:bottom w:val="single" w:sz="8" w:color="D9D9D9"/>
            </w:tcBorders>
            <w:shd w:val="clear" w:color="auto" w:fill="D9D9D9"/>
          </w:tcPr>
          <w:p>
            <w:pPr>
              <w:jc w:val="right"/>
              <w:ind w:right="427"/>
              <w:spacing w:after="0" w:line="165" w:lineRule="exact"/>
              <w:rPr>
                <w:sz w:val="20"/>
                <w:szCs w:val="20"/>
                <w:color w:val="auto"/>
              </w:rPr>
            </w:pPr>
            <w:r>
              <w:rPr>
                <w:rFonts w:ascii="Calibri" w:cs="Calibri" w:eastAsia="Calibri" w:hAnsi="Calibri"/>
                <w:sz w:val="15"/>
                <w:szCs w:val="15"/>
                <w:b w:val="1"/>
                <w:bCs w:val="1"/>
                <w:color w:val="auto"/>
              </w:rPr>
              <w:t>121,221</w:t>
            </w:r>
          </w:p>
        </w:tc>
        <w:tc>
          <w:tcPr>
            <w:tcW w:w="1480" w:type="dxa"/>
            <w:vAlign w:val="bottom"/>
            <w:tcBorders>
              <w:bottom w:val="single" w:sz="8" w:color="D9D9D9"/>
            </w:tcBorders>
            <w:shd w:val="clear" w:color="auto" w:fill="D9D9D9"/>
          </w:tcPr>
          <w:p>
            <w:pPr>
              <w:jc w:val="right"/>
              <w:spacing w:after="0" w:line="165" w:lineRule="exact"/>
              <w:rPr>
                <w:sz w:val="20"/>
                <w:szCs w:val="20"/>
                <w:color w:val="auto"/>
              </w:rPr>
            </w:pPr>
            <w:r>
              <w:rPr>
                <w:rFonts w:ascii="Calibri" w:cs="Calibri" w:eastAsia="Calibri" w:hAnsi="Calibri"/>
                <w:sz w:val="15"/>
                <w:szCs w:val="15"/>
                <w:color w:val="auto"/>
              </w:rPr>
              <w:t>48,234</w:t>
            </w:r>
          </w:p>
        </w:tc>
        <w:tc>
          <w:tcPr>
            <w:tcW w:w="0" w:type="dxa"/>
            <w:vAlign w:val="bottom"/>
          </w:tcPr>
          <w:p>
            <w:pPr>
              <w:spacing w:after="0"/>
              <w:rPr>
                <w:sz w:val="1"/>
                <w:szCs w:val="1"/>
                <w:color w:val="auto"/>
              </w:rPr>
            </w:pPr>
          </w:p>
        </w:tc>
      </w:tr>
      <w:tr>
        <w:trPr>
          <w:trHeight w:val="29"/>
        </w:trPr>
        <w:tc>
          <w:tcPr>
            <w:tcW w:w="4700" w:type="dxa"/>
            <w:vAlign w:val="bottom"/>
            <w:tcBorders>
              <w:top w:val="single" w:sz="8" w:color="auto"/>
            </w:tcBorders>
          </w:tcPr>
          <w:p>
            <w:pPr>
              <w:spacing w:after="0"/>
              <w:rPr>
                <w:sz w:val="2"/>
                <w:szCs w:val="2"/>
                <w:color w:val="auto"/>
              </w:rPr>
            </w:pPr>
          </w:p>
        </w:tc>
        <w:tc>
          <w:tcPr>
            <w:tcW w:w="2620" w:type="dxa"/>
            <w:vAlign w:val="bottom"/>
            <w:tcBorders>
              <w:top w:val="single" w:sz="8" w:color="auto"/>
            </w:tcBorders>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70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LIABILITIES AND SHAREHOLDERS' EQUITY</w:t>
            </w:r>
          </w:p>
        </w:tc>
        <w:tc>
          <w:tcPr>
            <w:tcW w:w="2620" w:type="dxa"/>
            <w:vAlign w:val="bottom"/>
            <w:tcBorders>
              <w:bottom w:val="single" w:sz="8" w:color="D9D9D9"/>
            </w:tcBorders>
            <w:shd w:val="clear" w:color="auto" w:fill="D9D9D9"/>
          </w:tcPr>
          <w:p>
            <w:pPr>
              <w:spacing w:after="0"/>
              <w:rPr>
                <w:sz w:val="15"/>
                <w:szCs w:val="15"/>
                <w:color w:val="auto"/>
              </w:rPr>
            </w:pPr>
          </w:p>
        </w:tc>
        <w:tc>
          <w:tcPr>
            <w:tcW w:w="2240" w:type="dxa"/>
            <w:vAlign w:val="bottom"/>
            <w:tcBorders>
              <w:bottom w:val="single" w:sz="8" w:color="D9D9D9"/>
            </w:tcBorders>
            <w:shd w:val="clear" w:color="auto" w:fill="D9D9D9"/>
          </w:tcPr>
          <w:p>
            <w:pPr>
              <w:jc w:val="right"/>
              <w:ind w:right="427"/>
              <w:spacing w:after="0" w:line="173" w:lineRule="exact"/>
              <w:rPr>
                <w:sz w:val="20"/>
                <w:szCs w:val="20"/>
                <w:color w:val="auto"/>
              </w:rPr>
            </w:pPr>
            <w:r>
              <w:rPr>
                <w:rFonts w:ascii="Calibri" w:cs="Calibri" w:eastAsia="Calibri" w:hAnsi="Calibri"/>
                <w:sz w:val="15"/>
                <w:szCs w:val="15"/>
                <w:b w:val="1"/>
                <w:bCs w:val="1"/>
                <w:color w:val="auto"/>
              </w:rPr>
              <w:t>129,724</w:t>
            </w:r>
          </w:p>
        </w:tc>
        <w:tc>
          <w:tcPr>
            <w:tcW w:w="148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53,897</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Corporate informaton (note 1)</w:t>
      </w:r>
    </w:p>
    <w:p>
      <w:pPr>
        <w:spacing w:after="0" w:line="23"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Contracts, commitments and contngencies (note 12)</w:t>
      </w:r>
    </w:p>
    <w:p>
      <w:pPr>
        <w:spacing w:after="0" w:line="11"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Subsequent events (note 16)</w:t>
      </w:r>
    </w:p>
    <w:p>
      <w:pPr>
        <w:sectPr>
          <w:pgSz w:w="11900" w:h="16838" w:orient="portrait"/>
          <w:cols w:equalWidth="0" w:num="1">
            <w:col w:w="11040"/>
          </w:cols>
          <w:pgMar w:left="320" w:top="198" w:right="539" w:bottom="1440" w:gutter="0" w:footer="0" w:header="0"/>
        </w:sectPr>
      </w:pPr>
    </w:p>
    <w:p>
      <w:pPr>
        <w:spacing w:after="0" w:line="27"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pacing w:after="0" w:line="146" w:lineRule="exact"/>
        <w:rPr>
          <w:sz w:val="20"/>
          <w:szCs w:val="20"/>
          <w:color w:val="auto"/>
        </w:rPr>
      </w:pPr>
    </w:p>
    <w:p>
      <w:pPr>
        <w:spacing w:after="0"/>
        <w:rPr>
          <w:sz w:val="20"/>
          <w:szCs w:val="20"/>
          <w:color w:val="auto"/>
        </w:rPr>
      </w:pPr>
      <w:r>
        <w:rPr>
          <w:rFonts w:ascii="Calibri" w:cs="Calibri" w:eastAsia="Calibri" w:hAnsi="Calibri"/>
          <w:sz w:val="15"/>
          <w:szCs w:val="15"/>
          <w:color w:val="auto"/>
        </w:rPr>
        <w:t>These condensed interim consolidated fnancial statements were approved for issue on February 14, 2024 by the board of directors and signed on its behalf by:</w:t>
      </w:r>
    </w:p>
    <w:p>
      <w:pPr>
        <w:spacing w:after="0" w:line="154" w:lineRule="exact"/>
        <w:rPr>
          <w:sz w:val="20"/>
          <w:szCs w:val="20"/>
          <w:color w:val="auto"/>
        </w:rPr>
      </w:pPr>
    </w:p>
    <w:p>
      <w:pPr>
        <w:spacing w:after="0"/>
        <w:tabs>
          <w:tab w:leader="none" w:pos="2720" w:val="left"/>
        </w:tabs>
        <w:rPr>
          <w:sz w:val="20"/>
          <w:szCs w:val="20"/>
          <w:color w:val="auto"/>
        </w:rPr>
      </w:pPr>
      <w:r>
        <w:rPr>
          <w:rFonts w:ascii="Calibri" w:cs="Calibri" w:eastAsia="Calibri" w:hAnsi="Calibri"/>
          <w:sz w:val="16"/>
          <w:szCs w:val="16"/>
          <w:i w:val="1"/>
          <w:iCs w:val="1"/>
          <w:color w:val="auto"/>
        </w:rPr>
        <w:t xml:space="preserve">/s/ Paul Glavine </w:t>
      </w:r>
      <w:r>
        <w:rPr>
          <w:rFonts w:ascii="Calibri" w:cs="Calibri" w:eastAsia="Calibri" w:hAnsi="Calibri"/>
          <w:sz w:val="16"/>
          <w:szCs w:val="16"/>
          <w:color w:val="auto"/>
        </w:rPr>
        <w:t>Director</w:t>
      </w:r>
      <w:r>
        <w:rPr>
          <w:sz w:val="20"/>
          <w:szCs w:val="20"/>
          <w:color w:val="auto"/>
        </w:rPr>
        <w:tab/>
      </w:r>
      <w:r>
        <w:rPr>
          <w:rFonts w:ascii="Calibri" w:cs="Calibri" w:eastAsia="Calibri" w:hAnsi="Calibri"/>
          <w:sz w:val="15"/>
          <w:szCs w:val="15"/>
          <w:i w:val="1"/>
          <w:iCs w:val="1"/>
          <w:color w:val="auto"/>
        </w:rPr>
        <w:t xml:space="preserve">/s/ Eric So </w:t>
      </w:r>
      <w:r>
        <w:rPr>
          <w:rFonts w:ascii="Calibri" w:cs="Calibri" w:eastAsia="Calibri" w:hAnsi="Calibri"/>
          <w:sz w:val="15"/>
          <w:szCs w:val="15"/>
          <w:color w:val="auto"/>
        </w:rPr>
        <w:t>Director</w:t>
      </w:r>
    </w:p>
    <w:p>
      <w:pPr>
        <w:sectPr>
          <w:pgSz w:w="11900" w:h="16838" w:orient="portrait"/>
          <w:cols w:equalWidth="0" w:num="1">
            <w:col w:w="11040"/>
          </w:cols>
          <w:pgMar w:left="320" w:top="198" w:right="539" w:bottom="1440" w:gutter="0" w:footer="0" w:header="0"/>
          <w:type w:val="continuous"/>
        </w:sectPr>
      </w:pPr>
    </w:p>
    <w:bookmarkStart w:id="6" w:name="page7"/>
    <w:bookmarkEnd w:id="6"/>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188" w:lineRule="auto"/>
        <w:rPr>
          <w:sz w:val="20"/>
          <w:szCs w:val="20"/>
          <w:color w:val="auto"/>
        </w:rPr>
      </w:pPr>
      <w:r>
        <w:rPr>
          <w:rFonts w:ascii="Calibri" w:cs="Calibri" w:eastAsia="Calibri" w:hAnsi="Calibri"/>
          <w:sz w:val="19"/>
          <w:szCs w:val="19"/>
          <w:b w:val="1"/>
          <w:bCs w:val="1"/>
          <w:color w:val="auto"/>
        </w:rPr>
        <w:t>CONDENSED INTERIM CONSOLIDATED STATEMENTS OF LOSS AND COMPREHENSIVE LOSS</w:t>
      </w:r>
    </w:p>
    <w:p>
      <w:pPr>
        <w:ind w:left="60"/>
        <w:spacing w:after="0" w:line="192" w:lineRule="auto"/>
        <w:rPr>
          <w:sz w:val="20"/>
          <w:szCs w:val="20"/>
          <w:color w:val="auto"/>
        </w:rPr>
      </w:pPr>
      <w:r>
        <w:rPr>
          <w:rFonts w:ascii="Calibri" w:cs="Calibri" w:eastAsia="Calibri" w:hAnsi="Calibri"/>
          <w:sz w:val="19"/>
          <w:szCs w:val="19"/>
          <w:b w:val="1"/>
          <w:bCs w:val="1"/>
          <w:color w:val="auto"/>
        </w:rPr>
        <w:t>(All amounts expressed in thousands of Canadian dollars, except share and per share amounts)</w:t>
      </w:r>
    </w:p>
    <w:p>
      <w:pPr>
        <w:ind w:left="60"/>
        <w:spacing w:after="0" w:line="200" w:lineRule="auto"/>
        <w:rPr>
          <w:sz w:val="20"/>
          <w:szCs w:val="20"/>
          <w:color w:val="auto"/>
        </w:rPr>
      </w:pPr>
      <w:r>
        <w:rPr>
          <w:rFonts w:ascii="Calibri" w:cs="Calibri" w:eastAsia="Calibri" w:hAnsi="Calibri"/>
          <w:sz w:val="19"/>
          <w:szCs w:val="19"/>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00" w:type="dxa"/>
            <w:vAlign w:val="bottom"/>
            <w:gridSpan w:val="2"/>
          </w:tcPr>
          <w:p>
            <w:pPr>
              <w:jc w:val="right"/>
              <w:ind w:right="47"/>
              <w:spacing w:after="0"/>
              <w:rPr>
                <w:sz w:val="20"/>
                <w:szCs w:val="20"/>
                <w:color w:val="auto"/>
              </w:rPr>
            </w:pPr>
            <w:r>
              <w:rPr>
                <w:rFonts w:ascii="Calibri" w:cs="Calibri" w:eastAsia="Calibri" w:hAnsi="Calibri"/>
                <w:sz w:val="16"/>
                <w:szCs w:val="16"/>
                <w:b w:val="1"/>
                <w:bCs w:val="1"/>
                <w:color w:val="auto"/>
              </w:rPr>
              <w:t>Three months ended December 31,</w:t>
            </w:r>
          </w:p>
        </w:tc>
        <w:tc>
          <w:tcPr>
            <w:tcW w:w="2400" w:type="dxa"/>
            <w:vAlign w:val="bottom"/>
            <w:gridSpan w:val="2"/>
          </w:tcPr>
          <w:p>
            <w:pPr>
              <w:jc w:val="right"/>
              <w:ind w:right="27"/>
              <w:spacing w:after="0"/>
              <w:rPr>
                <w:sz w:val="20"/>
                <w:szCs w:val="20"/>
                <w:color w:val="auto"/>
              </w:rPr>
            </w:pPr>
            <w:r>
              <w:rPr>
                <w:rFonts w:ascii="Calibri" w:cs="Calibri" w:eastAsia="Calibri" w:hAnsi="Calibri"/>
                <w:sz w:val="16"/>
                <w:szCs w:val="16"/>
                <w:b w:val="1"/>
                <w:bCs w:val="1"/>
                <w:color w:val="auto"/>
              </w:rPr>
              <w:t>Nine months ended December 31,</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Calibri" w:cs="Calibri" w:eastAsia="Calibri" w:hAnsi="Calibri"/>
                <w:sz w:val="15"/>
                <w:szCs w:val="15"/>
                <w:i w:val="1"/>
                <w:iCs w:val="1"/>
                <w:color w:val="auto"/>
              </w:rPr>
              <w:t>Notes</w:t>
            </w:r>
          </w:p>
        </w:tc>
        <w:tc>
          <w:tcPr>
            <w:tcW w:w="1460" w:type="dxa"/>
            <w:vAlign w:val="bottom"/>
          </w:tcPr>
          <w:p>
            <w:pPr>
              <w:jc w:val="right"/>
              <w:ind w:right="227"/>
              <w:spacing w:after="0"/>
              <w:rPr>
                <w:sz w:val="20"/>
                <w:szCs w:val="20"/>
                <w:color w:val="auto"/>
              </w:rPr>
            </w:pPr>
            <w:r>
              <w:rPr>
                <w:rFonts w:ascii="Calibri" w:cs="Calibri" w:eastAsia="Calibri" w:hAnsi="Calibri"/>
                <w:sz w:val="15"/>
                <w:szCs w:val="15"/>
                <w:b w:val="1"/>
                <w:bCs w:val="1"/>
                <w:color w:val="auto"/>
              </w:rPr>
              <w:t>2023</w:t>
            </w:r>
          </w:p>
        </w:tc>
        <w:tc>
          <w:tcPr>
            <w:tcW w:w="1040" w:type="dxa"/>
            <w:vAlign w:val="bottom"/>
          </w:tcPr>
          <w:p>
            <w:pPr>
              <w:jc w:val="right"/>
              <w:ind w:right="47"/>
              <w:spacing w:after="0"/>
              <w:rPr>
                <w:sz w:val="20"/>
                <w:szCs w:val="20"/>
                <w:color w:val="auto"/>
              </w:rPr>
            </w:pPr>
            <w:r>
              <w:rPr>
                <w:rFonts w:ascii="Calibri" w:cs="Calibri" w:eastAsia="Calibri" w:hAnsi="Calibri"/>
                <w:sz w:val="15"/>
                <w:szCs w:val="15"/>
                <w:b w:val="1"/>
                <w:bCs w:val="1"/>
                <w:color w:val="auto"/>
              </w:rPr>
              <w:t>2022</w:t>
            </w:r>
          </w:p>
        </w:tc>
        <w:tc>
          <w:tcPr>
            <w:tcW w:w="1400" w:type="dxa"/>
            <w:vAlign w:val="bottom"/>
          </w:tcPr>
          <w:p>
            <w:pPr>
              <w:jc w:val="right"/>
              <w:ind w:right="207"/>
              <w:spacing w:after="0"/>
              <w:rPr>
                <w:sz w:val="20"/>
                <w:szCs w:val="20"/>
                <w:color w:val="auto"/>
              </w:rPr>
            </w:pPr>
            <w:r>
              <w:rPr>
                <w:rFonts w:ascii="Calibri" w:cs="Calibri" w:eastAsia="Calibri" w:hAnsi="Calibri"/>
                <w:sz w:val="15"/>
                <w:szCs w:val="15"/>
                <w:b w:val="1"/>
                <w:bCs w:val="1"/>
                <w:color w:val="auto"/>
              </w:rPr>
              <w:t>2023</w:t>
            </w:r>
          </w:p>
        </w:tc>
        <w:tc>
          <w:tcPr>
            <w:tcW w:w="1000" w:type="dxa"/>
            <w:vAlign w:val="bottom"/>
          </w:tcPr>
          <w:p>
            <w:pPr>
              <w:jc w:val="right"/>
              <w:spacing w:after="0"/>
              <w:rPr>
                <w:sz w:val="20"/>
                <w:szCs w:val="20"/>
                <w:color w:val="auto"/>
              </w:rPr>
            </w:pPr>
            <w:r>
              <w:rPr>
                <w:rFonts w:ascii="Calibri" w:cs="Calibri" w:eastAsia="Calibri" w:hAnsi="Calibri"/>
                <w:sz w:val="15"/>
                <w:szCs w:val="15"/>
                <w:b w:val="1"/>
                <w:bCs w:val="1"/>
                <w:color w:val="auto"/>
              </w:rPr>
              <w:t>2022</w:t>
            </w:r>
          </w:p>
        </w:tc>
        <w:tc>
          <w:tcPr>
            <w:tcW w:w="0" w:type="dxa"/>
            <w:vAlign w:val="bottom"/>
          </w:tcPr>
          <w:p>
            <w:pPr>
              <w:spacing w:after="0"/>
              <w:rPr>
                <w:sz w:val="1"/>
                <w:szCs w:val="1"/>
                <w:color w:val="auto"/>
              </w:rPr>
            </w:pPr>
          </w:p>
        </w:tc>
      </w:tr>
      <w:tr>
        <w:trPr>
          <w:trHeight w:val="37"/>
        </w:trPr>
        <w:tc>
          <w:tcPr>
            <w:tcW w:w="5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5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jc w:val="right"/>
              <w:ind w:right="187"/>
              <w:spacing w:after="0" w:line="165" w:lineRule="exact"/>
              <w:rPr>
                <w:sz w:val="20"/>
                <w:szCs w:val="20"/>
                <w:color w:val="auto"/>
              </w:rPr>
            </w:pPr>
            <w:r>
              <w:rPr>
                <w:rFonts w:ascii="Calibri" w:cs="Calibri" w:eastAsia="Calibri" w:hAnsi="Calibri"/>
                <w:sz w:val="15"/>
                <w:szCs w:val="15"/>
                <w:b w:val="1"/>
                <w:bCs w:val="1"/>
                <w:color w:val="auto"/>
              </w:rPr>
              <w:t>$</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b w:val="1"/>
                <w:bCs w:val="1"/>
                <w:color w:val="auto"/>
              </w:rPr>
              <w:t>$</w:t>
            </w: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w:t>
            </w:r>
          </w:p>
        </w:tc>
        <w:tc>
          <w:tcPr>
            <w:tcW w:w="1000" w:type="dxa"/>
            <w:vAlign w:val="bottom"/>
          </w:tcPr>
          <w:p>
            <w:pPr>
              <w:jc w:val="right"/>
              <w:spacing w:after="0" w:line="165" w:lineRule="exact"/>
              <w:rPr>
                <w:sz w:val="20"/>
                <w:szCs w:val="20"/>
                <w:color w:val="auto"/>
              </w:rPr>
            </w:pPr>
            <w:r>
              <w:rPr>
                <w:rFonts w:ascii="Calibri" w:cs="Calibri" w:eastAsia="Calibri" w:hAnsi="Calibri"/>
                <w:sz w:val="15"/>
                <w:szCs w:val="15"/>
                <w:b w:val="1"/>
                <w:bCs w:val="1"/>
                <w:color w:val="auto"/>
              </w:rPr>
              <w:t>$</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EXPENSES</w:t>
            </w: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00" w:type="dxa"/>
            <w:vAlign w:val="bottom"/>
            <w:vMerge w:val="restart"/>
          </w:tcPr>
          <w:p>
            <w:pPr>
              <w:ind w:left="200"/>
              <w:spacing w:after="0"/>
              <w:rPr>
                <w:sz w:val="20"/>
                <w:szCs w:val="20"/>
                <w:color w:val="auto"/>
              </w:rPr>
            </w:pPr>
            <w:r>
              <w:rPr>
                <w:rFonts w:ascii="Calibri" w:cs="Calibri" w:eastAsia="Calibri" w:hAnsi="Calibri"/>
                <w:sz w:val="15"/>
                <w:szCs w:val="15"/>
                <w:color w:val="auto"/>
              </w:rPr>
              <w:t>Research</w:t>
            </w:r>
          </w:p>
        </w:tc>
        <w:tc>
          <w:tcPr>
            <w:tcW w:w="940" w:type="dxa"/>
            <w:vAlign w:val="bottom"/>
          </w:tcPr>
          <w:p>
            <w:pPr>
              <w:jc w:val="center"/>
              <w:spacing w:after="0"/>
              <w:rPr>
                <w:sz w:val="20"/>
                <w:szCs w:val="20"/>
                <w:color w:val="auto"/>
              </w:rPr>
            </w:pPr>
            <w:r>
              <w:rPr>
                <w:rFonts w:ascii="Calibri" w:cs="Calibri" w:eastAsia="Calibri" w:hAnsi="Calibri"/>
                <w:sz w:val="15"/>
                <w:szCs w:val="15"/>
                <w:i w:val="1"/>
                <w:iCs w:val="1"/>
                <w:color w:val="auto"/>
                <w:w w:val="91"/>
              </w:rPr>
              <w:t>10</w:t>
            </w:r>
          </w:p>
        </w:tc>
        <w:tc>
          <w:tcPr>
            <w:tcW w:w="1460" w:type="dxa"/>
            <w:vAlign w:val="bottom"/>
            <w:vMerge w:val="restart"/>
          </w:tcPr>
          <w:p>
            <w:pPr>
              <w:jc w:val="right"/>
              <w:ind w:right="187"/>
              <w:spacing w:after="0"/>
              <w:rPr>
                <w:sz w:val="20"/>
                <w:szCs w:val="20"/>
                <w:color w:val="auto"/>
              </w:rPr>
            </w:pPr>
            <w:r>
              <w:rPr>
                <w:rFonts w:ascii="Calibri" w:cs="Calibri" w:eastAsia="Calibri" w:hAnsi="Calibri"/>
                <w:sz w:val="15"/>
                <w:szCs w:val="15"/>
                <w:b w:val="1"/>
                <w:bCs w:val="1"/>
                <w:color w:val="auto"/>
              </w:rPr>
              <w:t>7,439</w:t>
            </w:r>
          </w:p>
        </w:tc>
        <w:tc>
          <w:tcPr>
            <w:tcW w:w="1040" w:type="dxa"/>
            <w:vAlign w:val="bottom"/>
            <w:vMerge w:val="restart"/>
          </w:tcPr>
          <w:p>
            <w:pPr>
              <w:jc w:val="right"/>
              <w:ind w:right="47"/>
              <w:spacing w:after="0"/>
              <w:rPr>
                <w:sz w:val="20"/>
                <w:szCs w:val="20"/>
                <w:color w:val="auto"/>
              </w:rPr>
            </w:pPr>
            <w:r>
              <w:rPr>
                <w:rFonts w:ascii="Calibri" w:cs="Calibri" w:eastAsia="Calibri" w:hAnsi="Calibri"/>
                <w:sz w:val="15"/>
                <w:szCs w:val="15"/>
                <w:color w:val="auto"/>
              </w:rPr>
              <w:t>6,256</w:t>
            </w:r>
          </w:p>
        </w:tc>
        <w:tc>
          <w:tcPr>
            <w:tcW w:w="1400" w:type="dxa"/>
            <w:vAlign w:val="bottom"/>
            <w:vMerge w:val="restart"/>
          </w:tcPr>
          <w:p>
            <w:pPr>
              <w:jc w:val="right"/>
              <w:ind w:right="167"/>
              <w:spacing w:after="0"/>
              <w:rPr>
                <w:sz w:val="20"/>
                <w:szCs w:val="20"/>
                <w:color w:val="auto"/>
              </w:rPr>
            </w:pPr>
            <w:r>
              <w:rPr>
                <w:rFonts w:ascii="Calibri" w:cs="Calibri" w:eastAsia="Calibri" w:hAnsi="Calibri"/>
                <w:sz w:val="15"/>
                <w:szCs w:val="15"/>
                <w:b w:val="1"/>
                <w:bCs w:val="1"/>
                <w:color w:val="auto"/>
              </w:rPr>
              <w:t>20,519</w:t>
            </w:r>
          </w:p>
        </w:tc>
        <w:tc>
          <w:tcPr>
            <w:tcW w:w="1000" w:type="dxa"/>
            <w:vAlign w:val="bottom"/>
            <w:vMerge w:val="restart"/>
          </w:tcPr>
          <w:p>
            <w:pPr>
              <w:jc w:val="right"/>
              <w:spacing w:after="0"/>
              <w:rPr>
                <w:sz w:val="20"/>
                <w:szCs w:val="20"/>
                <w:color w:val="auto"/>
              </w:rPr>
            </w:pPr>
            <w:r>
              <w:rPr>
                <w:rFonts w:ascii="Calibri" w:cs="Calibri" w:eastAsia="Calibri" w:hAnsi="Calibri"/>
                <w:sz w:val="15"/>
                <w:szCs w:val="15"/>
                <w:color w:val="auto"/>
              </w:rPr>
              <w:t>17,445</w:t>
            </w:r>
          </w:p>
        </w:tc>
        <w:tc>
          <w:tcPr>
            <w:tcW w:w="0" w:type="dxa"/>
            <w:vAlign w:val="bottom"/>
          </w:tcPr>
          <w:p>
            <w:pPr>
              <w:spacing w:after="0"/>
              <w:rPr>
                <w:sz w:val="1"/>
                <w:szCs w:val="1"/>
                <w:color w:val="auto"/>
              </w:rPr>
            </w:pPr>
          </w:p>
        </w:tc>
      </w:tr>
      <w:tr>
        <w:trPr>
          <w:trHeight w:val="121"/>
        </w:trPr>
        <w:tc>
          <w:tcPr>
            <w:tcW w:w="54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5400" w:type="dxa"/>
            <w:vAlign w:val="bottom"/>
            <w:vMerge w:val="restart"/>
          </w:tcPr>
          <w:p>
            <w:pPr>
              <w:ind w:left="200"/>
              <w:spacing w:after="0"/>
              <w:rPr>
                <w:sz w:val="20"/>
                <w:szCs w:val="20"/>
                <w:color w:val="auto"/>
              </w:rPr>
            </w:pPr>
            <w:r>
              <w:rPr>
                <w:rFonts w:ascii="Calibri" w:cs="Calibri" w:eastAsia="Calibri" w:hAnsi="Calibri"/>
                <w:sz w:val="15"/>
                <w:szCs w:val="15"/>
                <w:color w:val="auto"/>
              </w:rPr>
              <w:t>General and administratve costs</w:t>
            </w:r>
          </w:p>
        </w:tc>
        <w:tc>
          <w:tcPr>
            <w:tcW w:w="940" w:type="dxa"/>
            <w:vAlign w:val="bottom"/>
          </w:tcPr>
          <w:p>
            <w:pPr>
              <w:jc w:val="center"/>
              <w:spacing w:after="0"/>
              <w:rPr>
                <w:sz w:val="20"/>
                <w:szCs w:val="20"/>
                <w:color w:val="auto"/>
              </w:rPr>
            </w:pPr>
            <w:r>
              <w:rPr>
                <w:rFonts w:ascii="Calibri" w:cs="Calibri" w:eastAsia="Calibri" w:hAnsi="Calibri"/>
                <w:sz w:val="15"/>
                <w:szCs w:val="15"/>
                <w:i w:val="1"/>
                <w:iCs w:val="1"/>
                <w:color w:val="auto"/>
                <w:w w:val="91"/>
              </w:rPr>
              <w:t>11</w:t>
            </w:r>
          </w:p>
        </w:tc>
        <w:tc>
          <w:tcPr>
            <w:tcW w:w="1460" w:type="dxa"/>
            <w:vAlign w:val="bottom"/>
            <w:vMerge w:val="restart"/>
          </w:tcPr>
          <w:p>
            <w:pPr>
              <w:jc w:val="right"/>
              <w:ind w:right="187"/>
              <w:spacing w:after="0"/>
              <w:rPr>
                <w:sz w:val="20"/>
                <w:szCs w:val="20"/>
                <w:color w:val="auto"/>
              </w:rPr>
            </w:pPr>
            <w:r>
              <w:rPr>
                <w:rFonts w:ascii="Calibri" w:cs="Calibri" w:eastAsia="Calibri" w:hAnsi="Calibri"/>
                <w:sz w:val="15"/>
                <w:szCs w:val="15"/>
                <w:b w:val="1"/>
                <w:bCs w:val="1"/>
                <w:color w:val="auto"/>
              </w:rPr>
              <w:t>9,657</w:t>
            </w:r>
          </w:p>
        </w:tc>
        <w:tc>
          <w:tcPr>
            <w:tcW w:w="1040" w:type="dxa"/>
            <w:vAlign w:val="bottom"/>
            <w:vMerge w:val="restart"/>
          </w:tcPr>
          <w:p>
            <w:pPr>
              <w:jc w:val="right"/>
              <w:ind w:right="47"/>
              <w:spacing w:after="0"/>
              <w:rPr>
                <w:sz w:val="20"/>
                <w:szCs w:val="20"/>
                <w:color w:val="auto"/>
              </w:rPr>
            </w:pPr>
            <w:r>
              <w:rPr>
                <w:rFonts w:ascii="Calibri" w:cs="Calibri" w:eastAsia="Calibri" w:hAnsi="Calibri"/>
                <w:sz w:val="15"/>
                <w:szCs w:val="15"/>
                <w:color w:val="auto"/>
              </w:rPr>
              <w:t>4,859</w:t>
            </w:r>
          </w:p>
        </w:tc>
        <w:tc>
          <w:tcPr>
            <w:tcW w:w="1400" w:type="dxa"/>
            <w:vAlign w:val="bottom"/>
            <w:vMerge w:val="restart"/>
          </w:tcPr>
          <w:p>
            <w:pPr>
              <w:jc w:val="right"/>
              <w:ind w:right="167"/>
              <w:spacing w:after="0"/>
              <w:rPr>
                <w:sz w:val="20"/>
                <w:szCs w:val="20"/>
                <w:color w:val="auto"/>
              </w:rPr>
            </w:pPr>
            <w:r>
              <w:rPr>
                <w:rFonts w:ascii="Calibri" w:cs="Calibri" w:eastAsia="Calibri" w:hAnsi="Calibri"/>
                <w:sz w:val="15"/>
                <w:szCs w:val="15"/>
                <w:b w:val="1"/>
                <w:bCs w:val="1"/>
                <w:color w:val="auto"/>
              </w:rPr>
              <w:t>20,505</w:t>
            </w:r>
          </w:p>
        </w:tc>
        <w:tc>
          <w:tcPr>
            <w:tcW w:w="1000" w:type="dxa"/>
            <w:vAlign w:val="bottom"/>
            <w:vMerge w:val="restart"/>
          </w:tcPr>
          <w:p>
            <w:pPr>
              <w:jc w:val="right"/>
              <w:spacing w:after="0"/>
              <w:rPr>
                <w:sz w:val="20"/>
                <w:szCs w:val="20"/>
                <w:color w:val="auto"/>
              </w:rPr>
            </w:pPr>
            <w:r>
              <w:rPr>
                <w:rFonts w:ascii="Calibri" w:cs="Calibri" w:eastAsia="Calibri" w:hAnsi="Calibri"/>
                <w:sz w:val="15"/>
                <w:szCs w:val="15"/>
                <w:color w:val="auto"/>
              </w:rPr>
              <w:t>16,165</w:t>
            </w:r>
          </w:p>
        </w:tc>
        <w:tc>
          <w:tcPr>
            <w:tcW w:w="0" w:type="dxa"/>
            <w:vAlign w:val="bottom"/>
          </w:tcPr>
          <w:p>
            <w:pPr>
              <w:spacing w:after="0"/>
              <w:rPr>
                <w:sz w:val="1"/>
                <w:szCs w:val="1"/>
                <w:color w:val="auto"/>
              </w:rPr>
            </w:pPr>
          </w:p>
        </w:tc>
      </w:tr>
      <w:tr>
        <w:trPr>
          <w:trHeight w:val="121"/>
        </w:trPr>
        <w:tc>
          <w:tcPr>
            <w:tcW w:w="54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5400" w:type="dxa"/>
            <w:vAlign w:val="bottom"/>
            <w:vMerge w:val="restart"/>
          </w:tcPr>
          <w:p>
            <w:pPr>
              <w:ind w:left="200"/>
              <w:spacing w:after="0"/>
              <w:rPr>
                <w:sz w:val="20"/>
                <w:szCs w:val="20"/>
                <w:color w:val="auto"/>
              </w:rPr>
            </w:pPr>
            <w:r>
              <w:rPr>
                <w:rFonts w:ascii="Calibri" w:cs="Calibri" w:eastAsia="Calibri" w:hAnsi="Calibri"/>
                <w:sz w:val="15"/>
                <w:szCs w:val="15"/>
                <w:color w:val="auto"/>
              </w:rPr>
              <w:t>Share-based compensaton</w:t>
            </w:r>
          </w:p>
        </w:tc>
        <w:tc>
          <w:tcPr>
            <w:tcW w:w="940" w:type="dxa"/>
            <w:vAlign w:val="bottom"/>
          </w:tcPr>
          <w:p>
            <w:pPr>
              <w:jc w:val="center"/>
              <w:spacing w:after="0"/>
              <w:rPr>
                <w:sz w:val="20"/>
                <w:szCs w:val="20"/>
                <w:color w:val="auto"/>
              </w:rPr>
            </w:pPr>
            <w:r>
              <w:rPr>
                <w:rFonts w:ascii="Calibri" w:cs="Calibri" w:eastAsia="Calibri" w:hAnsi="Calibri"/>
                <w:sz w:val="15"/>
                <w:szCs w:val="15"/>
                <w:i w:val="1"/>
                <w:iCs w:val="1"/>
                <w:color w:val="auto"/>
                <w:w w:val="78"/>
              </w:rPr>
              <w:t>8</w:t>
            </w:r>
          </w:p>
        </w:tc>
        <w:tc>
          <w:tcPr>
            <w:tcW w:w="1460" w:type="dxa"/>
            <w:vAlign w:val="bottom"/>
            <w:vMerge w:val="restart"/>
          </w:tcPr>
          <w:p>
            <w:pPr>
              <w:jc w:val="right"/>
              <w:ind w:right="187"/>
              <w:spacing w:after="0"/>
              <w:rPr>
                <w:sz w:val="20"/>
                <w:szCs w:val="20"/>
                <w:color w:val="auto"/>
              </w:rPr>
            </w:pPr>
            <w:r>
              <w:rPr>
                <w:rFonts w:ascii="Calibri" w:cs="Calibri" w:eastAsia="Calibri" w:hAnsi="Calibri"/>
                <w:sz w:val="15"/>
                <w:szCs w:val="15"/>
                <w:b w:val="1"/>
                <w:bCs w:val="1"/>
                <w:color w:val="auto"/>
              </w:rPr>
              <w:t>9,928</w:t>
            </w:r>
          </w:p>
        </w:tc>
        <w:tc>
          <w:tcPr>
            <w:tcW w:w="1040" w:type="dxa"/>
            <w:vAlign w:val="bottom"/>
            <w:vMerge w:val="restart"/>
          </w:tcPr>
          <w:p>
            <w:pPr>
              <w:jc w:val="right"/>
              <w:ind w:right="47"/>
              <w:spacing w:after="0"/>
              <w:rPr>
                <w:sz w:val="20"/>
                <w:szCs w:val="20"/>
                <w:color w:val="auto"/>
              </w:rPr>
            </w:pPr>
            <w:r>
              <w:rPr>
                <w:rFonts w:ascii="Calibri" w:cs="Calibri" w:eastAsia="Calibri" w:hAnsi="Calibri"/>
                <w:sz w:val="15"/>
                <w:szCs w:val="15"/>
                <w:color w:val="auto"/>
              </w:rPr>
              <w:t>978</w:t>
            </w:r>
          </w:p>
        </w:tc>
        <w:tc>
          <w:tcPr>
            <w:tcW w:w="1400" w:type="dxa"/>
            <w:vAlign w:val="bottom"/>
            <w:vMerge w:val="restart"/>
          </w:tcPr>
          <w:p>
            <w:pPr>
              <w:jc w:val="right"/>
              <w:ind w:right="167"/>
              <w:spacing w:after="0"/>
              <w:rPr>
                <w:sz w:val="20"/>
                <w:szCs w:val="20"/>
                <w:color w:val="auto"/>
              </w:rPr>
            </w:pPr>
            <w:r>
              <w:rPr>
                <w:rFonts w:ascii="Calibri" w:cs="Calibri" w:eastAsia="Calibri" w:hAnsi="Calibri"/>
                <w:sz w:val="15"/>
                <w:szCs w:val="15"/>
                <w:b w:val="1"/>
                <w:bCs w:val="1"/>
                <w:color w:val="auto"/>
              </w:rPr>
              <w:t>12,617</w:t>
            </w:r>
          </w:p>
        </w:tc>
        <w:tc>
          <w:tcPr>
            <w:tcW w:w="1000" w:type="dxa"/>
            <w:vAlign w:val="bottom"/>
            <w:vMerge w:val="restart"/>
          </w:tcPr>
          <w:p>
            <w:pPr>
              <w:jc w:val="right"/>
              <w:spacing w:after="0"/>
              <w:rPr>
                <w:sz w:val="20"/>
                <w:szCs w:val="20"/>
                <w:color w:val="auto"/>
              </w:rPr>
            </w:pPr>
            <w:r>
              <w:rPr>
                <w:rFonts w:ascii="Calibri" w:cs="Calibri" w:eastAsia="Calibri" w:hAnsi="Calibri"/>
                <w:sz w:val="15"/>
                <w:szCs w:val="15"/>
                <w:color w:val="auto"/>
              </w:rPr>
              <w:t>4,205</w:t>
            </w:r>
          </w:p>
        </w:tc>
        <w:tc>
          <w:tcPr>
            <w:tcW w:w="0" w:type="dxa"/>
            <w:vAlign w:val="bottom"/>
          </w:tcPr>
          <w:p>
            <w:pPr>
              <w:spacing w:after="0"/>
              <w:rPr>
                <w:sz w:val="1"/>
                <w:szCs w:val="1"/>
                <w:color w:val="auto"/>
              </w:rPr>
            </w:pPr>
          </w:p>
        </w:tc>
      </w:tr>
      <w:tr>
        <w:trPr>
          <w:trHeight w:val="121"/>
        </w:trPr>
        <w:tc>
          <w:tcPr>
            <w:tcW w:w="54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EXPENSES</w:t>
            </w:r>
          </w:p>
        </w:tc>
        <w:tc>
          <w:tcPr>
            <w:tcW w:w="940" w:type="dxa"/>
            <w:vAlign w:val="bottom"/>
          </w:tcPr>
          <w:p>
            <w:pPr>
              <w:spacing w:after="0"/>
              <w:rPr>
                <w:sz w:val="14"/>
                <w:szCs w:val="14"/>
                <w:color w:val="auto"/>
              </w:rPr>
            </w:pPr>
          </w:p>
        </w:tc>
        <w:tc>
          <w:tcPr>
            <w:tcW w:w="1460" w:type="dxa"/>
            <w:vAlign w:val="bottom"/>
          </w:tcPr>
          <w:p>
            <w:pPr>
              <w:jc w:val="right"/>
              <w:ind w:right="187"/>
              <w:spacing w:after="0" w:line="165" w:lineRule="exact"/>
              <w:rPr>
                <w:sz w:val="20"/>
                <w:szCs w:val="20"/>
                <w:color w:val="auto"/>
              </w:rPr>
            </w:pPr>
            <w:r>
              <w:rPr>
                <w:rFonts w:ascii="Calibri" w:cs="Calibri" w:eastAsia="Calibri" w:hAnsi="Calibri"/>
                <w:sz w:val="15"/>
                <w:szCs w:val="15"/>
                <w:b w:val="1"/>
                <w:bCs w:val="1"/>
                <w:color w:val="auto"/>
              </w:rPr>
              <w:t>27,024</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color w:val="auto"/>
              </w:rPr>
              <w:t>12,093</w:t>
            </w: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53,641</w:t>
            </w:r>
          </w:p>
        </w:tc>
        <w:tc>
          <w:tcPr>
            <w:tcW w:w="1000" w:type="dxa"/>
            <w:vAlign w:val="bottom"/>
          </w:tcPr>
          <w:p>
            <w:pPr>
              <w:jc w:val="right"/>
              <w:spacing w:after="0" w:line="165" w:lineRule="exact"/>
              <w:rPr>
                <w:sz w:val="20"/>
                <w:szCs w:val="20"/>
                <w:color w:val="auto"/>
              </w:rPr>
            </w:pPr>
            <w:r>
              <w:rPr>
                <w:rFonts w:ascii="Calibri" w:cs="Calibri" w:eastAsia="Calibri" w:hAnsi="Calibri"/>
                <w:sz w:val="15"/>
                <w:szCs w:val="15"/>
                <w:color w:val="auto"/>
              </w:rPr>
              <w:t>37,815</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5400" w:type="dxa"/>
            <w:vAlign w:val="bottom"/>
          </w:tcPr>
          <w:p>
            <w:pPr>
              <w:ind w:left="60"/>
              <w:spacing w:after="0"/>
              <w:rPr>
                <w:sz w:val="20"/>
                <w:szCs w:val="20"/>
                <w:color w:val="auto"/>
              </w:rPr>
            </w:pPr>
            <w:r>
              <w:rPr>
                <w:rFonts w:ascii="Calibri" w:cs="Calibri" w:eastAsia="Calibri" w:hAnsi="Calibri"/>
                <w:sz w:val="15"/>
                <w:szCs w:val="15"/>
                <w:b w:val="1"/>
                <w:bCs w:val="1"/>
                <w:color w:val="auto"/>
              </w:rPr>
              <w:t>OTHER INCOME (EXPENSES)</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400" w:type="dxa"/>
            <w:vAlign w:val="bottom"/>
          </w:tcPr>
          <w:p>
            <w:pPr>
              <w:ind w:left="200"/>
              <w:spacing w:after="0"/>
              <w:rPr>
                <w:sz w:val="20"/>
                <w:szCs w:val="20"/>
                <w:color w:val="auto"/>
              </w:rPr>
            </w:pPr>
            <w:r>
              <w:rPr>
                <w:rFonts w:ascii="Calibri" w:cs="Calibri" w:eastAsia="Calibri" w:hAnsi="Calibri"/>
                <w:sz w:val="15"/>
                <w:szCs w:val="15"/>
                <w:color w:val="auto"/>
              </w:rPr>
              <w:t>Interest income</w:t>
            </w:r>
          </w:p>
        </w:tc>
        <w:tc>
          <w:tcPr>
            <w:tcW w:w="940" w:type="dxa"/>
            <w:vAlign w:val="bottom"/>
          </w:tcPr>
          <w:p>
            <w:pPr>
              <w:spacing w:after="0"/>
              <w:rPr>
                <w:sz w:val="24"/>
                <w:szCs w:val="24"/>
                <w:color w:val="auto"/>
              </w:rPr>
            </w:pPr>
          </w:p>
        </w:tc>
        <w:tc>
          <w:tcPr>
            <w:tcW w:w="1460" w:type="dxa"/>
            <w:vAlign w:val="bottom"/>
          </w:tcPr>
          <w:p>
            <w:pPr>
              <w:jc w:val="right"/>
              <w:ind w:right="187"/>
              <w:spacing w:after="0"/>
              <w:rPr>
                <w:sz w:val="20"/>
                <w:szCs w:val="20"/>
                <w:color w:val="auto"/>
              </w:rPr>
            </w:pPr>
            <w:r>
              <w:rPr>
                <w:rFonts w:ascii="Calibri" w:cs="Calibri" w:eastAsia="Calibri" w:hAnsi="Calibri"/>
                <w:sz w:val="15"/>
                <w:szCs w:val="15"/>
                <w:color w:val="auto"/>
              </w:rPr>
              <w:t>141</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157</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277</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455</w:t>
            </w:r>
          </w:p>
        </w:tc>
        <w:tc>
          <w:tcPr>
            <w:tcW w:w="0" w:type="dxa"/>
            <w:vAlign w:val="bottom"/>
          </w:tcPr>
          <w:p>
            <w:pPr>
              <w:spacing w:after="0"/>
              <w:rPr>
                <w:sz w:val="1"/>
                <w:szCs w:val="1"/>
                <w:color w:val="auto"/>
              </w:rPr>
            </w:pPr>
          </w:p>
        </w:tc>
      </w:tr>
      <w:tr>
        <w:trPr>
          <w:trHeight w:val="315"/>
        </w:trPr>
        <w:tc>
          <w:tcPr>
            <w:tcW w:w="5400" w:type="dxa"/>
            <w:vAlign w:val="bottom"/>
          </w:tcPr>
          <w:p>
            <w:pPr>
              <w:ind w:left="200"/>
              <w:spacing w:after="0"/>
              <w:rPr>
                <w:sz w:val="20"/>
                <w:szCs w:val="20"/>
                <w:color w:val="auto"/>
              </w:rPr>
            </w:pPr>
            <w:r>
              <w:rPr>
                <w:rFonts w:ascii="Calibri" w:cs="Calibri" w:eastAsia="Calibri" w:hAnsi="Calibri"/>
                <w:sz w:val="15"/>
                <w:szCs w:val="15"/>
                <w:color w:val="auto"/>
              </w:rPr>
              <w:t>Foreign currency translaton gain (loss)</w:t>
            </w:r>
          </w:p>
        </w:tc>
        <w:tc>
          <w:tcPr>
            <w:tcW w:w="940" w:type="dxa"/>
            <w:vAlign w:val="bottom"/>
          </w:tcPr>
          <w:p>
            <w:pPr>
              <w:spacing w:after="0"/>
              <w:rPr>
                <w:sz w:val="24"/>
                <w:szCs w:val="24"/>
                <w:color w:val="auto"/>
              </w:rPr>
            </w:pPr>
          </w:p>
        </w:tc>
        <w:tc>
          <w:tcPr>
            <w:tcW w:w="1460" w:type="dxa"/>
            <w:vAlign w:val="bottom"/>
          </w:tcPr>
          <w:p>
            <w:pPr>
              <w:jc w:val="right"/>
              <w:ind w:right="187"/>
              <w:spacing w:after="0"/>
              <w:rPr>
                <w:sz w:val="20"/>
                <w:szCs w:val="20"/>
                <w:color w:val="auto"/>
              </w:rPr>
            </w:pPr>
            <w:r>
              <w:rPr>
                <w:rFonts w:ascii="Calibri" w:cs="Calibri" w:eastAsia="Calibri" w:hAnsi="Calibri"/>
                <w:sz w:val="15"/>
                <w:szCs w:val="15"/>
                <w:color w:val="auto"/>
              </w:rPr>
              <w:t>(3,447)</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1,353</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(3,370)</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4,067</w:t>
            </w:r>
          </w:p>
        </w:tc>
        <w:tc>
          <w:tcPr>
            <w:tcW w:w="0" w:type="dxa"/>
            <w:vAlign w:val="bottom"/>
          </w:tcPr>
          <w:p>
            <w:pPr>
              <w:spacing w:after="0"/>
              <w:rPr>
                <w:sz w:val="1"/>
                <w:szCs w:val="1"/>
                <w:color w:val="auto"/>
              </w:rPr>
            </w:pPr>
          </w:p>
        </w:tc>
      </w:tr>
      <w:tr>
        <w:trPr>
          <w:trHeight w:val="267"/>
        </w:trPr>
        <w:tc>
          <w:tcPr>
            <w:tcW w:w="5400" w:type="dxa"/>
            <w:vAlign w:val="bottom"/>
          </w:tcPr>
          <w:p>
            <w:pPr>
              <w:ind w:left="200"/>
              <w:spacing w:after="0"/>
              <w:rPr>
                <w:sz w:val="20"/>
                <w:szCs w:val="20"/>
                <w:color w:val="auto"/>
              </w:rPr>
            </w:pPr>
            <w:r>
              <w:rPr>
                <w:rFonts w:ascii="Calibri" w:cs="Calibri" w:eastAsia="Calibri" w:hAnsi="Calibri"/>
                <w:sz w:val="15"/>
                <w:szCs w:val="15"/>
                <w:color w:val="auto"/>
              </w:rPr>
              <w:t>Change in fair value of investments measured at fair value through proft or loss</w:t>
            </w:r>
          </w:p>
        </w:tc>
        <w:tc>
          <w:tcPr>
            <w:tcW w:w="940" w:type="dxa"/>
            <w:vAlign w:val="bottom"/>
          </w:tcPr>
          <w:p>
            <w:pPr>
              <w:spacing w:after="0"/>
              <w:rPr>
                <w:sz w:val="23"/>
                <w:szCs w:val="23"/>
                <w:color w:val="auto"/>
              </w:rPr>
            </w:pPr>
          </w:p>
        </w:tc>
        <w:tc>
          <w:tcPr>
            <w:tcW w:w="1460" w:type="dxa"/>
            <w:vAlign w:val="bottom"/>
          </w:tcPr>
          <w:p>
            <w:pPr>
              <w:jc w:val="right"/>
              <w:ind w:right="187"/>
              <w:spacing w:after="0"/>
              <w:rPr>
                <w:sz w:val="20"/>
                <w:szCs w:val="20"/>
                <w:color w:val="auto"/>
              </w:rPr>
            </w:pPr>
            <w:r>
              <w:rPr>
                <w:rFonts w:ascii="Calibri" w:cs="Calibri" w:eastAsia="Calibri" w:hAnsi="Calibri"/>
                <w:sz w:val="15"/>
                <w:szCs w:val="15"/>
                <w:color w:val="auto"/>
              </w:rPr>
              <w:t>—</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(159)</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(135)</w:t>
            </w:r>
          </w:p>
        </w:tc>
        <w:tc>
          <w:tcPr>
            <w:tcW w:w="0" w:type="dxa"/>
            <w:vAlign w:val="bottom"/>
          </w:tcPr>
          <w:p>
            <w:pPr>
              <w:spacing w:after="0"/>
              <w:rPr>
                <w:sz w:val="1"/>
                <w:szCs w:val="1"/>
                <w:color w:val="auto"/>
              </w:rPr>
            </w:pPr>
          </w:p>
        </w:tc>
      </w:tr>
      <w:tr>
        <w:trPr>
          <w:trHeight w:val="315"/>
        </w:trPr>
        <w:tc>
          <w:tcPr>
            <w:tcW w:w="5400" w:type="dxa"/>
            <w:vAlign w:val="bottom"/>
          </w:tcPr>
          <w:p>
            <w:pPr>
              <w:ind w:left="220"/>
              <w:spacing w:after="0"/>
              <w:rPr>
                <w:sz w:val="20"/>
                <w:szCs w:val="20"/>
                <w:color w:val="auto"/>
              </w:rPr>
            </w:pPr>
            <w:r>
              <w:rPr>
                <w:rFonts w:ascii="Calibri" w:cs="Calibri" w:eastAsia="Calibri" w:hAnsi="Calibri"/>
                <w:sz w:val="15"/>
                <w:szCs w:val="15"/>
                <w:color w:val="auto"/>
              </w:rPr>
              <w:t>Contngent consideraton accreton</w:t>
            </w:r>
          </w:p>
        </w:tc>
        <w:tc>
          <w:tcPr>
            <w:tcW w:w="940" w:type="dxa"/>
            <w:vAlign w:val="bottom"/>
          </w:tcPr>
          <w:p>
            <w:pPr>
              <w:spacing w:after="0"/>
              <w:rPr>
                <w:sz w:val="24"/>
                <w:szCs w:val="24"/>
                <w:color w:val="auto"/>
              </w:rPr>
            </w:pPr>
          </w:p>
        </w:tc>
        <w:tc>
          <w:tcPr>
            <w:tcW w:w="1460" w:type="dxa"/>
            <w:vAlign w:val="bottom"/>
          </w:tcPr>
          <w:p>
            <w:pPr>
              <w:jc w:val="right"/>
              <w:ind w:right="187"/>
              <w:spacing w:after="0"/>
              <w:rPr>
                <w:sz w:val="20"/>
                <w:szCs w:val="20"/>
                <w:color w:val="auto"/>
              </w:rPr>
            </w:pPr>
            <w:r>
              <w:rPr>
                <w:rFonts w:ascii="Calibri" w:cs="Calibri" w:eastAsia="Calibri" w:hAnsi="Calibri"/>
                <w:sz w:val="15"/>
                <w:szCs w:val="15"/>
                <w:color w:val="auto"/>
              </w:rPr>
              <w:t>—</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(13)</w:t>
            </w:r>
          </w:p>
        </w:tc>
        <w:tc>
          <w:tcPr>
            <w:tcW w:w="0" w:type="dxa"/>
            <w:vAlign w:val="bottom"/>
          </w:tcPr>
          <w:p>
            <w:pPr>
              <w:spacing w:after="0"/>
              <w:rPr>
                <w:sz w:val="1"/>
                <w:szCs w:val="1"/>
                <w:color w:val="auto"/>
              </w:rPr>
            </w:pPr>
          </w:p>
        </w:tc>
      </w:tr>
      <w:tr>
        <w:trPr>
          <w:trHeight w:val="315"/>
        </w:trPr>
        <w:tc>
          <w:tcPr>
            <w:tcW w:w="5400" w:type="dxa"/>
            <w:vAlign w:val="bottom"/>
          </w:tcPr>
          <w:p>
            <w:pPr>
              <w:ind w:left="200"/>
              <w:spacing w:after="0"/>
              <w:rPr>
                <w:sz w:val="20"/>
                <w:szCs w:val="20"/>
                <w:color w:val="auto"/>
              </w:rPr>
            </w:pPr>
            <w:r>
              <w:rPr>
                <w:rFonts w:ascii="Calibri" w:cs="Calibri" w:eastAsia="Calibri" w:hAnsi="Calibri"/>
                <w:sz w:val="15"/>
                <w:szCs w:val="15"/>
                <w:color w:val="auto"/>
              </w:rPr>
              <w:t>Change in fair value of contngent consideraton</w:t>
            </w:r>
          </w:p>
        </w:tc>
        <w:tc>
          <w:tcPr>
            <w:tcW w:w="940" w:type="dxa"/>
            <w:vAlign w:val="bottom"/>
          </w:tcPr>
          <w:p>
            <w:pPr>
              <w:spacing w:after="0"/>
              <w:rPr>
                <w:sz w:val="24"/>
                <w:szCs w:val="24"/>
                <w:color w:val="auto"/>
              </w:rPr>
            </w:pPr>
          </w:p>
        </w:tc>
        <w:tc>
          <w:tcPr>
            <w:tcW w:w="1460" w:type="dxa"/>
            <w:vAlign w:val="bottom"/>
          </w:tcPr>
          <w:p>
            <w:pPr>
              <w:jc w:val="right"/>
              <w:ind w:right="187"/>
              <w:spacing w:after="0"/>
              <w:rPr>
                <w:sz w:val="20"/>
                <w:szCs w:val="20"/>
                <w:color w:val="auto"/>
              </w:rPr>
            </w:pPr>
            <w:r>
              <w:rPr>
                <w:rFonts w:ascii="Calibri" w:cs="Calibri" w:eastAsia="Calibri" w:hAnsi="Calibri"/>
                <w:sz w:val="15"/>
                <w:szCs w:val="15"/>
                <w:color w:val="auto"/>
              </w:rPr>
              <w:t>—</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(329)</w:t>
            </w:r>
          </w:p>
        </w:tc>
        <w:tc>
          <w:tcPr>
            <w:tcW w:w="0" w:type="dxa"/>
            <w:vAlign w:val="bottom"/>
          </w:tcPr>
          <w:p>
            <w:pPr>
              <w:spacing w:after="0"/>
              <w:rPr>
                <w:sz w:val="1"/>
                <w:szCs w:val="1"/>
                <w:color w:val="auto"/>
              </w:rPr>
            </w:pPr>
          </w:p>
        </w:tc>
      </w:tr>
      <w:tr>
        <w:trPr>
          <w:trHeight w:val="255"/>
        </w:trPr>
        <w:tc>
          <w:tcPr>
            <w:tcW w:w="5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OTHER INCOME (EXPENSES)</w:t>
            </w:r>
          </w:p>
        </w:tc>
        <w:tc>
          <w:tcPr>
            <w:tcW w:w="940" w:type="dxa"/>
            <w:vAlign w:val="bottom"/>
          </w:tcPr>
          <w:p>
            <w:pPr>
              <w:spacing w:after="0"/>
              <w:rPr>
                <w:sz w:val="14"/>
                <w:szCs w:val="14"/>
                <w:color w:val="auto"/>
              </w:rPr>
            </w:pPr>
          </w:p>
        </w:tc>
        <w:tc>
          <w:tcPr>
            <w:tcW w:w="1460" w:type="dxa"/>
            <w:vAlign w:val="bottom"/>
          </w:tcPr>
          <w:p>
            <w:pPr>
              <w:jc w:val="right"/>
              <w:ind w:right="187"/>
              <w:spacing w:after="0" w:line="165" w:lineRule="exact"/>
              <w:rPr>
                <w:sz w:val="20"/>
                <w:szCs w:val="20"/>
                <w:color w:val="auto"/>
              </w:rPr>
            </w:pPr>
            <w:r>
              <w:rPr>
                <w:rFonts w:ascii="Calibri" w:cs="Calibri" w:eastAsia="Calibri" w:hAnsi="Calibri"/>
                <w:sz w:val="15"/>
                <w:szCs w:val="15"/>
                <w:b w:val="1"/>
                <w:bCs w:val="1"/>
                <w:color w:val="auto"/>
              </w:rPr>
              <w:t>(3,306)</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color w:val="auto"/>
              </w:rPr>
              <w:t>1,351</w:t>
            </w: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(3,093)</w:t>
            </w:r>
          </w:p>
        </w:tc>
        <w:tc>
          <w:tcPr>
            <w:tcW w:w="1000" w:type="dxa"/>
            <w:vAlign w:val="bottom"/>
          </w:tcPr>
          <w:p>
            <w:pPr>
              <w:jc w:val="right"/>
              <w:spacing w:after="0" w:line="165" w:lineRule="exact"/>
              <w:rPr>
                <w:sz w:val="20"/>
                <w:szCs w:val="20"/>
                <w:color w:val="auto"/>
              </w:rPr>
            </w:pPr>
            <w:r>
              <w:rPr>
                <w:rFonts w:ascii="Calibri" w:cs="Calibri" w:eastAsia="Calibri" w:hAnsi="Calibri"/>
                <w:sz w:val="15"/>
                <w:szCs w:val="15"/>
                <w:color w:val="auto"/>
              </w:rPr>
              <w:t>4,045</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400" w:type="dxa"/>
            <w:vAlign w:val="bottom"/>
            <w:tcBorders>
              <w:bottom w:val="single" w:sz="8" w:color="D9D9D9"/>
            </w:tcBorders>
            <w:shd w:val="clear" w:color="auto" w:fill="D9D9D9"/>
          </w:tcPr>
          <w:p>
            <w:pPr>
              <w:ind w:left="60"/>
              <w:spacing w:after="0"/>
              <w:rPr>
                <w:sz w:val="20"/>
                <w:szCs w:val="20"/>
                <w:color w:val="auto"/>
              </w:rPr>
            </w:pPr>
            <w:r>
              <w:rPr>
                <w:rFonts w:ascii="Calibri" w:cs="Calibri" w:eastAsia="Calibri" w:hAnsi="Calibri"/>
                <w:sz w:val="15"/>
                <w:szCs w:val="15"/>
                <w:b w:val="1"/>
                <w:bCs w:val="1"/>
                <w:color w:val="auto"/>
              </w:rPr>
              <w:t>NET LOSS FOR THE PERIOD</w:t>
            </w:r>
          </w:p>
        </w:tc>
        <w:tc>
          <w:tcPr>
            <w:tcW w:w="940" w:type="dxa"/>
            <w:vAlign w:val="bottom"/>
            <w:tcBorders>
              <w:bottom w:val="single" w:sz="8" w:color="DBDBDB"/>
            </w:tcBorders>
            <w:shd w:val="clear" w:color="auto" w:fill="DBDBDB"/>
          </w:tcPr>
          <w:p>
            <w:pPr>
              <w:spacing w:after="0"/>
              <w:rPr>
                <w:sz w:val="20"/>
                <w:szCs w:val="20"/>
                <w:color w:val="auto"/>
              </w:rPr>
            </w:pPr>
          </w:p>
        </w:tc>
        <w:tc>
          <w:tcPr>
            <w:tcW w:w="1460" w:type="dxa"/>
            <w:vAlign w:val="bottom"/>
            <w:tcBorders>
              <w:bottom w:val="single" w:sz="8" w:color="DBDBDB"/>
            </w:tcBorders>
            <w:shd w:val="clear" w:color="auto" w:fill="DBDBDB"/>
          </w:tcPr>
          <w:p>
            <w:pPr>
              <w:jc w:val="right"/>
              <w:ind w:right="227"/>
              <w:spacing w:after="0"/>
              <w:rPr>
                <w:sz w:val="20"/>
                <w:szCs w:val="20"/>
                <w:color w:val="auto"/>
              </w:rPr>
            </w:pPr>
            <w:r>
              <w:rPr>
                <w:rFonts w:ascii="Calibri" w:cs="Calibri" w:eastAsia="Calibri" w:hAnsi="Calibri"/>
                <w:sz w:val="15"/>
                <w:szCs w:val="15"/>
                <w:b w:val="1"/>
                <w:bCs w:val="1"/>
                <w:color w:val="auto"/>
              </w:rPr>
              <w:t>(30,330)</w:t>
            </w:r>
          </w:p>
        </w:tc>
        <w:tc>
          <w:tcPr>
            <w:tcW w:w="1040" w:type="dxa"/>
            <w:vAlign w:val="bottom"/>
            <w:tcBorders>
              <w:bottom w:val="single" w:sz="8" w:color="DBDBDB"/>
            </w:tcBorders>
            <w:shd w:val="clear" w:color="auto" w:fill="DBDBDB"/>
          </w:tcPr>
          <w:p>
            <w:pPr>
              <w:jc w:val="right"/>
              <w:ind w:right="47"/>
              <w:spacing w:after="0"/>
              <w:rPr>
                <w:sz w:val="20"/>
                <w:szCs w:val="20"/>
                <w:color w:val="auto"/>
              </w:rPr>
            </w:pPr>
            <w:r>
              <w:rPr>
                <w:rFonts w:ascii="Calibri" w:cs="Calibri" w:eastAsia="Calibri" w:hAnsi="Calibri"/>
                <w:sz w:val="15"/>
                <w:szCs w:val="15"/>
                <w:color w:val="auto"/>
              </w:rPr>
              <w:t>(10,742)</w:t>
            </w:r>
          </w:p>
        </w:tc>
        <w:tc>
          <w:tcPr>
            <w:tcW w:w="1400" w:type="dxa"/>
            <w:vAlign w:val="bottom"/>
            <w:tcBorders>
              <w:bottom w:val="single" w:sz="8" w:color="DBDBDB"/>
            </w:tcBorders>
            <w:shd w:val="clear" w:color="auto" w:fill="DBDBDB"/>
          </w:tcPr>
          <w:p>
            <w:pPr>
              <w:jc w:val="right"/>
              <w:ind w:right="207"/>
              <w:spacing w:after="0"/>
              <w:rPr>
                <w:sz w:val="20"/>
                <w:szCs w:val="20"/>
                <w:color w:val="auto"/>
              </w:rPr>
            </w:pPr>
            <w:r>
              <w:rPr>
                <w:rFonts w:ascii="Calibri" w:cs="Calibri" w:eastAsia="Calibri" w:hAnsi="Calibri"/>
                <w:sz w:val="15"/>
                <w:szCs w:val="15"/>
                <w:b w:val="1"/>
                <w:bCs w:val="1"/>
                <w:color w:val="auto"/>
              </w:rPr>
              <w:t>(56,734)</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5"/>
                <w:szCs w:val="15"/>
                <w:color w:val="auto"/>
              </w:rPr>
              <w:t>(33,770)</w:t>
            </w:r>
          </w:p>
        </w:tc>
        <w:tc>
          <w:tcPr>
            <w:tcW w:w="0" w:type="dxa"/>
            <w:vAlign w:val="bottom"/>
          </w:tcPr>
          <w:p>
            <w:pPr>
              <w:spacing w:after="0"/>
              <w:rPr>
                <w:sz w:val="1"/>
                <w:szCs w:val="1"/>
                <w:color w:val="auto"/>
              </w:rPr>
            </w:pPr>
          </w:p>
        </w:tc>
      </w:tr>
      <w:tr>
        <w:trPr>
          <w:trHeight w:val="380"/>
        </w:trPr>
        <w:tc>
          <w:tcPr>
            <w:tcW w:w="54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OTHER COMPREHENSIVE LOSS</w:t>
            </w:r>
          </w:p>
        </w:tc>
        <w:tc>
          <w:tcPr>
            <w:tcW w:w="9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Calibri" w:cs="Calibri" w:eastAsia="Calibri" w:hAnsi="Calibri"/>
                <w:sz w:val="15"/>
                <w:szCs w:val="15"/>
                <w:color w:val="auto"/>
              </w:rPr>
              <w:t>Foreign currency translaton diferences for foreign operatons</w:t>
            </w:r>
          </w:p>
        </w:tc>
        <w:tc>
          <w:tcPr>
            <w:tcW w:w="940" w:type="dxa"/>
            <w:vAlign w:val="bottom"/>
          </w:tcPr>
          <w:p>
            <w:pPr>
              <w:spacing w:after="0"/>
              <w:rPr>
                <w:sz w:val="21"/>
                <w:szCs w:val="21"/>
                <w:color w:val="auto"/>
              </w:rPr>
            </w:pPr>
          </w:p>
        </w:tc>
        <w:tc>
          <w:tcPr>
            <w:tcW w:w="1460" w:type="dxa"/>
            <w:vAlign w:val="bottom"/>
          </w:tcPr>
          <w:p>
            <w:pPr>
              <w:jc w:val="right"/>
              <w:ind w:right="227"/>
              <w:spacing w:after="0"/>
              <w:rPr>
                <w:sz w:val="20"/>
                <w:szCs w:val="20"/>
                <w:color w:val="auto"/>
              </w:rPr>
            </w:pPr>
            <w:r>
              <w:rPr>
                <w:rFonts w:ascii="Calibri" w:cs="Calibri" w:eastAsia="Calibri" w:hAnsi="Calibri"/>
                <w:sz w:val="15"/>
                <w:szCs w:val="15"/>
                <w:b w:val="1"/>
                <w:bCs w:val="1"/>
                <w:color w:val="auto"/>
              </w:rPr>
              <w:t>1,636</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(1,601)</w:t>
            </w:r>
          </w:p>
        </w:tc>
        <w:tc>
          <w:tcPr>
            <w:tcW w:w="1400" w:type="dxa"/>
            <w:vAlign w:val="bottom"/>
          </w:tcPr>
          <w:p>
            <w:pPr>
              <w:jc w:val="right"/>
              <w:ind w:right="207"/>
              <w:spacing w:after="0"/>
              <w:rPr>
                <w:sz w:val="20"/>
                <w:szCs w:val="20"/>
                <w:color w:val="auto"/>
              </w:rPr>
            </w:pPr>
            <w:r>
              <w:rPr>
                <w:rFonts w:ascii="Calibri" w:cs="Calibri" w:eastAsia="Calibri" w:hAnsi="Calibri"/>
                <w:sz w:val="15"/>
                <w:szCs w:val="15"/>
                <w:b w:val="1"/>
                <w:bCs w:val="1"/>
                <w:color w:val="auto"/>
              </w:rPr>
              <w:t>1,597</w:t>
            </w:r>
          </w:p>
        </w:tc>
        <w:tc>
          <w:tcPr>
            <w:tcW w:w="1000" w:type="dxa"/>
            <w:vAlign w:val="bottom"/>
          </w:tcPr>
          <w:p>
            <w:pPr>
              <w:jc w:val="right"/>
              <w:spacing w:after="0"/>
              <w:rPr>
                <w:sz w:val="20"/>
                <w:szCs w:val="20"/>
                <w:color w:val="auto"/>
              </w:rPr>
            </w:pPr>
            <w:r>
              <w:rPr>
                <w:rFonts w:ascii="Calibri" w:cs="Calibri" w:eastAsia="Calibri" w:hAnsi="Calibri"/>
                <w:sz w:val="15"/>
                <w:szCs w:val="15"/>
                <w:b w:val="1"/>
                <w:bCs w:val="1"/>
                <w:color w:val="auto"/>
              </w:rPr>
              <w:t>(1,672)</w:t>
            </w:r>
          </w:p>
        </w:tc>
        <w:tc>
          <w:tcPr>
            <w:tcW w:w="0" w:type="dxa"/>
            <w:vAlign w:val="bottom"/>
          </w:tcPr>
          <w:p>
            <w:pPr>
              <w:spacing w:after="0"/>
              <w:rPr>
                <w:sz w:val="1"/>
                <w:szCs w:val="1"/>
                <w:color w:val="auto"/>
              </w:rPr>
            </w:pPr>
          </w:p>
        </w:tc>
      </w:tr>
      <w:tr>
        <w:trPr>
          <w:trHeight w:val="49"/>
        </w:trPr>
        <w:tc>
          <w:tcPr>
            <w:tcW w:w="5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5400" w:type="dxa"/>
            <w:vAlign w:val="bottom"/>
            <w:tcBorders>
              <w:bottom w:val="single" w:sz="8" w:color="D9D9D9"/>
            </w:tcBorders>
            <w:shd w:val="clear" w:color="auto" w:fill="D9D9D9"/>
          </w:tcPr>
          <w:p>
            <w:pPr>
              <w:ind w:left="60"/>
              <w:spacing w:after="0"/>
              <w:rPr>
                <w:sz w:val="20"/>
                <w:szCs w:val="20"/>
                <w:color w:val="auto"/>
              </w:rPr>
            </w:pPr>
            <w:r>
              <w:rPr>
                <w:rFonts w:ascii="Calibri" w:cs="Calibri" w:eastAsia="Calibri" w:hAnsi="Calibri"/>
                <w:sz w:val="15"/>
                <w:szCs w:val="15"/>
                <w:b w:val="1"/>
                <w:bCs w:val="1"/>
                <w:color w:val="auto"/>
              </w:rPr>
              <w:t>COMPREHENSIVE LOSS FOR THE PERIOD</w:t>
            </w:r>
          </w:p>
        </w:tc>
        <w:tc>
          <w:tcPr>
            <w:tcW w:w="940" w:type="dxa"/>
            <w:vAlign w:val="bottom"/>
            <w:tcBorders>
              <w:bottom w:val="single" w:sz="8" w:color="D9D9D9"/>
            </w:tcBorders>
            <w:shd w:val="clear" w:color="auto" w:fill="D9D9D9"/>
          </w:tcPr>
          <w:p>
            <w:pPr>
              <w:spacing w:after="0"/>
              <w:rPr>
                <w:sz w:val="20"/>
                <w:szCs w:val="20"/>
                <w:color w:val="auto"/>
              </w:rPr>
            </w:pPr>
          </w:p>
        </w:tc>
        <w:tc>
          <w:tcPr>
            <w:tcW w:w="1460" w:type="dxa"/>
            <w:vAlign w:val="bottom"/>
            <w:tcBorders>
              <w:bottom w:val="single" w:sz="8" w:color="DBDBDB"/>
            </w:tcBorders>
            <w:shd w:val="clear" w:color="auto" w:fill="DBDBDB"/>
          </w:tcPr>
          <w:p>
            <w:pPr>
              <w:jc w:val="right"/>
              <w:ind w:right="227"/>
              <w:spacing w:after="0"/>
              <w:rPr>
                <w:sz w:val="20"/>
                <w:szCs w:val="20"/>
                <w:color w:val="auto"/>
              </w:rPr>
            </w:pPr>
            <w:r>
              <w:rPr>
                <w:rFonts w:ascii="Calibri" w:cs="Calibri" w:eastAsia="Calibri" w:hAnsi="Calibri"/>
                <w:sz w:val="15"/>
                <w:szCs w:val="15"/>
                <w:b w:val="1"/>
                <w:bCs w:val="1"/>
                <w:color w:val="auto"/>
              </w:rPr>
              <w:t>(28,694)</w:t>
            </w:r>
          </w:p>
        </w:tc>
        <w:tc>
          <w:tcPr>
            <w:tcW w:w="1040" w:type="dxa"/>
            <w:vAlign w:val="bottom"/>
            <w:tcBorders>
              <w:bottom w:val="single" w:sz="8" w:color="DBDBDB"/>
            </w:tcBorders>
            <w:shd w:val="clear" w:color="auto" w:fill="DBDBDB"/>
          </w:tcPr>
          <w:p>
            <w:pPr>
              <w:jc w:val="right"/>
              <w:ind w:right="47"/>
              <w:spacing w:after="0"/>
              <w:rPr>
                <w:sz w:val="20"/>
                <w:szCs w:val="20"/>
                <w:color w:val="auto"/>
              </w:rPr>
            </w:pPr>
            <w:r>
              <w:rPr>
                <w:rFonts w:ascii="Calibri" w:cs="Calibri" w:eastAsia="Calibri" w:hAnsi="Calibri"/>
                <w:sz w:val="15"/>
                <w:szCs w:val="15"/>
                <w:color w:val="auto"/>
              </w:rPr>
              <w:t>(12,343)</w:t>
            </w:r>
          </w:p>
        </w:tc>
        <w:tc>
          <w:tcPr>
            <w:tcW w:w="1400" w:type="dxa"/>
            <w:vAlign w:val="bottom"/>
            <w:tcBorders>
              <w:bottom w:val="single" w:sz="8" w:color="DBDBDB"/>
            </w:tcBorders>
            <w:shd w:val="clear" w:color="auto" w:fill="DBDBDB"/>
          </w:tcPr>
          <w:p>
            <w:pPr>
              <w:jc w:val="right"/>
              <w:ind w:right="207"/>
              <w:spacing w:after="0"/>
              <w:rPr>
                <w:sz w:val="20"/>
                <w:szCs w:val="20"/>
                <w:color w:val="auto"/>
              </w:rPr>
            </w:pPr>
            <w:r>
              <w:rPr>
                <w:rFonts w:ascii="Calibri" w:cs="Calibri" w:eastAsia="Calibri" w:hAnsi="Calibri"/>
                <w:sz w:val="15"/>
                <w:szCs w:val="15"/>
                <w:b w:val="1"/>
                <w:bCs w:val="1"/>
                <w:color w:val="auto"/>
              </w:rPr>
              <w:t>(55,137)</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5"/>
                <w:szCs w:val="15"/>
                <w:color w:val="auto"/>
              </w:rPr>
              <w:t>(35,442)</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Basic loss per share for the period atributable to common shareholders</w:t>
            </w:r>
          </w:p>
        </w:tc>
        <w:tc>
          <w:tcPr>
            <w:tcW w:w="940" w:type="dxa"/>
            <w:vAlign w:val="bottom"/>
          </w:tcPr>
          <w:p>
            <w:pPr>
              <w:spacing w:after="0"/>
              <w:rPr>
                <w:sz w:val="14"/>
                <w:szCs w:val="14"/>
                <w:color w:val="auto"/>
              </w:rPr>
            </w:pPr>
          </w:p>
        </w:tc>
        <w:tc>
          <w:tcPr>
            <w:tcW w:w="1460" w:type="dxa"/>
            <w:vAlign w:val="bottom"/>
          </w:tcPr>
          <w:p>
            <w:pPr>
              <w:jc w:val="right"/>
              <w:ind w:right="187"/>
              <w:spacing w:after="0" w:line="165" w:lineRule="exact"/>
              <w:rPr>
                <w:sz w:val="20"/>
                <w:szCs w:val="20"/>
                <w:color w:val="auto"/>
              </w:rPr>
            </w:pPr>
            <w:r>
              <w:rPr>
                <w:rFonts w:ascii="Calibri" w:cs="Calibri" w:eastAsia="Calibri" w:hAnsi="Calibri"/>
                <w:sz w:val="15"/>
                <w:szCs w:val="15"/>
                <w:b w:val="1"/>
                <w:bCs w:val="1"/>
                <w:color w:val="auto"/>
              </w:rPr>
              <w:t>(0.09)</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color w:val="auto"/>
              </w:rPr>
              <w:t>(0.06)</w:t>
            </w: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(0.23)</w:t>
            </w:r>
          </w:p>
        </w:tc>
        <w:tc>
          <w:tcPr>
            <w:tcW w:w="1000" w:type="dxa"/>
            <w:vAlign w:val="bottom"/>
          </w:tcPr>
          <w:p>
            <w:pPr>
              <w:jc w:val="right"/>
              <w:spacing w:after="0" w:line="165" w:lineRule="exact"/>
              <w:rPr>
                <w:sz w:val="20"/>
                <w:szCs w:val="20"/>
                <w:color w:val="auto"/>
              </w:rPr>
            </w:pPr>
            <w:r>
              <w:rPr>
                <w:rFonts w:ascii="Calibri" w:cs="Calibri" w:eastAsia="Calibri" w:hAnsi="Calibri"/>
                <w:sz w:val="15"/>
                <w:szCs w:val="15"/>
                <w:color w:val="auto"/>
              </w:rPr>
              <w:t>(0.19)</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Weighted average number of common shares outstanding - basic</w:t>
            </w:r>
          </w:p>
        </w:tc>
        <w:tc>
          <w:tcPr>
            <w:tcW w:w="940" w:type="dxa"/>
            <w:vAlign w:val="bottom"/>
          </w:tcPr>
          <w:p>
            <w:pPr>
              <w:spacing w:after="0"/>
              <w:rPr>
                <w:sz w:val="14"/>
                <w:szCs w:val="14"/>
                <w:color w:val="auto"/>
              </w:rPr>
            </w:pPr>
          </w:p>
        </w:tc>
        <w:tc>
          <w:tcPr>
            <w:tcW w:w="1460" w:type="dxa"/>
            <w:vAlign w:val="bottom"/>
          </w:tcPr>
          <w:p>
            <w:pPr>
              <w:jc w:val="right"/>
              <w:ind w:right="187"/>
              <w:spacing w:after="0" w:line="165" w:lineRule="exact"/>
              <w:rPr>
                <w:sz w:val="20"/>
                <w:szCs w:val="20"/>
                <w:color w:val="auto"/>
              </w:rPr>
            </w:pPr>
            <w:r>
              <w:rPr>
                <w:rFonts w:ascii="Calibri" w:cs="Calibri" w:eastAsia="Calibri" w:hAnsi="Calibri"/>
                <w:sz w:val="15"/>
                <w:szCs w:val="15"/>
                <w:b w:val="1"/>
                <w:bCs w:val="1"/>
                <w:color w:val="auto"/>
              </w:rPr>
              <w:t>333,679,544</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color w:val="auto"/>
              </w:rPr>
              <w:t>188,887,344</w:t>
            </w: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248,756,408</w:t>
            </w:r>
          </w:p>
        </w:tc>
        <w:tc>
          <w:tcPr>
            <w:tcW w:w="1000" w:type="dxa"/>
            <w:vAlign w:val="bottom"/>
          </w:tcPr>
          <w:p>
            <w:pPr>
              <w:jc w:val="right"/>
              <w:spacing w:after="0" w:line="165" w:lineRule="exact"/>
              <w:rPr>
                <w:sz w:val="20"/>
                <w:szCs w:val="20"/>
                <w:color w:val="auto"/>
              </w:rPr>
            </w:pPr>
            <w:r>
              <w:rPr>
                <w:rFonts w:ascii="Calibri" w:cs="Calibri" w:eastAsia="Calibri" w:hAnsi="Calibri"/>
                <w:sz w:val="15"/>
                <w:szCs w:val="15"/>
                <w:color w:val="auto"/>
              </w:rPr>
              <w:t>181,902,462</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40"/>
          </w:cols>
          <w:pgMar w:left="320" w:top="180" w:right="339" w:bottom="1440" w:gutter="0" w:footer="0" w:header="0"/>
        </w:sectPr>
      </w:pPr>
    </w:p>
    <w:bookmarkStart w:id="7" w:name="page8"/>
    <w:bookmarkEnd w:id="7"/>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CONDENSED INTERIM CONSOLIDATED STATEMENTS OF CHANGES IN SHAREHOLDERS’ EQUITY</w:t>
      </w:r>
    </w:p>
    <w:p>
      <w:pPr>
        <w:ind w:left="60"/>
        <w:spacing w:after="0" w:line="201" w:lineRule="auto"/>
        <w:rPr>
          <w:sz w:val="20"/>
          <w:szCs w:val="20"/>
          <w:color w:val="auto"/>
        </w:rPr>
      </w:pPr>
      <w:r>
        <w:rPr>
          <w:rFonts w:ascii="Calibri" w:cs="Calibri" w:eastAsia="Calibri" w:hAnsi="Calibri"/>
          <w:sz w:val="19"/>
          <w:szCs w:val="19"/>
          <w:b w:val="1"/>
          <w:bCs w:val="1"/>
          <w:color w:val="auto"/>
        </w:rPr>
        <w:t>For the nine-month periods ended December 31, 2023 and 2022</w:t>
      </w:r>
    </w:p>
    <w:p>
      <w:pPr>
        <w:ind w:left="60"/>
        <w:spacing w:after="0" w:line="195" w:lineRule="auto"/>
        <w:rPr>
          <w:sz w:val="20"/>
          <w:szCs w:val="20"/>
          <w:color w:val="auto"/>
        </w:rPr>
      </w:pPr>
      <w:r>
        <w:rPr>
          <w:rFonts w:ascii="Calibri" w:cs="Calibri" w:eastAsia="Calibri" w:hAnsi="Calibri"/>
          <w:sz w:val="16"/>
          <w:szCs w:val="16"/>
          <w:b w:val="1"/>
          <w:bCs w:val="1"/>
          <w:color w:val="auto"/>
        </w:rPr>
        <w:t>(All amounts expressed in thousands of Canadian dollars, except share amounts)</w:t>
      </w:r>
    </w:p>
    <w:p>
      <w:pPr>
        <w:ind w:left="60"/>
        <w:spacing w:after="0" w:line="198"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gridSpan w:val="2"/>
          </w:tcPr>
          <w:p>
            <w:pPr>
              <w:jc w:val="right"/>
              <w:ind w:right="434"/>
              <w:spacing w:after="0"/>
              <w:rPr>
                <w:sz w:val="20"/>
                <w:szCs w:val="20"/>
                <w:color w:val="auto"/>
              </w:rPr>
            </w:pPr>
            <w:r>
              <w:rPr>
                <w:rFonts w:ascii="Calibri" w:cs="Calibri" w:eastAsia="Calibri" w:hAnsi="Calibri"/>
                <w:sz w:val="13"/>
                <w:szCs w:val="13"/>
                <w:b w:val="1"/>
                <w:bCs w:val="1"/>
                <w:color w:val="auto"/>
              </w:rPr>
              <w:t>Share capital</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jc w:val="right"/>
              <w:ind w:right="115"/>
              <w:spacing w:after="0"/>
              <w:rPr>
                <w:sz w:val="20"/>
                <w:szCs w:val="20"/>
                <w:color w:val="auto"/>
              </w:rPr>
            </w:pPr>
            <w:r>
              <w:rPr>
                <w:rFonts w:ascii="Calibri" w:cs="Calibri" w:eastAsia="Calibri" w:hAnsi="Calibri"/>
                <w:sz w:val="13"/>
                <w:szCs w:val="13"/>
                <w:b w:val="1"/>
                <w:bCs w:val="1"/>
                <w:color w:val="auto"/>
              </w:rPr>
              <w:t>Reserves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vMerge w:val="restart"/>
          </w:tcPr>
          <w:p>
            <w:pPr>
              <w:jc w:val="center"/>
              <w:spacing w:after="0"/>
              <w:rPr>
                <w:sz w:val="20"/>
                <w:szCs w:val="20"/>
                <w:color w:val="auto"/>
              </w:rPr>
            </w:pPr>
            <w:r>
              <w:rPr>
                <w:rFonts w:ascii="Calibri" w:cs="Calibri" w:eastAsia="Calibri" w:hAnsi="Calibri"/>
                <w:sz w:val="13"/>
                <w:szCs w:val="13"/>
                <w:b w:val="1"/>
                <w:bCs w:val="1"/>
                <w:color w:val="auto"/>
              </w:rPr>
              <w:t>Accumulated other</w:t>
            </w: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right"/>
              <w:ind w:right="174"/>
              <w:spacing w:after="0" w:line="123" w:lineRule="exact"/>
              <w:rPr>
                <w:sz w:val="20"/>
                <w:szCs w:val="20"/>
                <w:color w:val="auto"/>
              </w:rPr>
            </w:pPr>
            <w:r>
              <w:rPr>
                <w:rFonts w:ascii="Calibri" w:cs="Calibri" w:eastAsia="Calibri" w:hAnsi="Calibri"/>
                <w:sz w:val="13"/>
                <w:szCs w:val="13"/>
                <w:b w:val="1"/>
                <w:bCs w:val="1"/>
                <w:color w:val="auto"/>
              </w:rPr>
              <w:t>Number of</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jc w:val="right"/>
              <w:ind w:right="35"/>
              <w:spacing w:after="0" w:line="123" w:lineRule="exact"/>
              <w:rPr>
                <w:sz w:val="20"/>
                <w:szCs w:val="20"/>
                <w:color w:val="auto"/>
              </w:rPr>
            </w:pPr>
            <w:r>
              <w:rPr>
                <w:rFonts w:ascii="Calibri" w:cs="Calibri" w:eastAsia="Calibri" w:hAnsi="Calibri"/>
                <w:sz w:val="13"/>
                <w:szCs w:val="13"/>
                <w:b w:val="1"/>
                <w:bCs w:val="1"/>
                <w:color w:val="auto"/>
              </w:rPr>
              <w:t>Contributed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Calibri" w:cs="Calibri" w:eastAsia="Calibri" w:hAnsi="Calibri"/>
                <w:sz w:val="13"/>
                <w:szCs w:val="13"/>
                <w:b w:val="1"/>
                <w:bCs w:val="1"/>
                <w:color w:val="auto"/>
                <w:w w:val="99"/>
              </w:rPr>
              <w:t>comprehensive</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400" w:type="dxa"/>
            <w:vAlign w:val="bottom"/>
          </w:tcPr>
          <w:p>
            <w:pPr>
              <w:ind w:left="60"/>
              <w:spacing w:after="0" w:line="155" w:lineRule="exact"/>
              <w:rPr>
                <w:sz w:val="20"/>
                <w:szCs w:val="20"/>
                <w:color w:val="auto"/>
              </w:rPr>
            </w:pPr>
            <w:r>
              <w:rPr>
                <w:rFonts w:ascii="Calibri" w:cs="Calibri" w:eastAsia="Calibri" w:hAnsi="Calibri"/>
                <w:sz w:val="13"/>
                <w:szCs w:val="13"/>
                <w:b w:val="1"/>
                <w:bCs w:val="1"/>
                <w:color w:val="auto"/>
              </w:rPr>
              <w:t>Note</w:t>
            </w:r>
          </w:p>
        </w:tc>
        <w:tc>
          <w:tcPr>
            <w:tcW w:w="60" w:type="dxa"/>
            <w:vAlign w:val="bottom"/>
          </w:tcPr>
          <w:p>
            <w:pPr>
              <w:spacing w:after="0"/>
              <w:rPr>
                <w:sz w:val="14"/>
                <w:szCs w:val="14"/>
                <w:color w:val="auto"/>
              </w:rPr>
            </w:pPr>
          </w:p>
        </w:tc>
        <w:tc>
          <w:tcPr>
            <w:tcW w:w="960" w:type="dxa"/>
            <w:vAlign w:val="bottom"/>
          </w:tcPr>
          <w:p>
            <w:pPr>
              <w:jc w:val="right"/>
              <w:ind w:right="294"/>
              <w:spacing w:after="0"/>
              <w:rPr>
                <w:sz w:val="20"/>
                <w:szCs w:val="20"/>
                <w:color w:val="auto"/>
              </w:rPr>
            </w:pPr>
            <w:r>
              <w:rPr>
                <w:rFonts w:ascii="Calibri" w:cs="Calibri" w:eastAsia="Calibri" w:hAnsi="Calibri"/>
                <w:sz w:val="13"/>
                <w:szCs w:val="13"/>
                <w:b w:val="1"/>
                <w:bCs w:val="1"/>
                <w:color w:val="auto"/>
              </w:rPr>
              <w:t>shares</w:t>
            </w:r>
          </w:p>
        </w:tc>
        <w:tc>
          <w:tcPr>
            <w:tcW w:w="740" w:type="dxa"/>
            <w:vAlign w:val="bottom"/>
          </w:tcPr>
          <w:p>
            <w:pPr>
              <w:jc w:val="right"/>
              <w:ind w:right="134"/>
              <w:spacing w:after="0" w:line="155" w:lineRule="exact"/>
              <w:rPr>
                <w:sz w:val="20"/>
                <w:szCs w:val="20"/>
                <w:color w:val="auto"/>
              </w:rPr>
            </w:pPr>
            <w:r>
              <w:rPr>
                <w:rFonts w:ascii="Calibri" w:cs="Calibri" w:eastAsia="Calibri" w:hAnsi="Calibri"/>
                <w:sz w:val="13"/>
                <w:szCs w:val="13"/>
                <w:b w:val="1"/>
                <w:bCs w:val="1"/>
                <w:color w:val="auto"/>
              </w:rPr>
              <w:t>Amount</w:t>
            </w:r>
          </w:p>
        </w:tc>
        <w:tc>
          <w:tcPr>
            <w:tcW w:w="60" w:type="dxa"/>
            <w:vAlign w:val="bottom"/>
          </w:tcPr>
          <w:p>
            <w:pPr>
              <w:spacing w:after="0"/>
              <w:rPr>
                <w:sz w:val="14"/>
                <w:szCs w:val="14"/>
                <w:color w:val="auto"/>
              </w:rPr>
            </w:pPr>
          </w:p>
        </w:tc>
        <w:tc>
          <w:tcPr>
            <w:tcW w:w="900" w:type="dxa"/>
            <w:vAlign w:val="bottom"/>
          </w:tcPr>
          <w:p>
            <w:pPr>
              <w:jc w:val="right"/>
              <w:ind w:right="175"/>
              <w:spacing w:after="0" w:line="155" w:lineRule="exact"/>
              <w:rPr>
                <w:sz w:val="20"/>
                <w:szCs w:val="20"/>
                <w:color w:val="auto"/>
              </w:rPr>
            </w:pPr>
            <w:r>
              <w:rPr>
                <w:rFonts w:ascii="Calibri" w:cs="Calibri" w:eastAsia="Calibri" w:hAnsi="Calibri"/>
                <w:sz w:val="13"/>
                <w:szCs w:val="13"/>
                <w:b w:val="1"/>
                <w:bCs w:val="1"/>
                <w:color w:val="auto"/>
              </w:rPr>
              <w:t>Warrants</w:t>
            </w:r>
          </w:p>
        </w:tc>
        <w:tc>
          <w:tcPr>
            <w:tcW w:w="760" w:type="dxa"/>
            <w:vAlign w:val="bottom"/>
          </w:tcPr>
          <w:p>
            <w:pPr>
              <w:jc w:val="right"/>
              <w:ind w:right="155"/>
              <w:spacing w:after="0" w:line="155" w:lineRule="exact"/>
              <w:rPr>
                <w:sz w:val="20"/>
                <w:szCs w:val="20"/>
                <w:color w:val="auto"/>
              </w:rPr>
            </w:pPr>
            <w:r>
              <w:rPr>
                <w:rFonts w:ascii="Calibri" w:cs="Calibri" w:eastAsia="Calibri" w:hAnsi="Calibri"/>
                <w:sz w:val="13"/>
                <w:szCs w:val="13"/>
                <w:b w:val="1"/>
                <w:bCs w:val="1"/>
                <w:color w:val="auto"/>
              </w:rPr>
              <w:t>Optons</w:t>
            </w:r>
          </w:p>
        </w:tc>
        <w:tc>
          <w:tcPr>
            <w:tcW w:w="800" w:type="dxa"/>
            <w:vAlign w:val="bottom"/>
          </w:tcPr>
          <w:p>
            <w:pPr>
              <w:jc w:val="right"/>
              <w:ind w:right="155"/>
              <w:spacing w:after="0"/>
              <w:rPr>
                <w:sz w:val="20"/>
                <w:szCs w:val="20"/>
                <w:color w:val="auto"/>
              </w:rPr>
            </w:pPr>
            <w:r>
              <w:rPr>
                <w:rFonts w:ascii="Calibri" w:cs="Calibri" w:eastAsia="Calibri" w:hAnsi="Calibri"/>
                <w:sz w:val="13"/>
                <w:szCs w:val="13"/>
                <w:b w:val="1"/>
                <w:bCs w:val="1"/>
                <w:color w:val="auto"/>
              </w:rPr>
              <w:t>surplus</w:t>
            </w:r>
          </w:p>
        </w:tc>
        <w:tc>
          <w:tcPr>
            <w:tcW w:w="80" w:type="dxa"/>
            <w:vAlign w:val="bottom"/>
          </w:tcPr>
          <w:p>
            <w:pPr>
              <w:spacing w:after="0"/>
              <w:rPr>
                <w:sz w:val="14"/>
                <w:szCs w:val="14"/>
                <w:color w:val="auto"/>
              </w:rPr>
            </w:pPr>
          </w:p>
        </w:tc>
        <w:tc>
          <w:tcPr>
            <w:tcW w:w="840" w:type="dxa"/>
            <w:vAlign w:val="bottom"/>
          </w:tcPr>
          <w:p>
            <w:pPr>
              <w:jc w:val="right"/>
              <w:ind w:right="175"/>
              <w:spacing w:after="0" w:line="155" w:lineRule="exact"/>
              <w:rPr>
                <w:sz w:val="20"/>
                <w:szCs w:val="20"/>
                <w:color w:val="auto"/>
              </w:rPr>
            </w:pPr>
            <w:r>
              <w:rPr>
                <w:rFonts w:ascii="Calibri" w:cs="Calibri" w:eastAsia="Calibri" w:hAnsi="Calibri"/>
                <w:sz w:val="13"/>
                <w:szCs w:val="13"/>
                <w:b w:val="1"/>
                <w:bCs w:val="1"/>
                <w:color w:val="auto"/>
              </w:rPr>
              <w:t>Defcit</w:t>
            </w:r>
          </w:p>
        </w:tc>
        <w:tc>
          <w:tcPr>
            <w:tcW w:w="280" w:type="dxa"/>
            <w:vAlign w:val="bottom"/>
          </w:tcPr>
          <w:p>
            <w:pPr>
              <w:spacing w:after="0"/>
              <w:rPr>
                <w:sz w:val="14"/>
                <w:szCs w:val="14"/>
                <w:color w:val="auto"/>
              </w:rPr>
            </w:pPr>
          </w:p>
        </w:tc>
        <w:tc>
          <w:tcPr>
            <w:tcW w:w="108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rPr>
              <w:t>income (loss)</w:t>
            </w:r>
          </w:p>
        </w:tc>
        <w:tc>
          <w:tcPr>
            <w:tcW w:w="280" w:type="dxa"/>
            <w:vAlign w:val="bottom"/>
          </w:tcPr>
          <w:p>
            <w:pPr>
              <w:spacing w:after="0"/>
              <w:rPr>
                <w:sz w:val="14"/>
                <w:szCs w:val="14"/>
                <w:color w:val="auto"/>
              </w:rPr>
            </w:pPr>
          </w:p>
        </w:tc>
        <w:tc>
          <w:tcPr>
            <w:tcW w:w="860" w:type="dxa"/>
            <w:vAlign w:val="bottom"/>
          </w:tcPr>
          <w:p>
            <w:pPr>
              <w:jc w:val="right"/>
              <w:ind w:right="235"/>
              <w:spacing w:after="0" w:line="155" w:lineRule="exact"/>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54"/>
              <w:spacing w:after="0" w:line="158" w:lineRule="exact"/>
              <w:rPr>
                <w:sz w:val="20"/>
                <w:szCs w:val="20"/>
                <w:color w:val="auto"/>
              </w:rPr>
            </w:pPr>
            <w:r>
              <w:rPr>
                <w:rFonts w:ascii="Calibri" w:cs="Calibri" w:eastAsia="Calibri" w:hAnsi="Calibri"/>
                <w:sz w:val="13"/>
                <w:szCs w:val="13"/>
                <w:b w:val="1"/>
                <w:bCs w:val="1"/>
                <w:color w:val="auto"/>
              </w:rPr>
              <w:t>#</w:t>
            </w:r>
          </w:p>
        </w:tc>
        <w:tc>
          <w:tcPr>
            <w:tcW w:w="740" w:type="dxa"/>
            <w:vAlign w:val="bottom"/>
          </w:tcPr>
          <w:p>
            <w:pPr>
              <w:jc w:val="right"/>
              <w:spacing w:after="0" w:line="158" w:lineRule="exact"/>
              <w:rPr>
                <w:sz w:val="20"/>
                <w:szCs w:val="20"/>
                <w:color w:val="auto"/>
              </w:rPr>
            </w:pPr>
            <w:r>
              <w:rPr>
                <w:rFonts w:ascii="Calibri" w:cs="Calibri" w:eastAsia="Calibri" w:hAnsi="Calibri"/>
                <w:sz w:val="13"/>
                <w:szCs w:val="13"/>
                <w:b w:val="1"/>
                <w:bCs w:val="1"/>
                <w:color w:val="auto"/>
              </w:rPr>
              <w:t>$</w:t>
            </w:r>
          </w:p>
        </w:tc>
        <w:tc>
          <w:tcPr>
            <w:tcW w:w="960" w:type="dxa"/>
            <w:vAlign w:val="bottom"/>
            <w:gridSpan w:val="2"/>
          </w:tcPr>
          <w:p>
            <w:pPr>
              <w:jc w:val="right"/>
              <w:ind w:right="35"/>
              <w:spacing w:after="0" w:line="158" w:lineRule="exact"/>
              <w:rPr>
                <w:sz w:val="20"/>
                <w:szCs w:val="20"/>
                <w:color w:val="auto"/>
              </w:rPr>
            </w:pPr>
            <w:r>
              <w:rPr>
                <w:rFonts w:ascii="Calibri" w:cs="Calibri" w:eastAsia="Calibri" w:hAnsi="Calibri"/>
                <w:sz w:val="13"/>
                <w:szCs w:val="13"/>
                <w:b w:val="1"/>
                <w:bCs w:val="1"/>
                <w:color w:val="auto"/>
              </w:rPr>
              <w:t>$</w:t>
            </w:r>
          </w:p>
        </w:tc>
        <w:tc>
          <w:tcPr>
            <w:tcW w:w="760" w:type="dxa"/>
            <w:vAlign w:val="bottom"/>
          </w:tcPr>
          <w:p>
            <w:pPr>
              <w:jc w:val="right"/>
              <w:spacing w:after="0" w:line="158" w:lineRule="exact"/>
              <w:rPr>
                <w:sz w:val="20"/>
                <w:szCs w:val="20"/>
                <w:color w:val="auto"/>
              </w:rPr>
            </w:pPr>
            <w:r>
              <w:rPr>
                <w:rFonts w:ascii="Calibri" w:cs="Calibri" w:eastAsia="Calibri" w:hAnsi="Calibri"/>
                <w:sz w:val="13"/>
                <w:szCs w:val="13"/>
                <w:b w:val="1"/>
                <w:bCs w:val="1"/>
                <w:color w:val="auto"/>
              </w:rPr>
              <w:t>$</w:t>
            </w:r>
          </w:p>
        </w:tc>
        <w:tc>
          <w:tcPr>
            <w:tcW w:w="800" w:type="dxa"/>
            <w:vAlign w:val="bottom"/>
          </w:tcPr>
          <w:p>
            <w:pPr>
              <w:jc w:val="right"/>
              <w:spacing w:after="0" w:line="158" w:lineRule="exact"/>
              <w:rPr>
                <w:sz w:val="20"/>
                <w:szCs w:val="20"/>
                <w:color w:val="auto"/>
              </w:rPr>
            </w:pPr>
            <w:r>
              <w:rPr>
                <w:rFonts w:ascii="Calibri" w:cs="Calibri" w:eastAsia="Calibri" w:hAnsi="Calibri"/>
                <w:sz w:val="13"/>
                <w:szCs w:val="13"/>
                <w:b w:val="1"/>
                <w:bCs w:val="1"/>
                <w:color w:val="auto"/>
              </w:rPr>
              <w:t>$</w:t>
            </w:r>
          </w:p>
        </w:tc>
        <w:tc>
          <w:tcPr>
            <w:tcW w:w="920" w:type="dxa"/>
            <w:vAlign w:val="bottom"/>
            <w:gridSpan w:val="2"/>
          </w:tcPr>
          <w:p>
            <w:pPr>
              <w:jc w:val="right"/>
              <w:spacing w:after="0" w:line="158" w:lineRule="exact"/>
              <w:rPr>
                <w:sz w:val="20"/>
                <w:szCs w:val="20"/>
                <w:color w:val="auto"/>
              </w:rPr>
            </w:pPr>
            <w:r>
              <w:rPr>
                <w:rFonts w:ascii="Calibri" w:cs="Calibri" w:eastAsia="Calibri" w:hAnsi="Calibri"/>
                <w:sz w:val="13"/>
                <w:szCs w:val="13"/>
                <w:b w:val="1"/>
                <w:bCs w:val="1"/>
                <w:color w:val="auto"/>
              </w:rPr>
              <w:t>$</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w:t>
            </w:r>
          </w:p>
        </w:tc>
        <w:tc>
          <w:tcPr>
            <w:tcW w:w="860" w:type="dxa"/>
            <w:vAlign w:val="bottom"/>
          </w:tcPr>
          <w:p>
            <w:pPr>
              <w:jc w:val="right"/>
              <w:spacing w:after="0" w:line="158" w:lineRule="exact"/>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82"/>
        </w:trPr>
        <w:tc>
          <w:tcPr>
            <w:tcW w:w="2940" w:type="dxa"/>
            <w:vAlign w:val="bottom"/>
            <w:tcBorders>
              <w:top w:val="single" w:sz="8" w:color="auto"/>
              <w:bottom w:val="single" w:sz="8" w:color="D9D9D9"/>
            </w:tcBorders>
            <w:shd w:val="clear" w:color="auto" w:fill="D9D9D9"/>
          </w:tcPr>
          <w:p>
            <w:pPr>
              <w:ind w:left="60"/>
              <w:spacing w:after="0" w:line="155" w:lineRule="exact"/>
              <w:rPr>
                <w:sz w:val="20"/>
                <w:szCs w:val="20"/>
                <w:color w:val="auto"/>
              </w:rPr>
            </w:pPr>
            <w:r>
              <w:rPr>
                <w:rFonts w:ascii="Calibri" w:cs="Calibri" w:eastAsia="Calibri" w:hAnsi="Calibri"/>
                <w:sz w:val="13"/>
                <w:szCs w:val="13"/>
                <w:b w:val="1"/>
                <w:bCs w:val="1"/>
                <w:color w:val="auto"/>
              </w:rPr>
              <w:t>Balance at March 31, 2022</w:t>
            </w:r>
          </w:p>
        </w:tc>
        <w:tc>
          <w:tcPr>
            <w:tcW w:w="400" w:type="dxa"/>
            <w:vAlign w:val="bottom"/>
            <w:tcBorders>
              <w:top w:val="single" w:sz="8" w:color="auto"/>
              <w:bottom w:val="single" w:sz="8" w:color="D9D9D9"/>
            </w:tcBorders>
            <w:shd w:val="clear" w:color="auto" w:fill="D9D9D9"/>
          </w:tcPr>
          <w:p>
            <w:pPr>
              <w:spacing w:after="0"/>
              <w:rPr>
                <w:sz w:val="15"/>
                <w:szCs w:val="15"/>
                <w:color w:val="auto"/>
              </w:rPr>
            </w:pPr>
          </w:p>
        </w:tc>
        <w:tc>
          <w:tcPr>
            <w:tcW w:w="60" w:type="dxa"/>
            <w:vAlign w:val="bottom"/>
            <w:tcBorders>
              <w:bottom w:val="single" w:sz="8" w:color="929292"/>
            </w:tcBorders>
          </w:tcPr>
          <w:p>
            <w:pPr>
              <w:spacing w:after="0"/>
              <w:rPr>
                <w:sz w:val="15"/>
                <w:szCs w:val="15"/>
                <w:color w:val="auto"/>
              </w:rPr>
            </w:pPr>
          </w:p>
        </w:tc>
        <w:tc>
          <w:tcPr>
            <w:tcW w:w="960" w:type="dxa"/>
            <w:vAlign w:val="bottom"/>
            <w:tcBorders>
              <w:top w:val="single" w:sz="8" w:color="auto"/>
              <w:bottom w:val="single" w:sz="8" w:color="D9D9D9"/>
            </w:tcBorders>
            <w:shd w:val="clear" w:color="auto" w:fill="D9D9D9"/>
          </w:tcPr>
          <w:p>
            <w:pPr>
              <w:jc w:val="right"/>
              <w:ind w:right="94"/>
              <w:spacing w:after="0" w:line="155" w:lineRule="exact"/>
              <w:rPr>
                <w:sz w:val="20"/>
                <w:szCs w:val="20"/>
                <w:color w:val="auto"/>
              </w:rPr>
            </w:pPr>
            <w:r>
              <w:rPr>
                <w:rFonts w:ascii="Calibri" w:cs="Calibri" w:eastAsia="Calibri" w:hAnsi="Calibri"/>
                <w:sz w:val="13"/>
                <w:szCs w:val="13"/>
                <w:b w:val="1"/>
                <w:bCs w:val="1"/>
                <w:color w:val="auto"/>
              </w:rPr>
              <w:t>175,111,654</w:t>
            </w:r>
          </w:p>
        </w:tc>
        <w:tc>
          <w:tcPr>
            <w:tcW w:w="74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141,451</w:t>
            </w:r>
          </w:p>
        </w:tc>
        <w:tc>
          <w:tcPr>
            <w:tcW w:w="60" w:type="dxa"/>
            <w:vAlign w:val="bottom"/>
            <w:tcBorders>
              <w:top w:val="single" w:sz="8" w:color="auto"/>
              <w:bottom w:val="single" w:sz="8" w:color="929292"/>
            </w:tcBorders>
          </w:tcPr>
          <w:p>
            <w:pPr>
              <w:spacing w:after="0"/>
              <w:rPr>
                <w:sz w:val="15"/>
                <w:szCs w:val="15"/>
                <w:color w:val="auto"/>
              </w:rPr>
            </w:pPr>
          </w:p>
        </w:tc>
        <w:tc>
          <w:tcPr>
            <w:tcW w:w="900" w:type="dxa"/>
            <w:vAlign w:val="bottom"/>
            <w:tcBorders>
              <w:top w:val="single" w:sz="8" w:color="auto"/>
              <w:bottom w:val="single" w:sz="8" w:color="D9D9D9"/>
            </w:tcBorders>
            <w:shd w:val="clear" w:color="auto" w:fill="D9D9D9"/>
          </w:tcPr>
          <w:p>
            <w:pPr>
              <w:jc w:val="right"/>
              <w:ind w:right="75"/>
              <w:spacing w:after="0" w:line="155" w:lineRule="exact"/>
              <w:rPr>
                <w:sz w:val="20"/>
                <w:szCs w:val="20"/>
                <w:color w:val="auto"/>
              </w:rPr>
            </w:pPr>
            <w:r>
              <w:rPr>
                <w:rFonts w:ascii="Calibri" w:cs="Calibri" w:eastAsia="Calibri" w:hAnsi="Calibri"/>
                <w:sz w:val="13"/>
                <w:szCs w:val="13"/>
                <w:b w:val="1"/>
                <w:bCs w:val="1"/>
                <w:color w:val="auto"/>
              </w:rPr>
              <w:t>11,423</w:t>
            </w:r>
          </w:p>
        </w:tc>
        <w:tc>
          <w:tcPr>
            <w:tcW w:w="760" w:type="dxa"/>
            <w:vAlign w:val="bottom"/>
            <w:tcBorders>
              <w:top w:val="single" w:sz="8" w:color="auto"/>
              <w:bottom w:val="single" w:sz="8" w:color="D9D9D9"/>
            </w:tcBorders>
            <w:shd w:val="clear" w:color="auto" w:fill="D9D9D9"/>
          </w:tcPr>
          <w:p>
            <w:pPr>
              <w:jc w:val="right"/>
              <w:ind w:right="35"/>
              <w:spacing w:after="0" w:line="155" w:lineRule="exact"/>
              <w:rPr>
                <w:sz w:val="20"/>
                <w:szCs w:val="20"/>
                <w:color w:val="auto"/>
              </w:rPr>
            </w:pPr>
            <w:r>
              <w:rPr>
                <w:rFonts w:ascii="Calibri" w:cs="Calibri" w:eastAsia="Calibri" w:hAnsi="Calibri"/>
                <w:sz w:val="13"/>
                <w:szCs w:val="13"/>
                <w:b w:val="1"/>
                <w:bCs w:val="1"/>
                <w:color w:val="auto"/>
              </w:rPr>
              <w:t>23,783</w:t>
            </w:r>
          </w:p>
        </w:tc>
        <w:tc>
          <w:tcPr>
            <w:tcW w:w="80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525</w:t>
            </w:r>
          </w:p>
        </w:tc>
        <w:tc>
          <w:tcPr>
            <w:tcW w:w="80" w:type="dxa"/>
            <w:vAlign w:val="bottom"/>
          </w:tcPr>
          <w:p>
            <w:pPr>
              <w:spacing w:after="0"/>
              <w:rPr>
                <w:sz w:val="15"/>
                <w:szCs w:val="15"/>
                <w:color w:val="auto"/>
              </w:rPr>
            </w:pPr>
          </w:p>
        </w:tc>
        <w:tc>
          <w:tcPr>
            <w:tcW w:w="84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(100,661)</w:t>
            </w: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(366)</w:t>
            </w:r>
          </w:p>
        </w:tc>
        <w:tc>
          <w:tcPr>
            <w:tcW w:w="280" w:type="dxa"/>
            <w:vAlign w:val="bottom"/>
            <w:tcBorders>
              <w:top w:val="single" w:sz="8" w:color="auto"/>
              <w:bottom w:val="single" w:sz="8" w:color="929292"/>
            </w:tcBorders>
          </w:tcPr>
          <w:p>
            <w:pPr>
              <w:spacing w:after="0"/>
              <w:rPr>
                <w:sz w:val="15"/>
                <w:szCs w:val="15"/>
                <w:color w:val="auto"/>
              </w:rPr>
            </w:pPr>
          </w:p>
        </w:tc>
        <w:tc>
          <w:tcPr>
            <w:tcW w:w="86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76,155</w:t>
            </w:r>
          </w:p>
        </w:tc>
        <w:tc>
          <w:tcPr>
            <w:tcW w:w="0" w:type="dxa"/>
            <w:vAlign w:val="bottom"/>
          </w:tcPr>
          <w:p>
            <w:pPr>
              <w:spacing w:after="0"/>
              <w:rPr>
                <w:sz w:val="1"/>
                <w:szCs w:val="1"/>
                <w:color w:val="auto"/>
              </w:rPr>
            </w:pPr>
          </w:p>
        </w:tc>
      </w:tr>
      <w:tr>
        <w:trPr>
          <w:trHeight w:val="135"/>
        </w:trPr>
        <w:tc>
          <w:tcPr>
            <w:tcW w:w="2940" w:type="dxa"/>
            <w:vAlign w:val="bottom"/>
          </w:tcPr>
          <w:p>
            <w:pPr>
              <w:ind w:left="60"/>
              <w:spacing w:after="0" w:line="135" w:lineRule="exact"/>
              <w:rPr>
                <w:sz w:val="20"/>
                <w:szCs w:val="20"/>
                <w:color w:val="auto"/>
              </w:rPr>
            </w:pPr>
            <w:r>
              <w:rPr>
                <w:rFonts w:ascii="Calibri" w:cs="Calibri" w:eastAsia="Calibri" w:hAnsi="Calibri"/>
                <w:sz w:val="13"/>
                <w:szCs w:val="13"/>
                <w:color w:val="auto"/>
              </w:rPr>
              <w:t>At-the-market ofering - net of share issuance costs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ind w:right="94"/>
              <w:spacing w:after="0" w:line="135" w:lineRule="exact"/>
              <w:rPr>
                <w:sz w:val="20"/>
                <w:szCs w:val="20"/>
                <w:color w:val="auto"/>
              </w:rPr>
            </w:pPr>
            <w:r>
              <w:rPr>
                <w:rFonts w:ascii="Calibri" w:cs="Calibri" w:eastAsia="Calibri" w:hAnsi="Calibri"/>
                <w:sz w:val="13"/>
                <w:szCs w:val="13"/>
                <w:color w:val="auto"/>
              </w:rPr>
              <w:t>11,258,683</w:t>
            </w:r>
          </w:p>
        </w:tc>
        <w:tc>
          <w:tcPr>
            <w:tcW w:w="740" w:type="dxa"/>
            <w:vAlign w:val="bottom"/>
          </w:tcPr>
          <w:p>
            <w:pPr>
              <w:jc w:val="right"/>
              <w:spacing w:after="0" w:line="135" w:lineRule="exact"/>
              <w:rPr>
                <w:sz w:val="20"/>
                <w:szCs w:val="20"/>
                <w:color w:val="auto"/>
              </w:rPr>
            </w:pPr>
            <w:r>
              <w:rPr>
                <w:rFonts w:ascii="Calibri" w:cs="Calibri" w:eastAsia="Calibri" w:hAnsi="Calibri"/>
                <w:sz w:val="13"/>
                <w:szCs w:val="13"/>
                <w:color w:val="auto"/>
              </w:rPr>
              <w:t>8,057</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Calibri" w:cs="Calibri" w:eastAsia="Calibri" w:hAnsi="Calibri"/>
                <w:sz w:val="13"/>
                <w:szCs w:val="13"/>
                <w:color w:val="auto"/>
              </w:rPr>
              <w:t>8,057</w:t>
            </w:r>
          </w:p>
        </w:tc>
        <w:tc>
          <w:tcPr>
            <w:tcW w:w="0" w:type="dxa"/>
            <w:vAlign w:val="bottom"/>
          </w:tcPr>
          <w:p>
            <w:pPr>
              <w:spacing w:after="0"/>
              <w:rPr>
                <w:sz w:val="1"/>
                <w:szCs w:val="1"/>
                <w:color w:val="auto"/>
              </w:rPr>
            </w:pPr>
          </w:p>
        </w:tc>
      </w:tr>
      <w:tr>
        <w:trPr>
          <w:trHeight w:val="168"/>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Shares issued on Adelia milestones</w:t>
            </w:r>
          </w:p>
        </w:tc>
        <w:tc>
          <w:tcPr>
            <w:tcW w:w="400" w:type="dxa"/>
            <w:vAlign w:val="bottom"/>
          </w:tcPr>
          <w:p>
            <w:pPr>
              <w:spacing w:after="0"/>
              <w:rPr>
                <w:sz w:val="14"/>
                <w:szCs w:val="14"/>
                <w:color w:val="auto"/>
              </w:rPr>
            </w:pPr>
          </w:p>
        </w:tc>
        <w:tc>
          <w:tcPr>
            <w:tcW w:w="1020" w:type="dxa"/>
            <w:vAlign w:val="bottom"/>
            <w:gridSpan w:val="2"/>
          </w:tcPr>
          <w:p>
            <w:pPr>
              <w:jc w:val="right"/>
              <w:ind w:right="94"/>
              <w:spacing w:after="0"/>
              <w:rPr>
                <w:sz w:val="20"/>
                <w:szCs w:val="20"/>
                <w:color w:val="auto"/>
              </w:rPr>
            </w:pPr>
            <w:r>
              <w:rPr>
                <w:rFonts w:ascii="Calibri" w:cs="Calibri" w:eastAsia="Calibri" w:hAnsi="Calibri"/>
                <w:sz w:val="13"/>
                <w:szCs w:val="13"/>
                <w:color w:val="auto"/>
              </w:rPr>
              <w:t>3,603,742</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2,988</w:t>
            </w:r>
          </w:p>
        </w:tc>
        <w:tc>
          <w:tcPr>
            <w:tcW w:w="60" w:type="dxa"/>
            <w:vAlign w:val="bottom"/>
          </w:tcPr>
          <w:p>
            <w:pPr>
              <w:spacing w:after="0"/>
              <w:rPr>
                <w:sz w:val="14"/>
                <w:szCs w:val="14"/>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2,988</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Warrants exercised</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tcPr>
          <w:p>
            <w:pPr>
              <w:jc w:val="right"/>
              <w:ind w:right="94"/>
              <w:spacing w:after="0"/>
              <w:rPr>
                <w:sz w:val="20"/>
                <w:szCs w:val="20"/>
                <w:color w:val="auto"/>
              </w:rPr>
            </w:pPr>
            <w:r>
              <w:rPr>
                <w:rFonts w:ascii="Calibri" w:cs="Calibri" w:eastAsia="Calibri" w:hAnsi="Calibri"/>
                <w:sz w:val="13"/>
                <w:szCs w:val="13"/>
                <w:color w:val="auto"/>
              </w:rPr>
              <w:t>1,164,638</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527</w:t>
            </w:r>
          </w:p>
        </w:tc>
        <w:tc>
          <w:tcPr>
            <w:tcW w:w="960" w:type="dxa"/>
            <w:vAlign w:val="bottom"/>
            <w:gridSpan w:val="2"/>
          </w:tcPr>
          <w:p>
            <w:pPr>
              <w:jc w:val="right"/>
              <w:ind w:right="75"/>
              <w:spacing w:after="0"/>
              <w:rPr>
                <w:sz w:val="20"/>
                <w:szCs w:val="20"/>
                <w:color w:val="auto"/>
              </w:rPr>
            </w:pPr>
            <w:r>
              <w:rPr>
                <w:rFonts w:ascii="Calibri" w:cs="Calibri" w:eastAsia="Calibri" w:hAnsi="Calibri"/>
                <w:sz w:val="13"/>
                <w:szCs w:val="13"/>
                <w:color w:val="auto"/>
              </w:rPr>
              <w:t>(165)</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362</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Optons forfeited</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(1,180)</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1,180</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Warrants forfeited</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ind w:right="75"/>
              <w:spacing w:after="0"/>
              <w:rPr>
                <w:sz w:val="20"/>
                <w:szCs w:val="20"/>
                <w:color w:val="auto"/>
              </w:rPr>
            </w:pPr>
            <w:r>
              <w:rPr>
                <w:rFonts w:ascii="Calibri" w:cs="Calibri" w:eastAsia="Calibri" w:hAnsi="Calibri"/>
                <w:sz w:val="13"/>
                <w:szCs w:val="13"/>
                <w:color w:val="auto"/>
              </w:rPr>
              <w:t>(397)</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397</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Finders' warrants</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(6)</w:t>
            </w:r>
          </w:p>
        </w:tc>
        <w:tc>
          <w:tcPr>
            <w:tcW w:w="960" w:type="dxa"/>
            <w:vAlign w:val="bottom"/>
            <w:gridSpan w:val="2"/>
          </w:tcPr>
          <w:p>
            <w:pPr>
              <w:jc w:val="right"/>
              <w:ind w:right="75"/>
              <w:spacing w:after="0"/>
              <w:rPr>
                <w:sz w:val="20"/>
                <w:szCs w:val="20"/>
                <w:color w:val="auto"/>
              </w:rPr>
            </w:pPr>
            <w:r>
              <w:rPr>
                <w:rFonts w:ascii="Calibri" w:cs="Calibri" w:eastAsia="Calibri" w:hAnsi="Calibri"/>
                <w:sz w:val="13"/>
                <w:szCs w:val="13"/>
                <w:color w:val="auto"/>
              </w:rPr>
              <w:t>6</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ind w:right="75"/>
              <w:spacing w:after="0"/>
              <w:rPr>
                <w:sz w:val="20"/>
                <w:szCs w:val="20"/>
                <w:color w:val="auto"/>
              </w:rPr>
            </w:pPr>
            <w:r>
              <w:rPr>
                <w:rFonts w:ascii="Calibri" w:cs="Calibri" w:eastAsia="Calibri" w:hAnsi="Calibri"/>
                <w:sz w:val="13"/>
                <w:szCs w:val="13"/>
                <w:color w:val="auto"/>
              </w:rPr>
              <w:t>6</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4,199</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4,205</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Unrealized gain on translaton of foreign operatons</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(1,672)</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(1,672)</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Net loss for the period</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spacing w:after="0"/>
              <w:rPr>
                <w:sz w:val="20"/>
                <w:szCs w:val="20"/>
                <w:color w:val="auto"/>
              </w:rPr>
            </w:pPr>
            <w:r>
              <w:rPr>
                <w:rFonts w:ascii="Calibri" w:cs="Calibri" w:eastAsia="Calibri" w:hAnsi="Calibri"/>
                <w:sz w:val="13"/>
                <w:szCs w:val="13"/>
                <w:color w:val="auto"/>
              </w:rPr>
              <w:t>(33,770)</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(33,770)</w:t>
            </w:r>
          </w:p>
        </w:tc>
        <w:tc>
          <w:tcPr>
            <w:tcW w:w="0" w:type="dxa"/>
            <w:vAlign w:val="bottom"/>
          </w:tcPr>
          <w:p>
            <w:pPr>
              <w:spacing w:after="0"/>
              <w:rPr>
                <w:sz w:val="1"/>
                <w:szCs w:val="1"/>
                <w:color w:val="auto"/>
              </w:rPr>
            </w:pPr>
          </w:p>
        </w:tc>
      </w:tr>
      <w:tr>
        <w:trPr>
          <w:trHeight w:val="41"/>
        </w:trPr>
        <w:tc>
          <w:tcPr>
            <w:tcW w:w="2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94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at December 31, 2022</w:t>
            </w:r>
          </w:p>
        </w:tc>
        <w:tc>
          <w:tcPr>
            <w:tcW w:w="400" w:type="dxa"/>
            <w:vAlign w:val="bottom"/>
            <w:tcBorders>
              <w:bottom w:val="single" w:sz="8" w:color="D9D9D9"/>
            </w:tcBorders>
            <w:shd w:val="clear" w:color="auto" w:fill="D9D9D9"/>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bottom w:val="single" w:sz="8" w:color="D9D9D9"/>
            </w:tcBorders>
            <w:shd w:val="clear" w:color="auto" w:fill="D9D9D9"/>
          </w:tcPr>
          <w:p>
            <w:pPr>
              <w:jc w:val="right"/>
              <w:ind w:right="94"/>
              <w:spacing w:after="0" w:line="147" w:lineRule="exact"/>
              <w:rPr>
                <w:sz w:val="20"/>
                <w:szCs w:val="20"/>
                <w:color w:val="auto"/>
              </w:rPr>
            </w:pPr>
            <w:r>
              <w:rPr>
                <w:rFonts w:ascii="Calibri" w:cs="Calibri" w:eastAsia="Calibri" w:hAnsi="Calibri"/>
                <w:sz w:val="13"/>
                <w:szCs w:val="13"/>
                <w:b w:val="1"/>
                <w:bCs w:val="1"/>
                <w:color w:val="auto"/>
              </w:rPr>
              <w:t>191,138,717</w:t>
            </w:r>
          </w:p>
        </w:tc>
        <w:tc>
          <w:tcPr>
            <w:tcW w:w="7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153,017</w:t>
            </w:r>
          </w:p>
        </w:tc>
        <w:tc>
          <w:tcPr>
            <w:tcW w:w="60" w:type="dxa"/>
            <w:vAlign w:val="bottom"/>
          </w:tcPr>
          <w:p>
            <w:pPr>
              <w:spacing w:after="0"/>
              <w:rPr>
                <w:sz w:val="15"/>
                <w:szCs w:val="15"/>
                <w:color w:val="auto"/>
              </w:rPr>
            </w:pPr>
          </w:p>
        </w:tc>
        <w:tc>
          <w:tcPr>
            <w:tcW w:w="900" w:type="dxa"/>
            <w:vAlign w:val="bottom"/>
            <w:tcBorders>
              <w:bottom w:val="single" w:sz="8" w:color="D9D9D9"/>
            </w:tcBorders>
            <w:shd w:val="clear" w:color="auto" w:fill="D9D9D9"/>
          </w:tcPr>
          <w:p>
            <w:pPr>
              <w:jc w:val="right"/>
              <w:ind w:right="75"/>
              <w:spacing w:after="0" w:line="147" w:lineRule="exact"/>
              <w:rPr>
                <w:sz w:val="20"/>
                <w:szCs w:val="20"/>
                <w:color w:val="auto"/>
              </w:rPr>
            </w:pPr>
            <w:r>
              <w:rPr>
                <w:rFonts w:ascii="Calibri" w:cs="Calibri" w:eastAsia="Calibri" w:hAnsi="Calibri"/>
                <w:sz w:val="13"/>
                <w:szCs w:val="13"/>
                <w:b w:val="1"/>
                <w:bCs w:val="1"/>
                <w:color w:val="auto"/>
              </w:rPr>
              <w:t>10,873</w:t>
            </w:r>
          </w:p>
        </w:tc>
        <w:tc>
          <w:tcPr>
            <w:tcW w:w="760" w:type="dxa"/>
            <w:vAlign w:val="bottom"/>
            <w:tcBorders>
              <w:bottom w:val="single" w:sz="8" w:color="D9D9D9"/>
            </w:tcBorders>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26,802</w:t>
            </w:r>
          </w:p>
        </w:tc>
        <w:tc>
          <w:tcPr>
            <w:tcW w:w="8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2,102</w:t>
            </w:r>
          </w:p>
        </w:tc>
        <w:tc>
          <w:tcPr>
            <w:tcW w:w="80" w:type="dxa"/>
            <w:vAlign w:val="bottom"/>
          </w:tcPr>
          <w:p>
            <w:pPr>
              <w:spacing w:after="0"/>
              <w:rPr>
                <w:sz w:val="15"/>
                <w:szCs w:val="15"/>
                <w:color w:val="auto"/>
              </w:rPr>
            </w:pPr>
          </w:p>
        </w:tc>
        <w:tc>
          <w:tcPr>
            <w:tcW w:w="8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(134,431)</w:t>
            </w:r>
          </w:p>
        </w:tc>
        <w:tc>
          <w:tcPr>
            <w:tcW w:w="280" w:type="dxa"/>
            <w:vAlign w:val="bottom"/>
            <w:tcBorders>
              <w:bottom w:val="single" w:sz="8" w:color="D9D9D9"/>
            </w:tcBorders>
            <w:shd w:val="clear" w:color="auto" w:fill="D9D9D9"/>
          </w:tcPr>
          <w:p>
            <w:pPr>
              <w:spacing w:after="0"/>
              <w:rPr>
                <w:sz w:val="15"/>
                <w:szCs w:val="15"/>
                <w:color w:val="auto"/>
              </w:rPr>
            </w:pPr>
          </w:p>
        </w:tc>
        <w:tc>
          <w:tcPr>
            <w:tcW w:w="108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(2,038)</w:t>
            </w:r>
          </w:p>
        </w:tc>
        <w:tc>
          <w:tcPr>
            <w:tcW w:w="280" w:type="dxa"/>
            <w:vAlign w:val="bottom"/>
          </w:tcPr>
          <w:p>
            <w:pPr>
              <w:spacing w:after="0"/>
              <w:rPr>
                <w:sz w:val="15"/>
                <w:szCs w:val="15"/>
                <w:color w:val="auto"/>
              </w:rPr>
            </w:pPr>
          </w:p>
        </w:tc>
        <w:tc>
          <w:tcPr>
            <w:tcW w:w="86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56,325</w:t>
            </w:r>
          </w:p>
        </w:tc>
        <w:tc>
          <w:tcPr>
            <w:tcW w:w="0" w:type="dxa"/>
            <w:vAlign w:val="bottom"/>
          </w:tcPr>
          <w:p>
            <w:pPr>
              <w:spacing w:after="0"/>
              <w:rPr>
                <w:sz w:val="1"/>
                <w:szCs w:val="1"/>
                <w:color w:val="auto"/>
              </w:rPr>
            </w:pPr>
          </w:p>
        </w:tc>
      </w:tr>
      <w:tr>
        <w:trPr>
          <w:trHeight w:val="29"/>
        </w:trPr>
        <w:tc>
          <w:tcPr>
            <w:tcW w:w="29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94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at March 31, 2023</w:t>
            </w:r>
          </w:p>
        </w:tc>
        <w:tc>
          <w:tcPr>
            <w:tcW w:w="400" w:type="dxa"/>
            <w:vAlign w:val="bottom"/>
            <w:tcBorders>
              <w:bottom w:val="single" w:sz="8" w:color="D9D9D9"/>
            </w:tcBorders>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bottom w:val="single" w:sz="8" w:color="D9D9D9"/>
            </w:tcBorders>
            <w:shd w:val="clear" w:color="auto" w:fill="D9D9D9"/>
          </w:tcPr>
          <w:p>
            <w:pPr>
              <w:jc w:val="right"/>
              <w:ind w:right="94"/>
              <w:spacing w:after="0" w:line="147" w:lineRule="exact"/>
              <w:rPr>
                <w:sz w:val="20"/>
                <w:szCs w:val="20"/>
                <w:color w:val="auto"/>
              </w:rPr>
            </w:pPr>
            <w:r>
              <w:rPr>
                <w:rFonts w:ascii="Calibri" w:cs="Calibri" w:eastAsia="Calibri" w:hAnsi="Calibri"/>
                <w:sz w:val="13"/>
                <w:szCs w:val="13"/>
                <w:b w:val="1"/>
                <w:bCs w:val="1"/>
                <w:color w:val="auto"/>
              </w:rPr>
              <w:t>200,634,154</w:t>
            </w:r>
          </w:p>
        </w:tc>
        <w:tc>
          <w:tcPr>
            <w:tcW w:w="7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158,162</w:t>
            </w:r>
          </w:p>
        </w:tc>
        <w:tc>
          <w:tcPr>
            <w:tcW w:w="60" w:type="dxa"/>
            <w:vAlign w:val="bottom"/>
          </w:tcPr>
          <w:p>
            <w:pPr>
              <w:spacing w:after="0"/>
              <w:rPr>
                <w:sz w:val="13"/>
                <w:szCs w:val="13"/>
                <w:color w:val="auto"/>
              </w:rPr>
            </w:pPr>
          </w:p>
        </w:tc>
        <w:tc>
          <w:tcPr>
            <w:tcW w:w="900" w:type="dxa"/>
            <w:vAlign w:val="bottom"/>
            <w:tcBorders>
              <w:bottom w:val="single" w:sz="8" w:color="D9D9D9"/>
            </w:tcBorders>
            <w:shd w:val="clear" w:color="auto" w:fill="D9D9D9"/>
          </w:tcPr>
          <w:p>
            <w:pPr>
              <w:jc w:val="right"/>
              <w:ind w:right="75"/>
              <w:spacing w:after="0" w:line="147" w:lineRule="exact"/>
              <w:rPr>
                <w:sz w:val="20"/>
                <w:szCs w:val="20"/>
                <w:color w:val="auto"/>
              </w:rPr>
            </w:pPr>
            <w:r>
              <w:rPr>
                <w:rFonts w:ascii="Calibri" w:cs="Calibri" w:eastAsia="Calibri" w:hAnsi="Calibri"/>
                <w:sz w:val="13"/>
                <w:szCs w:val="13"/>
                <w:b w:val="1"/>
                <w:bCs w:val="1"/>
                <w:color w:val="auto"/>
              </w:rPr>
              <w:t>10,873</w:t>
            </w:r>
          </w:p>
        </w:tc>
        <w:tc>
          <w:tcPr>
            <w:tcW w:w="760" w:type="dxa"/>
            <w:vAlign w:val="bottom"/>
            <w:tcBorders>
              <w:bottom w:val="single" w:sz="8" w:color="D9D9D9"/>
            </w:tcBorders>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27,283</w:t>
            </w:r>
          </w:p>
        </w:tc>
        <w:tc>
          <w:tcPr>
            <w:tcW w:w="8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2,102</w:t>
            </w:r>
          </w:p>
        </w:tc>
        <w:tc>
          <w:tcPr>
            <w:tcW w:w="80" w:type="dxa"/>
            <w:vAlign w:val="bottom"/>
          </w:tcPr>
          <w:p>
            <w:pPr>
              <w:spacing w:after="0"/>
              <w:rPr>
                <w:sz w:val="13"/>
                <w:szCs w:val="13"/>
                <w:color w:val="auto"/>
              </w:rPr>
            </w:pPr>
          </w:p>
        </w:tc>
        <w:tc>
          <w:tcPr>
            <w:tcW w:w="8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(148,151)</w:t>
            </w:r>
          </w:p>
        </w:tc>
        <w:tc>
          <w:tcPr>
            <w:tcW w:w="280" w:type="dxa"/>
            <w:vAlign w:val="bottom"/>
          </w:tcPr>
          <w:p>
            <w:pPr>
              <w:spacing w:after="0"/>
              <w:rPr>
                <w:sz w:val="13"/>
                <w:szCs w:val="13"/>
                <w:color w:val="auto"/>
              </w:rPr>
            </w:pPr>
          </w:p>
        </w:tc>
        <w:tc>
          <w:tcPr>
            <w:tcW w:w="108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(2,035)</w:t>
            </w:r>
          </w:p>
        </w:tc>
        <w:tc>
          <w:tcPr>
            <w:tcW w:w="280" w:type="dxa"/>
            <w:vAlign w:val="bottom"/>
          </w:tcPr>
          <w:p>
            <w:pPr>
              <w:spacing w:after="0"/>
              <w:rPr>
                <w:sz w:val="13"/>
                <w:szCs w:val="13"/>
                <w:color w:val="auto"/>
              </w:rPr>
            </w:pPr>
          </w:p>
        </w:tc>
        <w:tc>
          <w:tcPr>
            <w:tcW w:w="86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48,234</w:t>
            </w:r>
          </w:p>
        </w:tc>
        <w:tc>
          <w:tcPr>
            <w:tcW w:w="0" w:type="dxa"/>
            <w:vAlign w:val="bottom"/>
          </w:tcPr>
          <w:p>
            <w:pPr>
              <w:spacing w:after="0"/>
              <w:rPr>
                <w:sz w:val="1"/>
                <w:szCs w:val="1"/>
                <w:color w:val="auto"/>
              </w:rPr>
            </w:pPr>
          </w:p>
        </w:tc>
      </w:tr>
      <w:tr>
        <w:trPr>
          <w:trHeight w:val="202"/>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 issuance net of share issuance costs</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tcPr>
          <w:p>
            <w:pPr>
              <w:jc w:val="right"/>
              <w:ind w:right="54"/>
              <w:spacing w:after="0"/>
              <w:rPr>
                <w:sz w:val="20"/>
                <w:szCs w:val="20"/>
                <w:color w:val="auto"/>
              </w:rPr>
            </w:pPr>
            <w:r>
              <w:rPr>
                <w:rFonts w:ascii="Calibri" w:cs="Calibri" w:eastAsia="Calibri" w:hAnsi="Calibri"/>
                <w:sz w:val="13"/>
                <w:szCs w:val="13"/>
                <w:color w:val="auto"/>
              </w:rPr>
              <w:t>90,931,373</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26,121</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22,442</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48,563</w:t>
            </w:r>
          </w:p>
        </w:tc>
        <w:tc>
          <w:tcPr>
            <w:tcW w:w="0" w:type="dxa"/>
            <w:vAlign w:val="bottom"/>
          </w:tcPr>
          <w:p>
            <w:pPr>
              <w:spacing w:after="0"/>
              <w:rPr>
                <w:sz w:val="1"/>
                <w:szCs w:val="1"/>
                <w:color w:val="auto"/>
              </w:rPr>
            </w:pPr>
          </w:p>
        </w:tc>
      </w:tr>
      <w:tr>
        <w:trPr>
          <w:trHeight w:val="243"/>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 issuance on business acquisiton</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3</w:t>
            </w:r>
          </w:p>
        </w:tc>
        <w:tc>
          <w:tcPr>
            <w:tcW w:w="1020" w:type="dxa"/>
            <w:vAlign w:val="bottom"/>
            <w:gridSpan w:val="2"/>
          </w:tcPr>
          <w:p>
            <w:pPr>
              <w:jc w:val="right"/>
              <w:ind w:right="54"/>
              <w:spacing w:after="0"/>
              <w:rPr>
                <w:sz w:val="20"/>
                <w:szCs w:val="20"/>
                <w:color w:val="auto"/>
              </w:rPr>
            </w:pPr>
            <w:r>
              <w:rPr>
                <w:rFonts w:ascii="Calibri" w:cs="Calibri" w:eastAsia="Calibri" w:hAnsi="Calibri"/>
                <w:sz w:val="13"/>
                <w:szCs w:val="13"/>
                <w:color w:val="auto"/>
              </w:rPr>
              <w:t>80,945,254</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51,805</w:t>
            </w:r>
          </w:p>
        </w:tc>
        <w:tc>
          <w:tcPr>
            <w:tcW w:w="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51,805</w:t>
            </w:r>
          </w:p>
        </w:tc>
        <w:tc>
          <w:tcPr>
            <w:tcW w:w="0" w:type="dxa"/>
            <w:vAlign w:val="bottom"/>
          </w:tcPr>
          <w:p>
            <w:pPr>
              <w:spacing w:after="0"/>
              <w:rPr>
                <w:sz w:val="1"/>
                <w:szCs w:val="1"/>
                <w:color w:val="auto"/>
              </w:rPr>
            </w:pPr>
          </w:p>
        </w:tc>
      </w:tr>
      <w:tr>
        <w:trPr>
          <w:trHeight w:val="243"/>
        </w:trPr>
        <w:tc>
          <w:tcPr>
            <w:tcW w:w="2940" w:type="dxa"/>
            <w:vAlign w:val="bottom"/>
          </w:tcPr>
          <w:p>
            <w:pPr>
              <w:ind w:left="60"/>
              <w:spacing w:after="0"/>
              <w:rPr>
                <w:sz w:val="20"/>
                <w:szCs w:val="20"/>
                <w:color w:val="auto"/>
              </w:rPr>
            </w:pPr>
            <w:r>
              <w:rPr>
                <w:rFonts w:ascii="Calibri" w:cs="Calibri" w:eastAsia="Calibri" w:hAnsi="Calibri"/>
                <w:sz w:val="13"/>
                <w:szCs w:val="13"/>
                <w:color w:val="auto"/>
              </w:rPr>
              <w:t>At-the-market ofering - net of share issuance costs</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tcPr>
          <w:p>
            <w:pPr>
              <w:jc w:val="right"/>
              <w:ind w:right="54"/>
              <w:spacing w:after="0"/>
              <w:rPr>
                <w:sz w:val="20"/>
                <w:szCs w:val="20"/>
                <w:color w:val="auto"/>
              </w:rPr>
            </w:pPr>
            <w:r>
              <w:rPr>
                <w:rFonts w:ascii="Calibri" w:cs="Calibri" w:eastAsia="Calibri" w:hAnsi="Calibri"/>
                <w:sz w:val="13"/>
                <w:szCs w:val="13"/>
                <w:color w:val="auto"/>
              </w:rPr>
              <w:t>34,140,507</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14,849</w:t>
            </w:r>
          </w:p>
        </w:tc>
        <w:tc>
          <w:tcPr>
            <w:tcW w:w="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14,849</w:t>
            </w:r>
          </w:p>
        </w:tc>
        <w:tc>
          <w:tcPr>
            <w:tcW w:w="0" w:type="dxa"/>
            <w:vAlign w:val="bottom"/>
          </w:tcPr>
          <w:p>
            <w:pPr>
              <w:spacing w:after="0"/>
              <w:rPr>
                <w:sz w:val="1"/>
                <w:szCs w:val="1"/>
                <w:color w:val="auto"/>
              </w:rPr>
            </w:pPr>
          </w:p>
        </w:tc>
      </w:tr>
      <w:tr>
        <w:trPr>
          <w:trHeight w:val="160"/>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Shares issued through LPC purchase agreement - net</w:t>
            </w:r>
          </w:p>
        </w:tc>
        <w:tc>
          <w:tcPr>
            <w:tcW w:w="400" w:type="dxa"/>
            <w:vAlign w:val="bottom"/>
            <w:vMerge w:val="restart"/>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vMerge w:val="restart"/>
          </w:tcPr>
          <w:p>
            <w:pPr>
              <w:jc w:val="right"/>
              <w:ind w:right="54"/>
              <w:spacing w:after="0"/>
              <w:rPr>
                <w:sz w:val="20"/>
                <w:szCs w:val="20"/>
                <w:color w:val="auto"/>
              </w:rPr>
            </w:pPr>
            <w:r>
              <w:rPr>
                <w:rFonts w:ascii="Calibri" w:cs="Calibri" w:eastAsia="Calibri" w:hAnsi="Calibri"/>
                <w:sz w:val="13"/>
                <w:szCs w:val="13"/>
                <w:color w:val="auto"/>
              </w:rPr>
              <w:t>1,925,000</w:t>
            </w:r>
          </w:p>
        </w:tc>
        <w:tc>
          <w:tcPr>
            <w:tcW w:w="740" w:type="dxa"/>
            <w:vAlign w:val="bottom"/>
            <w:vMerge w:val="restart"/>
          </w:tcPr>
          <w:p>
            <w:pPr>
              <w:jc w:val="right"/>
              <w:spacing w:after="0"/>
              <w:rPr>
                <w:sz w:val="20"/>
                <w:szCs w:val="20"/>
                <w:color w:val="auto"/>
              </w:rPr>
            </w:pPr>
            <w:r>
              <w:rPr>
                <w:rFonts w:ascii="Calibri" w:cs="Calibri" w:eastAsia="Calibri" w:hAnsi="Calibri"/>
                <w:sz w:val="13"/>
                <w:szCs w:val="13"/>
                <w:color w:val="auto"/>
              </w:rPr>
              <w:t>234</w:t>
            </w:r>
          </w:p>
        </w:tc>
        <w:tc>
          <w:tcPr>
            <w:tcW w:w="60" w:type="dxa"/>
            <w:vAlign w:val="bottom"/>
          </w:tcPr>
          <w:p>
            <w:pPr>
              <w:spacing w:after="0"/>
              <w:rPr>
                <w:sz w:val="13"/>
                <w:szCs w:val="13"/>
                <w:color w:val="auto"/>
              </w:rPr>
            </w:pPr>
          </w:p>
        </w:tc>
        <w:tc>
          <w:tcPr>
            <w:tcW w:w="900" w:type="dxa"/>
            <w:vAlign w:val="bottom"/>
            <w:vMerge w:val="restart"/>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Calibri" w:cs="Calibri" w:eastAsia="Calibri" w:hAnsi="Calibri"/>
                <w:sz w:val="13"/>
                <w:szCs w:val="13"/>
                <w:color w:val="auto"/>
              </w:rPr>
              <w:t>234</w:t>
            </w:r>
          </w:p>
        </w:tc>
        <w:tc>
          <w:tcPr>
            <w:tcW w:w="0" w:type="dxa"/>
            <w:vAlign w:val="bottom"/>
          </w:tcPr>
          <w:p>
            <w:pPr>
              <w:spacing w:after="0"/>
              <w:rPr>
                <w:sz w:val="1"/>
                <w:szCs w:val="1"/>
                <w:color w:val="auto"/>
              </w:rPr>
            </w:pPr>
          </w:p>
        </w:tc>
      </w:tr>
      <w:tr>
        <w:trPr>
          <w:trHeight w:val="82"/>
        </w:trPr>
        <w:tc>
          <w:tcPr>
            <w:tcW w:w="2940" w:type="dxa"/>
            <w:vAlign w:val="bottom"/>
            <w:vMerge w:val="restart"/>
          </w:tcPr>
          <w:p>
            <w:pPr>
              <w:ind w:left="60"/>
              <w:spacing w:after="0" w:line="155" w:lineRule="exact"/>
              <w:rPr>
                <w:sz w:val="20"/>
                <w:szCs w:val="20"/>
                <w:color w:val="auto"/>
              </w:rPr>
            </w:pPr>
            <w:r>
              <w:rPr>
                <w:rFonts w:ascii="Calibri" w:cs="Calibri" w:eastAsia="Calibri" w:hAnsi="Calibri"/>
                <w:sz w:val="13"/>
                <w:szCs w:val="13"/>
                <w:color w:val="auto"/>
              </w:rPr>
              <w:t>of share issuance costs</w:t>
            </w:r>
          </w:p>
        </w:tc>
        <w:tc>
          <w:tcPr>
            <w:tcW w:w="4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9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40" w:type="dxa"/>
            <w:vAlign w:val="bottom"/>
          </w:tcPr>
          <w:p>
            <w:pPr>
              <w:ind w:left="60"/>
              <w:spacing w:after="0" w:line="149" w:lineRule="exact"/>
              <w:rPr>
                <w:sz w:val="20"/>
                <w:szCs w:val="20"/>
                <w:color w:val="auto"/>
              </w:rPr>
            </w:pPr>
            <w:r>
              <w:rPr>
                <w:rFonts w:ascii="Calibri" w:cs="Calibri" w:eastAsia="Calibri" w:hAnsi="Calibri"/>
                <w:sz w:val="13"/>
                <w:szCs w:val="13"/>
                <w:color w:val="auto"/>
              </w:rPr>
              <w:t>Issuance of common shares as commitment fee for</w:t>
            </w:r>
          </w:p>
        </w:tc>
        <w:tc>
          <w:tcPr>
            <w:tcW w:w="400" w:type="dxa"/>
            <w:vAlign w:val="bottom"/>
            <w:vMerge w:val="restart"/>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vMerge w:val="restart"/>
          </w:tcPr>
          <w:p>
            <w:pPr>
              <w:jc w:val="right"/>
              <w:ind w:right="54"/>
              <w:spacing w:after="0"/>
              <w:rPr>
                <w:sz w:val="20"/>
                <w:szCs w:val="20"/>
                <w:color w:val="auto"/>
              </w:rPr>
            </w:pPr>
            <w:r>
              <w:rPr>
                <w:rFonts w:ascii="Calibri" w:cs="Calibri" w:eastAsia="Calibri" w:hAnsi="Calibri"/>
                <w:sz w:val="13"/>
                <w:szCs w:val="13"/>
                <w:color w:val="auto"/>
              </w:rPr>
              <w:t>2,538,844</w:t>
            </w:r>
          </w:p>
        </w:tc>
        <w:tc>
          <w:tcPr>
            <w:tcW w:w="7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2"/>
                <w:szCs w:val="12"/>
                <w:color w:val="auto"/>
              </w:rPr>
            </w:pPr>
          </w:p>
        </w:tc>
        <w:tc>
          <w:tcPr>
            <w:tcW w:w="900" w:type="dxa"/>
            <w:vAlign w:val="bottom"/>
            <w:vMerge w:val="restart"/>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82"/>
        </w:trPr>
        <w:tc>
          <w:tcPr>
            <w:tcW w:w="2940" w:type="dxa"/>
            <w:vAlign w:val="bottom"/>
            <w:vMerge w:val="restart"/>
          </w:tcPr>
          <w:p>
            <w:pPr>
              <w:ind w:left="60"/>
              <w:spacing w:after="0" w:line="155" w:lineRule="exact"/>
              <w:rPr>
                <w:sz w:val="20"/>
                <w:szCs w:val="20"/>
                <w:color w:val="auto"/>
              </w:rPr>
            </w:pPr>
            <w:r>
              <w:rPr>
                <w:rFonts w:ascii="Calibri" w:cs="Calibri" w:eastAsia="Calibri" w:hAnsi="Calibri"/>
                <w:sz w:val="13"/>
                <w:szCs w:val="13"/>
                <w:color w:val="auto"/>
              </w:rPr>
              <w:t>fnancing</w:t>
            </w:r>
          </w:p>
        </w:tc>
        <w:tc>
          <w:tcPr>
            <w:tcW w:w="4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9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940" w:type="dxa"/>
            <w:vAlign w:val="bottom"/>
          </w:tcPr>
          <w:p>
            <w:pPr>
              <w:ind w:left="60"/>
              <w:spacing w:after="0"/>
              <w:rPr>
                <w:sz w:val="20"/>
                <w:szCs w:val="20"/>
                <w:color w:val="auto"/>
              </w:rPr>
            </w:pPr>
            <w:r>
              <w:rPr>
                <w:rFonts w:ascii="Calibri" w:cs="Calibri" w:eastAsia="Calibri" w:hAnsi="Calibri"/>
                <w:sz w:val="13"/>
                <w:szCs w:val="13"/>
                <w:color w:val="auto"/>
              </w:rPr>
              <w:t>Optons expired</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Calibri" w:cs="Calibri" w:eastAsia="Calibri" w:hAnsi="Calibri"/>
                <w:sz w:val="16"/>
                <w:szCs w:val="16"/>
                <w:color w:val="auto"/>
              </w:rPr>
              <w:t>—</w:t>
            </w:r>
          </w:p>
        </w:tc>
        <w:tc>
          <w:tcPr>
            <w:tcW w:w="7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(978)</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978</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22"/>
        </w:trPr>
        <w:tc>
          <w:tcPr>
            <w:tcW w:w="2940" w:type="dxa"/>
            <w:vAlign w:val="bottom"/>
          </w:tcPr>
          <w:p>
            <w:pPr>
              <w:ind w:left="60"/>
              <w:spacing w:after="0"/>
              <w:rPr>
                <w:sz w:val="20"/>
                <w:szCs w:val="20"/>
                <w:color w:val="auto"/>
              </w:rPr>
            </w:pPr>
            <w:r>
              <w:rPr>
                <w:rFonts w:ascii="Calibri" w:cs="Calibri" w:eastAsia="Calibri" w:hAnsi="Calibri"/>
                <w:sz w:val="13"/>
                <w:szCs w:val="13"/>
                <w:color w:val="auto"/>
              </w:rPr>
              <w:t>Warrants exercised</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tcPr>
          <w:p>
            <w:pPr>
              <w:jc w:val="right"/>
              <w:ind w:right="54"/>
              <w:spacing w:after="0"/>
              <w:rPr>
                <w:sz w:val="20"/>
                <w:szCs w:val="20"/>
                <w:color w:val="auto"/>
              </w:rPr>
            </w:pPr>
            <w:r>
              <w:rPr>
                <w:rFonts w:ascii="Calibri" w:cs="Calibri" w:eastAsia="Calibri" w:hAnsi="Calibri"/>
                <w:sz w:val="13"/>
                <w:szCs w:val="13"/>
                <w:color w:val="auto"/>
              </w:rPr>
              <w:t>101,000</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76</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(20)</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56</w:t>
            </w:r>
          </w:p>
        </w:tc>
        <w:tc>
          <w:tcPr>
            <w:tcW w:w="0" w:type="dxa"/>
            <w:vAlign w:val="bottom"/>
          </w:tcPr>
          <w:p>
            <w:pPr>
              <w:spacing w:after="0"/>
              <w:rPr>
                <w:sz w:val="1"/>
                <w:szCs w:val="1"/>
                <w:color w:val="auto"/>
              </w:rPr>
            </w:pPr>
          </w:p>
        </w:tc>
      </w:tr>
      <w:tr>
        <w:trPr>
          <w:trHeight w:val="263"/>
        </w:trPr>
        <w:tc>
          <w:tcPr>
            <w:tcW w:w="2940" w:type="dxa"/>
            <w:vAlign w:val="bottom"/>
          </w:tcPr>
          <w:p>
            <w:pPr>
              <w:ind w:left="60"/>
              <w:spacing w:after="0"/>
              <w:rPr>
                <w:sz w:val="20"/>
                <w:szCs w:val="20"/>
                <w:color w:val="auto"/>
              </w:rPr>
            </w:pPr>
            <w:r>
              <w:rPr>
                <w:rFonts w:ascii="Calibri" w:cs="Calibri" w:eastAsia="Calibri" w:hAnsi="Calibri"/>
                <w:sz w:val="13"/>
                <w:szCs w:val="13"/>
                <w:color w:val="auto"/>
              </w:rPr>
              <w:t>Warrants expired</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6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Calibri" w:cs="Calibri" w:eastAsia="Calibri" w:hAnsi="Calibri"/>
                <w:sz w:val="16"/>
                <w:szCs w:val="16"/>
                <w:color w:val="auto"/>
              </w:rPr>
              <w:t>—</w:t>
            </w:r>
          </w:p>
        </w:tc>
        <w:tc>
          <w:tcPr>
            <w:tcW w:w="7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(1,156)</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1,156</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22"/>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400" w:type="dxa"/>
            <w:vAlign w:val="bottom"/>
          </w:tcPr>
          <w:p>
            <w:pPr>
              <w:jc w:val="center"/>
              <w:spacing w:after="0"/>
              <w:rPr>
                <w:sz w:val="20"/>
                <w:szCs w:val="20"/>
                <w:color w:val="auto"/>
              </w:rPr>
            </w:pPr>
            <w:r>
              <w:rPr>
                <w:rFonts w:ascii="Calibri" w:cs="Calibri" w:eastAsia="Calibri" w:hAnsi="Calibri"/>
                <w:sz w:val="13"/>
                <w:szCs w:val="13"/>
                <w:color w:val="auto"/>
                <w:w w:val="97"/>
              </w:rPr>
              <w:t>8,9</w:t>
            </w:r>
          </w:p>
        </w:tc>
        <w:tc>
          <w:tcPr>
            <w:tcW w:w="6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12,617</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12,617</w:t>
            </w:r>
          </w:p>
        </w:tc>
        <w:tc>
          <w:tcPr>
            <w:tcW w:w="0" w:type="dxa"/>
            <w:vAlign w:val="bottom"/>
          </w:tcPr>
          <w:p>
            <w:pPr>
              <w:spacing w:after="0"/>
              <w:rPr>
                <w:sz w:val="1"/>
                <w:szCs w:val="1"/>
                <w:color w:val="auto"/>
              </w:rPr>
            </w:pPr>
          </w:p>
        </w:tc>
      </w:tr>
      <w:tr>
        <w:trPr>
          <w:trHeight w:val="243"/>
        </w:trPr>
        <w:tc>
          <w:tcPr>
            <w:tcW w:w="2940" w:type="dxa"/>
            <w:vAlign w:val="bottom"/>
          </w:tcPr>
          <w:p>
            <w:pPr>
              <w:ind w:left="60"/>
              <w:spacing w:after="0"/>
              <w:rPr>
                <w:sz w:val="20"/>
                <w:szCs w:val="20"/>
                <w:color w:val="auto"/>
              </w:rPr>
            </w:pPr>
            <w:r>
              <w:rPr>
                <w:rFonts w:ascii="Calibri" w:cs="Calibri" w:eastAsia="Calibri" w:hAnsi="Calibri"/>
                <w:sz w:val="13"/>
                <w:szCs w:val="13"/>
                <w:color w:val="auto"/>
              </w:rPr>
              <w:t>Unrealized gain on translaton of foreign operatons</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1,597</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1,597</w:t>
            </w:r>
          </w:p>
        </w:tc>
        <w:tc>
          <w:tcPr>
            <w:tcW w:w="0" w:type="dxa"/>
            <w:vAlign w:val="bottom"/>
          </w:tcPr>
          <w:p>
            <w:pPr>
              <w:spacing w:after="0"/>
              <w:rPr>
                <w:sz w:val="1"/>
                <w:szCs w:val="1"/>
                <w:color w:val="auto"/>
              </w:rPr>
            </w:pPr>
          </w:p>
        </w:tc>
      </w:tr>
      <w:tr>
        <w:trPr>
          <w:trHeight w:val="230"/>
        </w:trPr>
        <w:tc>
          <w:tcPr>
            <w:tcW w:w="2940" w:type="dxa"/>
            <w:vAlign w:val="bottom"/>
          </w:tcPr>
          <w:p>
            <w:pPr>
              <w:ind w:left="60"/>
              <w:spacing w:after="0"/>
              <w:rPr>
                <w:sz w:val="20"/>
                <w:szCs w:val="20"/>
                <w:color w:val="auto"/>
              </w:rPr>
            </w:pPr>
            <w:r>
              <w:rPr>
                <w:rFonts w:ascii="Calibri" w:cs="Calibri" w:eastAsia="Calibri" w:hAnsi="Calibri"/>
                <w:sz w:val="13"/>
                <w:szCs w:val="13"/>
                <w:color w:val="auto"/>
              </w:rPr>
              <w:t>Net loss for the period</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20"/>
                <w:szCs w:val="20"/>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spacing w:after="0"/>
              <w:rPr>
                <w:sz w:val="20"/>
                <w:szCs w:val="20"/>
                <w:color w:val="auto"/>
              </w:rPr>
            </w:pPr>
            <w:r>
              <w:rPr>
                <w:rFonts w:ascii="Calibri" w:cs="Calibri" w:eastAsia="Calibri" w:hAnsi="Calibri"/>
                <w:sz w:val="13"/>
                <w:szCs w:val="13"/>
                <w:color w:val="auto"/>
              </w:rPr>
              <w:t>(56,734)</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(56,734)</w:t>
            </w:r>
          </w:p>
        </w:tc>
        <w:tc>
          <w:tcPr>
            <w:tcW w:w="0" w:type="dxa"/>
            <w:vAlign w:val="bottom"/>
          </w:tcPr>
          <w:p>
            <w:pPr>
              <w:spacing w:after="0"/>
              <w:rPr>
                <w:sz w:val="1"/>
                <w:szCs w:val="1"/>
                <w:color w:val="auto"/>
              </w:rPr>
            </w:pPr>
          </w:p>
        </w:tc>
      </w:tr>
      <w:tr>
        <w:trPr>
          <w:trHeight w:val="53"/>
        </w:trPr>
        <w:tc>
          <w:tcPr>
            <w:tcW w:w="29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940" w:type="dxa"/>
            <w:vAlign w:val="bottom"/>
            <w:shd w:val="clear" w:color="auto" w:fill="D9D9D9"/>
          </w:tcPr>
          <w:p>
            <w:pPr>
              <w:ind w:left="60"/>
              <w:spacing w:after="0" w:line="158" w:lineRule="exact"/>
              <w:rPr>
                <w:sz w:val="20"/>
                <w:szCs w:val="20"/>
                <w:color w:val="auto"/>
              </w:rPr>
            </w:pPr>
            <w:r>
              <w:rPr>
                <w:rFonts w:ascii="Calibri" w:cs="Calibri" w:eastAsia="Calibri" w:hAnsi="Calibri"/>
                <w:sz w:val="13"/>
                <w:szCs w:val="13"/>
                <w:b w:val="1"/>
                <w:bCs w:val="1"/>
                <w:color w:val="auto"/>
              </w:rPr>
              <w:t>Balance at December 31, 2023</w:t>
            </w:r>
          </w:p>
        </w:tc>
        <w:tc>
          <w:tcPr>
            <w:tcW w:w="400" w:type="dxa"/>
            <w:vAlign w:val="bottom"/>
            <w:shd w:val="clear" w:color="auto" w:fill="D9D9D9"/>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shd w:val="clear" w:color="auto" w:fill="D9D9D9"/>
          </w:tcPr>
          <w:p>
            <w:pPr>
              <w:jc w:val="right"/>
              <w:ind w:right="94"/>
              <w:spacing w:after="0"/>
              <w:rPr>
                <w:sz w:val="20"/>
                <w:szCs w:val="20"/>
                <w:color w:val="auto"/>
              </w:rPr>
            </w:pPr>
            <w:r>
              <w:rPr>
                <w:rFonts w:ascii="Calibri" w:cs="Calibri" w:eastAsia="Calibri" w:hAnsi="Calibri"/>
                <w:sz w:val="13"/>
                <w:szCs w:val="13"/>
                <w:b w:val="1"/>
                <w:bCs w:val="1"/>
                <w:color w:val="auto"/>
              </w:rPr>
              <w:t>411,216,132</w:t>
            </w:r>
          </w:p>
        </w:tc>
        <w:tc>
          <w:tcPr>
            <w:tcW w:w="74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251,247</w:t>
            </w:r>
          </w:p>
        </w:tc>
        <w:tc>
          <w:tcPr>
            <w:tcW w:w="60" w:type="dxa"/>
            <w:vAlign w:val="bottom"/>
          </w:tcPr>
          <w:p>
            <w:pPr>
              <w:spacing w:after="0"/>
              <w:rPr>
                <w:sz w:val="14"/>
                <w:szCs w:val="14"/>
                <w:color w:val="auto"/>
              </w:rPr>
            </w:pPr>
          </w:p>
        </w:tc>
        <w:tc>
          <w:tcPr>
            <w:tcW w:w="900" w:type="dxa"/>
            <w:vAlign w:val="bottom"/>
            <w:shd w:val="clear" w:color="auto" w:fill="D9D9D9"/>
          </w:tcPr>
          <w:p>
            <w:pPr>
              <w:jc w:val="right"/>
              <w:ind w:right="75"/>
              <w:spacing w:after="0"/>
              <w:rPr>
                <w:sz w:val="20"/>
                <w:szCs w:val="20"/>
                <w:color w:val="auto"/>
              </w:rPr>
            </w:pPr>
            <w:r>
              <w:rPr>
                <w:rFonts w:ascii="Calibri" w:cs="Calibri" w:eastAsia="Calibri" w:hAnsi="Calibri"/>
                <w:sz w:val="13"/>
                <w:szCs w:val="13"/>
                <w:b w:val="1"/>
                <w:bCs w:val="1"/>
                <w:color w:val="auto"/>
              </w:rPr>
              <w:t>32,139</w:t>
            </w:r>
          </w:p>
        </w:tc>
        <w:tc>
          <w:tcPr>
            <w:tcW w:w="760" w:type="dxa"/>
            <w:vAlign w:val="bottom"/>
            <w:shd w:val="clear" w:color="auto" w:fill="D9D9D9"/>
          </w:tcPr>
          <w:p>
            <w:pPr>
              <w:jc w:val="right"/>
              <w:ind w:right="35"/>
              <w:spacing w:after="0"/>
              <w:rPr>
                <w:sz w:val="20"/>
                <w:szCs w:val="20"/>
                <w:color w:val="auto"/>
              </w:rPr>
            </w:pPr>
            <w:r>
              <w:rPr>
                <w:rFonts w:ascii="Calibri" w:cs="Calibri" w:eastAsia="Calibri" w:hAnsi="Calibri"/>
                <w:sz w:val="13"/>
                <w:szCs w:val="13"/>
                <w:b w:val="1"/>
                <w:bCs w:val="1"/>
                <w:color w:val="auto"/>
              </w:rPr>
              <w:t>38,922</w:t>
            </w:r>
          </w:p>
        </w:tc>
        <w:tc>
          <w:tcPr>
            <w:tcW w:w="80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4,236</w:t>
            </w:r>
          </w:p>
        </w:tc>
        <w:tc>
          <w:tcPr>
            <w:tcW w:w="80" w:type="dxa"/>
            <w:vAlign w:val="bottom"/>
          </w:tcPr>
          <w:p>
            <w:pPr>
              <w:spacing w:after="0"/>
              <w:rPr>
                <w:sz w:val="14"/>
                <w:szCs w:val="14"/>
                <w:color w:val="auto"/>
              </w:rPr>
            </w:pPr>
          </w:p>
        </w:tc>
        <w:tc>
          <w:tcPr>
            <w:tcW w:w="84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(204,885)</w:t>
            </w:r>
          </w:p>
        </w:tc>
        <w:tc>
          <w:tcPr>
            <w:tcW w:w="280" w:type="dxa"/>
            <w:vAlign w:val="bottom"/>
            <w:shd w:val="clear" w:color="auto" w:fill="D9D9D9"/>
          </w:tcPr>
          <w:p>
            <w:pPr>
              <w:ind w:left="120"/>
              <w:spacing w:after="0"/>
              <w:rPr>
                <w:sz w:val="20"/>
                <w:szCs w:val="20"/>
                <w:color w:val="auto"/>
              </w:rPr>
            </w:pPr>
            <w:r>
              <w:rPr>
                <w:rFonts w:ascii="Calibri" w:cs="Calibri" w:eastAsia="Calibri" w:hAnsi="Calibri"/>
                <w:sz w:val="13"/>
                <w:szCs w:val="13"/>
                <w:b w:val="1"/>
                <w:bCs w:val="1"/>
                <w:color w:val="auto"/>
              </w:rPr>
              <w:t>—</w:t>
            </w:r>
          </w:p>
        </w:tc>
        <w:tc>
          <w:tcPr>
            <w:tcW w:w="108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(438)</w:t>
            </w:r>
          </w:p>
        </w:tc>
        <w:tc>
          <w:tcPr>
            <w:tcW w:w="28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w:t>
            </w:r>
          </w:p>
        </w:tc>
        <w:tc>
          <w:tcPr>
            <w:tcW w:w="86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121,221</w:t>
            </w:r>
          </w:p>
        </w:tc>
        <w:tc>
          <w:tcPr>
            <w:tcW w:w="0" w:type="dxa"/>
            <w:vAlign w:val="bottom"/>
          </w:tcPr>
          <w:p>
            <w:pPr>
              <w:spacing w:after="0"/>
              <w:rPr>
                <w:sz w:val="1"/>
                <w:szCs w:val="1"/>
                <w:color w:val="auto"/>
              </w:rPr>
            </w:pPr>
          </w:p>
        </w:tc>
      </w:tr>
      <w:tr>
        <w:trPr>
          <w:trHeight w:val="65"/>
        </w:trPr>
        <w:tc>
          <w:tcPr>
            <w:tcW w:w="2940" w:type="dxa"/>
            <w:vAlign w:val="bottom"/>
            <w:tcBorders>
              <w:bottom w:val="single" w:sz="8" w:color="auto"/>
            </w:tcBorders>
            <w:shd w:val="clear" w:color="auto" w:fill="D9D9D9"/>
          </w:tcPr>
          <w:p>
            <w:pPr>
              <w:spacing w:after="0"/>
              <w:rPr>
                <w:sz w:val="5"/>
                <w:szCs w:val="5"/>
                <w:color w:val="auto"/>
              </w:rPr>
            </w:pPr>
          </w:p>
        </w:tc>
        <w:tc>
          <w:tcPr>
            <w:tcW w:w="400" w:type="dxa"/>
            <w:vAlign w:val="bottom"/>
            <w:tcBorders>
              <w:bottom w:val="single" w:sz="8" w:color="auto"/>
            </w:tcBorders>
            <w:shd w:val="clear" w:color="auto" w:fill="D9D9D9"/>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Borders>
              <w:bottom w:val="single" w:sz="8" w:color="auto"/>
            </w:tcBorders>
            <w:shd w:val="clear" w:color="auto" w:fill="D9D9D9"/>
          </w:tcPr>
          <w:p>
            <w:pPr>
              <w:spacing w:after="0"/>
              <w:rPr>
                <w:sz w:val="5"/>
                <w:szCs w:val="5"/>
                <w:color w:val="auto"/>
              </w:rPr>
            </w:pPr>
          </w:p>
        </w:tc>
        <w:tc>
          <w:tcPr>
            <w:tcW w:w="740" w:type="dxa"/>
            <w:vAlign w:val="bottom"/>
            <w:tcBorders>
              <w:bottom w:val="single" w:sz="8" w:color="auto"/>
            </w:tcBorders>
            <w:shd w:val="clear" w:color="auto" w:fill="D9D9D9"/>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Borders>
              <w:bottom w:val="single" w:sz="8" w:color="auto"/>
            </w:tcBorders>
            <w:shd w:val="clear" w:color="auto" w:fill="D9D9D9"/>
          </w:tcPr>
          <w:p>
            <w:pPr>
              <w:spacing w:after="0"/>
              <w:rPr>
                <w:sz w:val="5"/>
                <w:szCs w:val="5"/>
                <w:color w:val="auto"/>
              </w:rPr>
            </w:pPr>
          </w:p>
        </w:tc>
        <w:tc>
          <w:tcPr>
            <w:tcW w:w="760" w:type="dxa"/>
            <w:vAlign w:val="bottom"/>
            <w:tcBorders>
              <w:bottom w:val="single" w:sz="8" w:color="auto"/>
            </w:tcBorders>
            <w:shd w:val="clear" w:color="auto" w:fill="D9D9D9"/>
          </w:tcPr>
          <w:p>
            <w:pPr>
              <w:spacing w:after="0"/>
              <w:rPr>
                <w:sz w:val="5"/>
                <w:szCs w:val="5"/>
                <w:color w:val="auto"/>
              </w:rPr>
            </w:pPr>
          </w:p>
        </w:tc>
        <w:tc>
          <w:tcPr>
            <w:tcW w:w="800" w:type="dxa"/>
            <w:vAlign w:val="bottom"/>
            <w:tcBorders>
              <w:bottom w:val="single" w:sz="8" w:color="auto"/>
            </w:tcBorders>
            <w:shd w:val="clear" w:color="auto" w:fill="D9D9D9"/>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280" w:type="dxa"/>
            <w:vAlign w:val="bottom"/>
            <w:tcBorders>
              <w:bottom w:val="single" w:sz="8" w:color="auto"/>
            </w:tcBorders>
            <w:shd w:val="clear" w:color="auto" w:fill="D9D9D9"/>
          </w:tcPr>
          <w:p>
            <w:pPr>
              <w:spacing w:after="0"/>
              <w:rPr>
                <w:sz w:val="5"/>
                <w:szCs w:val="5"/>
                <w:color w:val="auto"/>
              </w:rPr>
            </w:pPr>
          </w:p>
        </w:tc>
        <w:tc>
          <w:tcPr>
            <w:tcW w:w="1080" w:type="dxa"/>
            <w:vAlign w:val="bottom"/>
            <w:tcBorders>
              <w:bottom w:val="single" w:sz="8" w:color="auto"/>
            </w:tcBorders>
            <w:shd w:val="clear" w:color="auto" w:fill="D9D9D9"/>
          </w:tcPr>
          <w:p>
            <w:pPr>
              <w:spacing w:after="0"/>
              <w:rPr>
                <w:sz w:val="5"/>
                <w:szCs w:val="5"/>
                <w:color w:val="auto"/>
              </w:rPr>
            </w:pPr>
          </w:p>
        </w:tc>
        <w:tc>
          <w:tcPr>
            <w:tcW w:w="280" w:type="dxa"/>
            <w:vAlign w:val="bottom"/>
            <w:tcBorders>
              <w:bottom w:val="single" w:sz="8" w:color="auto"/>
            </w:tcBorders>
            <w:shd w:val="clear" w:color="auto" w:fill="D9D9D9"/>
          </w:tcPr>
          <w:p>
            <w:pPr>
              <w:spacing w:after="0"/>
              <w:rPr>
                <w:sz w:val="5"/>
                <w:szCs w:val="5"/>
                <w:color w:val="auto"/>
              </w:rPr>
            </w:pPr>
          </w:p>
        </w:tc>
        <w:tc>
          <w:tcPr>
            <w:tcW w:w="860" w:type="dxa"/>
            <w:vAlign w:val="bottom"/>
            <w:tcBorders>
              <w:bottom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040"/>
          </w:cols>
          <w:pgMar w:left="320" w:top="198" w:right="539" w:bottom="1440" w:gutter="0" w:footer="0" w:header="0"/>
        </w:sectPr>
      </w:pPr>
    </w:p>
    <w:bookmarkStart w:id="8" w:name="page9"/>
    <w:bookmarkEnd w:id="8"/>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CONDENSED INTERIM CONSOLIDATED STATEMENT OF CASH FLOWS</w:t>
      </w:r>
    </w:p>
    <w:p>
      <w:pPr>
        <w:ind w:left="60"/>
        <w:spacing w:after="0" w:line="195" w:lineRule="auto"/>
        <w:rPr>
          <w:sz w:val="20"/>
          <w:szCs w:val="20"/>
          <w:color w:val="auto"/>
        </w:rPr>
      </w:pPr>
      <w:r>
        <w:rPr>
          <w:rFonts w:ascii="Calibri" w:cs="Calibri" w:eastAsia="Calibri" w:hAnsi="Calibri"/>
          <w:sz w:val="16"/>
          <w:szCs w:val="16"/>
          <w:b w:val="1"/>
          <w:bCs w:val="1"/>
          <w:color w:val="auto"/>
        </w:rPr>
        <w:t>(All amounts expressed in thousands of Canadian dollars)</w:t>
      </w:r>
    </w:p>
    <w:p>
      <w:pPr>
        <w:ind w:left="60"/>
        <w:spacing w:after="0" w:line="198"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380"/>
        <w:spacing w:after="0"/>
        <w:rPr>
          <w:sz w:val="20"/>
          <w:szCs w:val="20"/>
          <w:color w:val="auto"/>
        </w:rPr>
      </w:pPr>
      <w:r>
        <w:rPr>
          <w:rFonts w:ascii="Calibri" w:cs="Calibri" w:eastAsia="Calibri" w:hAnsi="Calibri"/>
          <w:sz w:val="15"/>
          <w:szCs w:val="15"/>
          <w:b w:val="1"/>
          <w:bCs w:val="1"/>
          <w:color w:val="auto"/>
        </w:rPr>
        <w:t>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65608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820" cy="762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20" w:type="dxa"/>
            <w:vAlign w:val="bottom"/>
          </w:tcPr>
          <w:p>
            <w:pPr>
              <w:spacing w:after="0"/>
              <w:rPr>
                <w:sz w:val="19"/>
                <w:szCs w:val="19"/>
                <w:color w:val="auto"/>
              </w:rPr>
            </w:pPr>
          </w:p>
        </w:tc>
        <w:tc>
          <w:tcPr>
            <w:tcW w:w="1580" w:type="dxa"/>
            <w:vAlign w:val="bottom"/>
          </w:tcPr>
          <w:p>
            <w:pPr>
              <w:ind w:left="380"/>
              <w:spacing w:after="0"/>
              <w:rPr>
                <w:sz w:val="20"/>
                <w:szCs w:val="20"/>
                <w:color w:val="auto"/>
              </w:rPr>
            </w:pPr>
            <w:r>
              <w:rPr>
                <w:rFonts w:ascii="Calibri" w:cs="Calibri" w:eastAsia="Calibri" w:hAnsi="Calibri"/>
                <w:sz w:val="15"/>
                <w:szCs w:val="15"/>
                <w:b w:val="1"/>
                <w:bCs w:val="1"/>
                <w:color w:val="auto"/>
              </w:rPr>
              <w:t>Notes</w:t>
            </w: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2023</w:t>
            </w: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2022</w:t>
            </w:r>
          </w:p>
        </w:tc>
        <w:tc>
          <w:tcPr>
            <w:tcW w:w="0" w:type="dxa"/>
            <w:vAlign w:val="bottom"/>
          </w:tcPr>
          <w:p>
            <w:pPr>
              <w:spacing w:after="0"/>
              <w:rPr>
                <w:sz w:val="1"/>
                <w:szCs w:val="1"/>
                <w:color w:val="auto"/>
              </w:rPr>
            </w:pPr>
          </w:p>
        </w:tc>
      </w:tr>
      <w:tr>
        <w:trPr>
          <w:trHeight w:val="49"/>
        </w:trPr>
        <w:tc>
          <w:tcPr>
            <w:tcW w:w="54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5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80" w:type="dxa"/>
            <w:vAlign w:val="bottom"/>
          </w:tcPr>
          <w:p>
            <w:pPr>
              <w:jc w:val="right"/>
              <w:ind w:right="627"/>
              <w:spacing w:after="0" w:line="165" w:lineRule="exact"/>
              <w:rPr>
                <w:sz w:val="20"/>
                <w:szCs w:val="20"/>
                <w:color w:val="auto"/>
              </w:rPr>
            </w:pPr>
            <w:r>
              <w:rPr>
                <w:rFonts w:ascii="Calibri" w:cs="Calibri" w:eastAsia="Calibri" w:hAnsi="Calibri"/>
                <w:sz w:val="15"/>
                <w:szCs w:val="15"/>
                <w:b w:val="1"/>
                <w:bCs w:val="1"/>
                <w:color w:val="auto"/>
              </w:rPr>
              <w:t>$</w:t>
            </w:r>
          </w:p>
        </w:tc>
        <w:tc>
          <w:tcPr>
            <w:tcW w:w="1240" w:type="dxa"/>
            <w:vAlign w:val="bottom"/>
          </w:tcPr>
          <w:p>
            <w:pPr>
              <w:jc w:val="right"/>
              <w:spacing w:after="0" w:line="165" w:lineRule="exact"/>
              <w:rPr>
                <w:sz w:val="20"/>
                <w:szCs w:val="20"/>
                <w:color w:val="auto"/>
              </w:rPr>
            </w:pPr>
            <w:r>
              <w:rPr>
                <w:rFonts w:ascii="Calibri" w:cs="Calibri" w:eastAsia="Calibri" w:hAnsi="Calibri"/>
                <w:sz w:val="15"/>
                <w:szCs w:val="15"/>
                <w:b w:val="1"/>
                <w:bCs w:val="1"/>
                <w:color w:val="auto"/>
              </w:rPr>
              <w:t>$</w:t>
            </w:r>
          </w:p>
        </w:tc>
        <w:tc>
          <w:tcPr>
            <w:tcW w:w="0" w:type="dxa"/>
            <w:vAlign w:val="bottom"/>
          </w:tcPr>
          <w:p>
            <w:pPr>
              <w:spacing w:after="0"/>
              <w:rPr>
                <w:sz w:val="1"/>
                <w:szCs w:val="1"/>
                <w:color w:val="auto"/>
              </w:rPr>
            </w:pPr>
          </w:p>
        </w:tc>
      </w:tr>
      <w:tr>
        <w:trPr>
          <w:trHeight w:val="21"/>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42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OPERATING ACTIVITIES</w:t>
            </w:r>
          </w:p>
        </w:tc>
        <w:tc>
          <w:tcPr>
            <w:tcW w:w="1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Net loss for the period</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(56,734)</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(33,770)</w:t>
            </w:r>
          </w:p>
        </w:tc>
        <w:tc>
          <w:tcPr>
            <w:tcW w:w="0" w:type="dxa"/>
            <w:vAlign w:val="bottom"/>
          </w:tcPr>
          <w:p>
            <w:pPr>
              <w:spacing w:after="0"/>
              <w:rPr>
                <w:sz w:val="1"/>
                <w:szCs w:val="1"/>
                <w:color w:val="auto"/>
              </w:rPr>
            </w:pPr>
          </w:p>
        </w:tc>
      </w:tr>
      <w:tr>
        <w:trPr>
          <w:trHeight w:val="194"/>
        </w:trPr>
        <w:tc>
          <w:tcPr>
            <w:tcW w:w="5420" w:type="dxa"/>
            <w:vAlign w:val="bottom"/>
          </w:tcPr>
          <w:p>
            <w:pPr>
              <w:ind w:left="20"/>
              <w:spacing w:after="0"/>
              <w:rPr>
                <w:sz w:val="20"/>
                <w:szCs w:val="20"/>
                <w:color w:val="auto"/>
              </w:rPr>
            </w:pPr>
            <w:r>
              <w:rPr>
                <w:rFonts w:ascii="Calibri" w:cs="Calibri" w:eastAsia="Calibri" w:hAnsi="Calibri"/>
                <w:sz w:val="15"/>
                <w:szCs w:val="15"/>
                <w:b w:val="1"/>
                <w:bCs w:val="1"/>
                <w:color w:val="auto"/>
              </w:rPr>
              <w:t>Adjustments for items not afectng cash:</w:t>
            </w:r>
          </w:p>
        </w:tc>
        <w:tc>
          <w:tcPr>
            <w:tcW w:w="1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Interest income</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(18)</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Depreciaton and amortzaton</w:t>
            </w:r>
          </w:p>
        </w:tc>
        <w:tc>
          <w:tcPr>
            <w:tcW w:w="1580" w:type="dxa"/>
            <w:vAlign w:val="bottom"/>
            <w:vMerge w:val="restart"/>
          </w:tcPr>
          <w:p>
            <w:pPr>
              <w:jc w:val="center"/>
              <w:ind w:right="407"/>
              <w:spacing w:after="0"/>
              <w:rPr>
                <w:sz w:val="20"/>
                <w:szCs w:val="20"/>
                <w:color w:val="auto"/>
              </w:rPr>
            </w:pPr>
            <w:r>
              <w:rPr>
                <w:rFonts w:ascii="Calibri" w:cs="Calibri" w:eastAsia="Calibri" w:hAnsi="Calibri"/>
                <w:sz w:val="15"/>
                <w:szCs w:val="15"/>
                <w:i w:val="1"/>
                <w:iCs w:val="1"/>
                <w:color w:val="auto"/>
                <w:w w:val="92"/>
              </w:rPr>
              <w:t>4,5&amp;6</w:t>
            </w: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282</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183</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Share-based compensaton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12,617</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4,205</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Lease interest</w:t>
            </w:r>
          </w:p>
        </w:tc>
        <w:tc>
          <w:tcPr>
            <w:tcW w:w="1580" w:type="dxa"/>
            <w:vAlign w:val="bottom"/>
          </w:tcPr>
          <w:p>
            <w:pPr>
              <w:jc w:val="center"/>
              <w:ind w:right="407"/>
              <w:spacing w:after="0"/>
              <w:rPr>
                <w:sz w:val="20"/>
                <w:szCs w:val="20"/>
                <w:color w:val="auto"/>
              </w:rPr>
            </w:pPr>
            <w:r>
              <w:rPr>
                <w:rFonts w:ascii="Calibri" w:cs="Calibri" w:eastAsia="Calibri" w:hAnsi="Calibri"/>
                <w:sz w:val="15"/>
                <w:szCs w:val="15"/>
                <w:i w:val="1"/>
                <w:iCs w:val="1"/>
                <w:color w:val="auto"/>
                <w:w w:val="78"/>
              </w:rPr>
              <w:t>6</w:t>
            </w: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4</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Computer equipment write-down</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18</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Change in fair value of investments measured at fair value through proft or loss</w:t>
            </w:r>
          </w:p>
        </w:tc>
        <w:tc>
          <w:tcPr>
            <w:tcW w:w="1580" w:type="dxa"/>
            <w:vAlign w:val="bottom"/>
          </w:tcPr>
          <w:p>
            <w:pPr>
              <w:spacing w:after="0"/>
              <w:rPr>
                <w:sz w:val="23"/>
                <w:szCs w:val="23"/>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135</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Contngent consideraton accreton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13</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Change in fair value of contngent consideraton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329</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80"/>
              <w:spacing w:after="0"/>
              <w:rPr>
                <w:sz w:val="20"/>
                <w:szCs w:val="20"/>
                <w:color w:val="auto"/>
              </w:rPr>
            </w:pPr>
            <w:r>
              <w:rPr>
                <w:rFonts w:ascii="Calibri" w:cs="Calibri" w:eastAsia="Calibri" w:hAnsi="Calibri"/>
                <w:sz w:val="15"/>
                <w:szCs w:val="15"/>
                <w:color w:val="auto"/>
              </w:rPr>
              <w:t>Unrealized foreign currency translaton loss (gain)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2,483</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(4,021)</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(41,330)</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(32,944)</w:t>
            </w:r>
          </w:p>
        </w:tc>
        <w:tc>
          <w:tcPr>
            <w:tcW w:w="0" w:type="dxa"/>
            <w:vAlign w:val="bottom"/>
          </w:tcPr>
          <w:p>
            <w:pPr>
              <w:spacing w:after="0"/>
              <w:rPr>
                <w:sz w:val="1"/>
                <w:szCs w:val="1"/>
                <w:color w:val="auto"/>
              </w:rPr>
            </w:pPr>
          </w:p>
        </w:tc>
      </w:tr>
      <w:tr>
        <w:trPr>
          <w:trHeight w:val="218"/>
        </w:trPr>
        <w:tc>
          <w:tcPr>
            <w:tcW w:w="5420" w:type="dxa"/>
            <w:vAlign w:val="bottom"/>
          </w:tcPr>
          <w:p>
            <w:pPr>
              <w:ind w:left="160"/>
              <w:spacing w:after="0"/>
              <w:rPr>
                <w:sz w:val="20"/>
                <w:szCs w:val="20"/>
                <w:color w:val="auto"/>
              </w:rPr>
            </w:pPr>
            <w:r>
              <w:rPr>
                <w:rFonts w:ascii="Calibri" w:cs="Calibri" w:eastAsia="Calibri" w:hAnsi="Calibri"/>
                <w:sz w:val="15"/>
                <w:szCs w:val="15"/>
                <w:b w:val="1"/>
                <w:bCs w:val="1"/>
                <w:color w:val="auto"/>
              </w:rPr>
              <w:t>Net changes in non-cash working capital items:</w:t>
            </w:r>
          </w:p>
        </w:tc>
        <w:tc>
          <w:tcPr>
            <w:tcW w:w="1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Accounts receivable</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(869)</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(495)</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Prepaid expenses</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(1,406)</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(1,620)</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Other current assets</w:t>
            </w:r>
          </w:p>
        </w:tc>
        <w:tc>
          <w:tcPr>
            <w:tcW w:w="1580" w:type="dxa"/>
            <w:vAlign w:val="bottom"/>
          </w:tcPr>
          <w:p>
            <w:pPr>
              <w:spacing w:after="0"/>
              <w:rPr>
                <w:sz w:val="23"/>
                <w:szCs w:val="23"/>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(383)</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(641)</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Accounts payable and accrued liabilites</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(4,213)</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(893)</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Net cash fows used in operatng actvites</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(48,201)</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(36,593)</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INVESTING ACTIVITIES</w:t>
            </w:r>
          </w:p>
        </w:tc>
        <w:tc>
          <w:tcPr>
            <w:tcW w:w="1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Cash acquired on acquisiton</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7,632</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Purchase of intangible assets</w:t>
            </w:r>
          </w:p>
        </w:tc>
        <w:tc>
          <w:tcPr>
            <w:tcW w:w="1580" w:type="dxa"/>
            <w:vAlign w:val="bottom"/>
          </w:tcPr>
          <w:p>
            <w:pPr>
              <w:jc w:val="center"/>
              <w:ind w:right="407"/>
              <w:spacing w:after="0"/>
              <w:rPr>
                <w:sz w:val="20"/>
                <w:szCs w:val="20"/>
                <w:color w:val="auto"/>
              </w:rPr>
            </w:pPr>
            <w:r>
              <w:rPr>
                <w:rFonts w:ascii="Calibri" w:cs="Calibri" w:eastAsia="Calibri" w:hAnsi="Calibri"/>
                <w:sz w:val="15"/>
                <w:szCs w:val="15"/>
                <w:i w:val="1"/>
                <w:iCs w:val="1"/>
                <w:color w:val="auto"/>
                <w:w w:val="78"/>
              </w:rPr>
              <w:t>5</w:t>
            </w: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(482)</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(2,949)</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Purchase of equipment</w:t>
            </w:r>
          </w:p>
        </w:tc>
        <w:tc>
          <w:tcPr>
            <w:tcW w:w="1580" w:type="dxa"/>
            <w:vAlign w:val="bottom"/>
            <w:vMerge w:val="restart"/>
          </w:tcPr>
          <w:p>
            <w:pPr>
              <w:jc w:val="center"/>
              <w:ind w:right="407"/>
              <w:spacing w:after="0"/>
              <w:rPr>
                <w:sz w:val="20"/>
                <w:szCs w:val="20"/>
                <w:color w:val="auto"/>
              </w:rPr>
            </w:pPr>
            <w:r>
              <w:rPr>
                <w:rFonts w:ascii="Calibri" w:cs="Calibri" w:eastAsia="Calibri" w:hAnsi="Calibri"/>
                <w:sz w:val="15"/>
                <w:szCs w:val="15"/>
                <w:i w:val="1"/>
                <w:iCs w:val="1"/>
                <w:color w:val="auto"/>
                <w:w w:val="78"/>
              </w:rPr>
              <w:t>4</w:t>
            </w: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(13)</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(142)</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Net cash fows used in investng actvites</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7,137</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(3,091)</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FINANCING ACTIVITIES</w:t>
            </w:r>
          </w:p>
        </w:tc>
        <w:tc>
          <w:tcPr>
            <w:tcW w:w="1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Proceeds on issuance of common shares, net</w:t>
            </w:r>
          </w:p>
        </w:tc>
        <w:tc>
          <w:tcPr>
            <w:tcW w:w="1580" w:type="dxa"/>
            <w:vAlign w:val="bottom"/>
          </w:tcPr>
          <w:p>
            <w:pPr>
              <w:jc w:val="center"/>
              <w:ind w:right="407"/>
              <w:spacing w:after="0"/>
              <w:rPr>
                <w:sz w:val="20"/>
                <w:szCs w:val="20"/>
                <w:color w:val="auto"/>
              </w:rPr>
            </w:pPr>
            <w:r>
              <w:rPr>
                <w:rFonts w:ascii="Calibri" w:cs="Calibri" w:eastAsia="Calibri" w:hAnsi="Calibri"/>
                <w:sz w:val="15"/>
                <w:szCs w:val="15"/>
                <w:i w:val="1"/>
                <w:iCs w:val="1"/>
                <w:color w:val="auto"/>
                <w:w w:val="78"/>
              </w:rPr>
              <w:t>8</w:t>
            </w: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63,646</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8,057</w:t>
            </w: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Lease payments</w:t>
            </w:r>
          </w:p>
        </w:tc>
        <w:tc>
          <w:tcPr>
            <w:tcW w:w="1580" w:type="dxa"/>
            <w:vAlign w:val="bottom"/>
          </w:tcPr>
          <w:p>
            <w:pPr>
              <w:jc w:val="center"/>
              <w:ind w:right="407"/>
              <w:spacing w:after="0"/>
              <w:rPr>
                <w:sz w:val="20"/>
                <w:szCs w:val="20"/>
                <w:color w:val="auto"/>
              </w:rPr>
            </w:pPr>
            <w:r>
              <w:rPr>
                <w:rFonts w:ascii="Calibri" w:cs="Calibri" w:eastAsia="Calibri" w:hAnsi="Calibri"/>
                <w:sz w:val="15"/>
                <w:szCs w:val="15"/>
                <w:i w:val="1"/>
                <w:iCs w:val="1"/>
                <w:color w:val="auto"/>
                <w:w w:val="78"/>
              </w:rPr>
              <w:t>6</w:t>
            </w: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(56)</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Shares issued for cash - warrant exercise</w:t>
            </w:r>
          </w:p>
        </w:tc>
        <w:tc>
          <w:tcPr>
            <w:tcW w:w="1580" w:type="dxa"/>
            <w:vAlign w:val="bottom"/>
            <w:vMerge w:val="restart"/>
          </w:tcPr>
          <w:p>
            <w:pPr>
              <w:jc w:val="center"/>
              <w:ind w:right="407"/>
              <w:spacing w:after="0"/>
              <w:rPr>
                <w:sz w:val="20"/>
                <w:szCs w:val="20"/>
                <w:color w:val="auto"/>
              </w:rPr>
            </w:pPr>
            <w:r>
              <w:rPr>
                <w:rFonts w:ascii="Calibri" w:cs="Calibri" w:eastAsia="Calibri" w:hAnsi="Calibri"/>
                <w:sz w:val="15"/>
                <w:szCs w:val="15"/>
                <w:i w:val="1"/>
                <w:iCs w:val="1"/>
                <w:color w:val="auto"/>
                <w:w w:val="78"/>
              </w:rPr>
              <w:t>8</w:t>
            </w: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56</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362</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Net cash fows from fnancing actvites</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63,646</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8,419</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5"/>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Efects of exchange rate changes on cash</w:t>
            </w:r>
          </w:p>
        </w:tc>
        <w:tc>
          <w:tcPr>
            <w:tcW w:w="1580" w:type="dxa"/>
            <w:vAlign w:val="bottom"/>
          </w:tcPr>
          <w:p>
            <w:pPr>
              <w:spacing w:after="0"/>
              <w:rPr>
                <w:sz w:val="24"/>
                <w:szCs w:val="24"/>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(216)</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135</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7"/>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Net change in cash</w:t>
            </w:r>
          </w:p>
        </w:tc>
        <w:tc>
          <w:tcPr>
            <w:tcW w:w="1580" w:type="dxa"/>
            <w:vAlign w:val="bottom"/>
          </w:tcPr>
          <w:p>
            <w:pPr>
              <w:spacing w:after="0"/>
              <w:rPr>
                <w:sz w:val="24"/>
                <w:szCs w:val="24"/>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22,366</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(31,130)</w:t>
            </w:r>
          </w:p>
        </w:tc>
        <w:tc>
          <w:tcPr>
            <w:tcW w:w="0" w:type="dxa"/>
            <w:vAlign w:val="bottom"/>
          </w:tcPr>
          <w:p>
            <w:pPr>
              <w:spacing w:after="0"/>
              <w:rPr>
                <w:sz w:val="1"/>
                <w:szCs w:val="1"/>
                <w:color w:val="auto"/>
              </w:rPr>
            </w:pPr>
          </w:p>
        </w:tc>
      </w:tr>
      <w:tr>
        <w:trPr>
          <w:trHeight w:val="194"/>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Cash, beginning of period</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16,633</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53,641</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Cash, end of period</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38,999</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22,511</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0"/>
        <w:spacing w:after="0"/>
        <w:rPr>
          <w:sz w:val="20"/>
          <w:szCs w:val="20"/>
          <w:color w:val="auto"/>
        </w:rPr>
      </w:pPr>
      <w:r>
        <w:rPr>
          <w:rFonts w:ascii="Calibri" w:cs="Calibri" w:eastAsia="Calibri" w:hAnsi="Calibri"/>
          <w:sz w:val="16"/>
          <w:szCs w:val="16"/>
          <w:i w:val="1"/>
          <w:iCs w:val="1"/>
          <w:color w:val="auto"/>
        </w:rPr>
        <w:t>Certain non-cash transactons excluded from the condensed interim consolidated statements of cash fows are disclosed in note 3.</w:t>
      </w:r>
    </w:p>
    <w:p>
      <w:pPr>
        <w:spacing w:after="0" w:line="193" w:lineRule="exact"/>
        <w:rPr>
          <w:sz w:val="20"/>
          <w:szCs w:val="20"/>
          <w:color w:val="auto"/>
        </w:rPr>
      </w:pPr>
    </w:p>
    <w:p>
      <w:pPr>
        <w:ind w:left="60"/>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0320"/>
          </w:cols>
          <w:pgMar w:left="320" w:top="198" w:right="1259" w:bottom="1440" w:gutter="0" w:footer="0" w:header="0"/>
        </w:sectPr>
      </w:pPr>
    </w:p>
    <w:bookmarkStart w:id="9" w:name="page10"/>
    <w:bookmarkEnd w:id="9"/>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1.</w:t>
      </w:r>
      <w:r>
        <w:rPr>
          <w:sz w:val="20"/>
          <w:szCs w:val="20"/>
          <w:color w:val="auto"/>
        </w:rPr>
        <w:tab/>
      </w:r>
      <w:r>
        <w:rPr>
          <w:rFonts w:ascii="Calibri" w:cs="Calibri" w:eastAsia="Calibri" w:hAnsi="Calibri"/>
          <w:sz w:val="15"/>
          <w:szCs w:val="15"/>
          <w:b w:val="1"/>
          <w:bCs w:val="1"/>
          <w:color w:val="2D5F91"/>
        </w:rPr>
        <w:t>CORPORATE INFORMATION</w:t>
      </w:r>
    </w:p>
    <w:p>
      <w:pPr>
        <w:spacing w:after="0" w:line="49" w:lineRule="exact"/>
        <w:rPr>
          <w:sz w:val="20"/>
          <w:szCs w:val="20"/>
          <w:color w:val="auto"/>
        </w:rPr>
      </w:pPr>
    </w:p>
    <w:p>
      <w:pPr>
        <w:jc w:val="both"/>
        <w:ind w:left="280"/>
        <w:spacing w:after="0" w:line="277" w:lineRule="auto"/>
        <w:rPr>
          <w:sz w:val="20"/>
          <w:szCs w:val="20"/>
          <w:color w:val="auto"/>
        </w:rPr>
      </w:pPr>
      <w:r>
        <w:rPr>
          <w:rFonts w:ascii="Calibri" w:cs="Calibri" w:eastAsia="Calibri" w:hAnsi="Calibri"/>
          <w:sz w:val="16"/>
          <w:szCs w:val="16"/>
          <w:color w:val="auto"/>
        </w:rPr>
        <w:t>Cybin Inc. (“Cybin”), was incorporated under the Business Corporatons Act (Britsh Columbia) on October 13, 2016. These consolidated fnancial statements include the accounts of Cybin’s eight subsidiaries (together with Cybin, the “Company”): Cybin Corp., Natures Journey Inc. (“Journey”), Serenity Life Sciences Inc. (“Serenity”), Cybin US Holdings Inc. (“Cybin US”), Adelia Therapeutcs Inc. (“Adelia”) Cybin IRL Limited (“Cybin IRL”), Cybin UK Ltd., and Small Pharma Inc. (“Small Pharma”). Cybin’s head ofce, principal address and registered address and records ofce is 100 King Street West, Suite 5600, Toronto, Ontario M5X 1C9.</w:t>
      </w:r>
    </w:p>
    <w:p>
      <w:pPr>
        <w:spacing w:after="0" w:line="165" w:lineRule="exact"/>
        <w:rPr>
          <w:sz w:val="20"/>
          <w:szCs w:val="20"/>
          <w:color w:val="auto"/>
        </w:rPr>
      </w:pPr>
    </w:p>
    <w:p>
      <w:pPr>
        <w:jc w:val="both"/>
        <w:ind w:left="280"/>
        <w:spacing w:after="0" w:line="272" w:lineRule="auto"/>
        <w:rPr>
          <w:sz w:val="20"/>
          <w:szCs w:val="20"/>
          <w:color w:val="auto"/>
        </w:rPr>
      </w:pPr>
      <w:r>
        <w:rPr>
          <w:rFonts w:ascii="Calibri" w:cs="Calibri" w:eastAsia="Calibri" w:hAnsi="Calibri"/>
          <w:sz w:val="16"/>
          <w:szCs w:val="16"/>
          <w:color w:val="auto"/>
        </w:rPr>
        <w:t>The Company is a biopharmaceutcal company focused on advancing psychedelic-based therapies, delivery mechanisms, novel compounds and protocols as potental treatments for various psychiatric and neurological conditons. The Company is developing technologies and delivery systems aimed at improving the pharmacokinetcs of its psychedelic-based molecules while retaining therapeutc beneft. These new molecules and delivery systems are expected to be studied through clinical trials to confrm safety and efcacy.</w:t>
      </w:r>
    </w:p>
    <w:p>
      <w:pPr>
        <w:spacing w:after="0" w:line="170"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These condensed interim consolidated fnancial statements as at, and for the three and nine months ended, December 31, 2023, were approved and authorized for issue by the board of directors on February 13, 2024.</w:t>
      </w:r>
    </w:p>
    <w:p>
      <w:pPr>
        <w:spacing w:after="0" w:line="149"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Stock exchange listng</w:t>
      </w:r>
    </w:p>
    <w:p>
      <w:pPr>
        <w:spacing w:after="0" w:line="195"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Cybin’s common shares (“Common Shares”) are listed for trading on Cboe Canada, and NYSE American LLC under the symbol “CYBN” and are quoted on the Frankfurt Stock Exchange under the symbol “R7E1”.</w:t>
      </w:r>
    </w:p>
    <w:p>
      <w:pPr>
        <w:spacing w:after="0" w:line="161"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Going concern</w:t>
      </w:r>
    </w:p>
    <w:p>
      <w:pPr>
        <w:spacing w:after="0" w:line="195" w:lineRule="exact"/>
        <w:rPr>
          <w:sz w:val="20"/>
          <w:szCs w:val="20"/>
          <w:color w:val="auto"/>
        </w:rPr>
      </w:pPr>
    </w:p>
    <w:p>
      <w:pPr>
        <w:jc w:val="both"/>
        <w:ind w:left="280" w:right="20"/>
        <w:spacing w:after="0" w:line="275" w:lineRule="auto"/>
        <w:rPr>
          <w:sz w:val="20"/>
          <w:szCs w:val="20"/>
          <w:color w:val="auto"/>
        </w:rPr>
      </w:pPr>
      <w:r>
        <w:rPr>
          <w:rFonts w:ascii="Calibri" w:cs="Calibri" w:eastAsia="Calibri" w:hAnsi="Calibri"/>
          <w:sz w:val="16"/>
          <w:szCs w:val="16"/>
          <w:color w:val="auto"/>
        </w:rPr>
        <w:t>These condensed interim consolidated fnancial statements are prepared on a going concern basis, which contemplates that the Company will contnue in operaton for the foreseeable future and will be able to realize its assets and discharge its liabilites in the normal course of business. At present, the Company’s operatons do not generate cash fows and, as at December 31, 2023, the Company had an accumulated defcit of $204,885 (March 31, 2023 - $148,151 ), cash of $38,999(March 31, 2023 - $16,633) and working capital of $40,258 (March 31, 2023 - $17,522), and a net loss of $56,734 (2022 - $33,770) and negatve cash fows from operatons of $48,201 (2022 - $36,593) for the nine month period ended December 31, 2023. In order to contnue as a going concern and meet its corporate objectves, the Company is dependent on its ability to obtain additonal fnancing. There is no assurance that the Company will be able to obtain adequate fnancing in the future or that such fnancing will be on terms advantageous to the Company.</w:t>
      </w:r>
    </w:p>
    <w:p>
      <w:pPr>
        <w:spacing w:after="0" w:line="168" w:lineRule="exact"/>
        <w:rPr>
          <w:sz w:val="20"/>
          <w:szCs w:val="20"/>
          <w:color w:val="auto"/>
        </w:rPr>
      </w:pPr>
    </w:p>
    <w:p>
      <w:pPr>
        <w:jc w:val="both"/>
        <w:ind w:left="280" w:right="20"/>
        <w:spacing w:after="0" w:line="252" w:lineRule="auto"/>
        <w:rPr>
          <w:sz w:val="20"/>
          <w:szCs w:val="20"/>
          <w:color w:val="auto"/>
        </w:rPr>
      </w:pPr>
      <w:r>
        <w:rPr>
          <w:rFonts w:ascii="Calibri" w:cs="Calibri" w:eastAsia="Calibri" w:hAnsi="Calibri"/>
          <w:sz w:val="16"/>
          <w:szCs w:val="16"/>
          <w:color w:val="auto"/>
        </w:rPr>
        <w:t>These condensed interim consolidated fnancial statements do not refect the adjustments or reclassifcatons of assets and liabilites which would be necessary if the Company were unable to contnue as a going concern and therefore were required to realize its assets and liquidate its liabilites and commitments in the normal course of business operatons and at amounts diferent from those in the accompanying condensed interim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7 of 32</w:t>
      </w:r>
    </w:p>
    <w:p>
      <w:pPr>
        <w:sectPr>
          <w:pgSz w:w="11900" w:h="16838" w:orient="portrait"/>
          <w:cols w:equalWidth="0" w:num="1">
            <w:col w:w="11260"/>
          </w:cols>
          <w:pgMar w:left="320" w:top="198" w:right="319" w:bottom="1440" w:gutter="0" w:footer="0" w:header="0"/>
        </w:sectPr>
      </w:pPr>
    </w:p>
    <w:bookmarkStart w:id="10" w:name="page11"/>
    <w:bookmarkEnd w:id="10"/>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2.</w:t>
      </w:r>
      <w:r>
        <w:rPr>
          <w:sz w:val="20"/>
          <w:szCs w:val="20"/>
          <w:color w:val="auto"/>
        </w:rPr>
        <w:tab/>
      </w:r>
      <w:r>
        <w:rPr>
          <w:rFonts w:ascii="Calibri" w:cs="Calibri" w:eastAsia="Calibri" w:hAnsi="Calibri"/>
          <w:sz w:val="15"/>
          <w:szCs w:val="15"/>
          <w:b w:val="1"/>
          <w:bCs w:val="1"/>
          <w:color w:val="2D5F91"/>
        </w:rPr>
        <w:t>MATERIAL ACCOUNTING POLICY INFORMATION AND BASIS OF PREPARATION</w:t>
      </w:r>
    </w:p>
    <w:p>
      <w:pPr>
        <w:spacing w:after="0" w:line="253"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Statement of compliance</w:t>
      </w:r>
    </w:p>
    <w:p>
      <w:pPr>
        <w:spacing w:after="0" w:line="158" w:lineRule="exact"/>
        <w:rPr>
          <w:sz w:val="20"/>
          <w:szCs w:val="20"/>
          <w:color w:val="auto"/>
        </w:rPr>
      </w:pPr>
    </w:p>
    <w:p>
      <w:pPr>
        <w:jc w:val="both"/>
        <w:ind w:left="280" w:right="20"/>
        <w:spacing w:after="0" w:line="244" w:lineRule="auto"/>
        <w:rPr>
          <w:sz w:val="20"/>
          <w:szCs w:val="20"/>
          <w:color w:val="auto"/>
        </w:rPr>
      </w:pPr>
      <w:r>
        <w:rPr>
          <w:rFonts w:ascii="Calibri" w:cs="Calibri" w:eastAsia="Calibri" w:hAnsi="Calibri"/>
          <w:sz w:val="16"/>
          <w:szCs w:val="16"/>
          <w:color w:val="auto"/>
        </w:rPr>
        <w:t>These condensed interim consolidated fnancial statements for the three and nine months ended December 31, 2023 have been prepared in accordance with Internatonal Accountng Standard 34 “Interim Financial Reportng”. Accordingly, certain informaton and footnote disclosure normally included in annual fnancial statements prepared in accordance with Internatonal Financial Reportng Standards (“IFRS”) have been omited or condensed.</w:t>
      </w:r>
    </w:p>
    <w:p>
      <w:pPr>
        <w:spacing w:after="0" w:line="180" w:lineRule="exact"/>
        <w:rPr>
          <w:sz w:val="20"/>
          <w:szCs w:val="20"/>
          <w:color w:val="auto"/>
        </w:rPr>
      </w:pPr>
    </w:p>
    <w:p>
      <w:pPr>
        <w:jc w:val="both"/>
        <w:ind w:left="280"/>
        <w:spacing w:after="0" w:line="280" w:lineRule="auto"/>
        <w:rPr>
          <w:sz w:val="20"/>
          <w:szCs w:val="20"/>
          <w:color w:val="auto"/>
        </w:rPr>
      </w:pPr>
      <w:r>
        <w:rPr>
          <w:rFonts w:ascii="Calibri" w:cs="Calibri" w:eastAsia="Calibri" w:hAnsi="Calibri"/>
          <w:sz w:val="16"/>
          <w:szCs w:val="16"/>
          <w:color w:val="auto"/>
        </w:rPr>
        <w:t>The accountng policies adopted in the preparaton of the condensed interim consolidated fnancial statements are consistent with those set out in note 2 “Signifcant accountng policies and basis of preparaton” of the Company’s annual consolidated fnancial statements for the year ended March 31, 2023.</w:t>
      </w:r>
    </w:p>
    <w:p>
      <w:pPr>
        <w:spacing w:after="0" w:line="16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These condensed interim consolidated fnancial statements should be read in conjuncton with the consolidated fnancial statements for the year ended March 31, 2023.</w:t>
      </w:r>
    </w:p>
    <w:p>
      <w:pPr>
        <w:spacing w:after="0" w:line="241"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Basis of measurement</w:t>
      </w:r>
    </w:p>
    <w:p>
      <w:pPr>
        <w:spacing w:after="0" w:line="183" w:lineRule="exact"/>
        <w:rPr>
          <w:sz w:val="20"/>
          <w:szCs w:val="20"/>
          <w:color w:val="auto"/>
        </w:rPr>
      </w:pPr>
    </w:p>
    <w:p>
      <w:pPr>
        <w:jc w:val="both"/>
        <w:ind w:left="280" w:right="20"/>
        <w:spacing w:after="0" w:line="250" w:lineRule="auto"/>
        <w:rPr>
          <w:sz w:val="20"/>
          <w:szCs w:val="20"/>
          <w:color w:val="auto"/>
        </w:rPr>
      </w:pPr>
      <w:r>
        <w:rPr>
          <w:rFonts w:ascii="Calibri" w:cs="Calibri" w:eastAsia="Calibri" w:hAnsi="Calibri"/>
          <w:sz w:val="16"/>
          <w:szCs w:val="16"/>
          <w:color w:val="auto"/>
        </w:rPr>
        <w:t>These condensed interim consolidated fnancial statements have been prepared on a going concern basis, under the historical cost conventon, except for certain fnancial instruments classifed at fair value upon inital recogniton.</w:t>
      </w:r>
    </w:p>
    <w:p>
      <w:pPr>
        <w:spacing w:after="0" w:line="234"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Functonal and presentaton currency</w:t>
      </w:r>
    </w:p>
    <w:p>
      <w:pPr>
        <w:spacing w:after="0" w:line="183" w:lineRule="exact"/>
        <w:rPr>
          <w:sz w:val="20"/>
          <w:szCs w:val="20"/>
          <w:color w:val="auto"/>
        </w:rPr>
      </w:pPr>
    </w:p>
    <w:p>
      <w:pPr>
        <w:jc w:val="both"/>
        <w:ind w:left="280"/>
        <w:spacing w:after="0" w:line="250" w:lineRule="auto"/>
        <w:rPr>
          <w:sz w:val="20"/>
          <w:szCs w:val="20"/>
          <w:color w:val="auto"/>
        </w:rPr>
      </w:pPr>
      <w:r>
        <w:rPr>
          <w:rFonts w:ascii="Calibri" w:cs="Calibri" w:eastAsia="Calibri" w:hAnsi="Calibri"/>
          <w:sz w:val="16"/>
          <w:szCs w:val="16"/>
          <w:color w:val="auto"/>
        </w:rPr>
        <w:t>The functonal currency of a company is the currency of the primary economic environment in which the company operates. The presentaton currency for a company is the currency in which the company chooses to present its fnancial statements.</w:t>
      </w:r>
    </w:p>
    <w:p>
      <w:pPr>
        <w:spacing w:after="0" w:line="175" w:lineRule="exact"/>
        <w:rPr>
          <w:sz w:val="20"/>
          <w:szCs w:val="20"/>
          <w:color w:val="auto"/>
        </w:rPr>
      </w:pPr>
    </w:p>
    <w:p>
      <w:pPr>
        <w:jc w:val="both"/>
        <w:ind w:left="280" w:right="20"/>
        <w:spacing w:after="0" w:line="250" w:lineRule="auto"/>
        <w:rPr>
          <w:sz w:val="20"/>
          <w:szCs w:val="20"/>
          <w:color w:val="auto"/>
        </w:rPr>
      </w:pPr>
      <w:r>
        <w:rPr>
          <w:rFonts w:ascii="Calibri" w:cs="Calibri" w:eastAsia="Calibri" w:hAnsi="Calibri"/>
          <w:sz w:val="16"/>
          <w:szCs w:val="16"/>
          <w:color w:val="auto"/>
        </w:rPr>
        <w:t>These condensed interim consolidated fnancial statements are presented in Canadian dollars, the Company’s presentaton currency. The Company’s and its subsidiaries functonal currencies are as follows:</w:t>
      </w:r>
    </w:p>
    <w:p>
      <w:pPr>
        <w:spacing w:after="0" w:line="185"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2380" w:type="dxa"/>
            <w:vAlign w:val="bottom"/>
          </w:tcPr>
          <w:p>
            <w:pPr>
              <w:ind w:left="20"/>
              <w:spacing w:after="0"/>
              <w:rPr>
                <w:sz w:val="20"/>
                <w:szCs w:val="20"/>
                <w:color w:val="auto"/>
              </w:rPr>
            </w:pPr>
            <w:r>
              <w:rPr>
                <w:rFonts w:ascii="Calibri" w:cs="Calibri" w:eastAsia="Calibri" w:hAnsi="Calibri"/>
                <w:sz w:val="16"/>
                <w:szCs w:val="16"/>
                <w:b w:val="1"/>
                <w:bCs w:val="1"/>
                <w:color w:val="auto"/>
              </w:rPr>
              <w:t>Entty</w:t>
            </w:r>
          </w:p>
        </w:tc>
        <w:tc>
          <w:tcPr>
            <w:tcW w:w="3580" w:type="dxa"/>
            <w:vAlign w:val="bottom"/>
          </w:tcPr>
          <w:p>
            <w:pPr>
              <w:ind w:left="1140"/>
              <w:spacing w:after="0"/>
              <w:rPr>
                <w:sz w:val="20"/>
                <w:szCs w:val="20"/>
                <w:color w:val="auto"/>
              </w:rPr>
            </w:pPr>
            <w:r>
              <w:rPr>
                <w:rFonts w:ascii="Calibri" w:cs="Calibri" w:eastAsia="Calibri" w:hAnsi="Calibri"/>
                <w:sz w:val="16"/>
                <w:szCs w:val="16"/>
                <w:b w:val="1"/>
                <w:bCs w:val="1"/>
                <w:color w:val="auto"/>
              </w:rPr>
              <w:t>Currency</w:t>
            </w:r>
          </w:p>
        </w:tc>
        <w:tc>
          <w:tcPr>
            <w:tcW w:w="4580" w:type="dxa"/>
            <w:vAlign w:val="bottom"/>
          </w:tcPr>
          <w:p>
            <w:pPr>
              <w:ind w:left="1080"/>
              <w:spacing w:after="0"/>
              <w:rPr>
                <w:sz w:val="20"/>
                <w:szCs w:val="20"/>
                <w:color w:val="auto"/>
              </w:rPr>
            </w:pPr>
            <w:r>
              <w:rPr>
                <w:rFonts w:ascii="Calibri" w:cs="Calibri" w:eastAsia="Calibri" w:hAnsi="Calibri"/>
                <w:sz w:val="16"/>
                <w:szCs w:val="16"/>
                <w:b w:val="1"/>
                <w:bCs w:val="1"/>
                <w:color w:val="auto"/>
              </w:rPr>
              <w:t>Ownership</w:t>
            </w:r>
          </w:p>
        </w:tc>
      </w:tr>
      <w:tr>
        <w:trPr>
          <w:trHeight w:val="21"/>
        </w:trPr>
        <w:tc>
          <w:tcPr>
            <w:tcW w:w="23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r>
      <w:tr>
        <w:trPr>
          <w:trHeight w:val="185"/>
        </w:trPr>
        <w:tc>
          <w:tcPr>
            <w:tcW w:w="2380" w:type="dxa"/>
            <w:vAlign w:val="bottom"/>
          </w:tcPr>
          <w:p>
            <w:pPr>
              <w:ind w:left="20"/>
              <w:spacing w:after="0" w:line="185" w:lineRule="exact"/>
              <w:rPr>
                <w:sz w:val="20"/>
                <w:szCs w:val="20"/>
                <w:color w:val="auto"/>
              </w:rPr>
            </w:pPr>
            <w:r>
              <w:rPr>
                <w:rFonts w:ascii="Calibri" w:cs="Calibri" w:eastAsia="Calibri" w:hAnsi="Calibri"/>
                <w:sz w:val="16"/>
                <w:szCs w:val="16"/>
                <w:color w:val="auto"/>
              </w:rPr>
              <w:t>Cybin Corp.</w:t>
            </w:r>
          </w:p>
        </w:tc>
        <w:tc>
          <w:tcPr>
            <w:tcW w:w="3580" w:type="dxa"/>
            <w:vAlign w:val="bottom"/>
          </w:tcPr>
          <w:p>
            <w:pPr>
              <w:ind w:left="1140"/>
              <w:spacing w:after="0" w:line="185" w:lineRule="exact"/>
              <w:rPr>
                <w:sz w:val="20"/>
                <w:szCs w:val="20"/>
                <w:color w:val="auto"/>
              </w:rPr>
            </w:pPr>
            <w:r>
              <w:rPr>
                <w:rFonts w:ascii="Calibri" w:cs="Calibri" w:eastAsia="Calibri" w:hAnsi="Calibri"/>
                <w:sz w:val="16"/>
                <w:szCs w:val="16"/>
                <w:color w:val="auto"/>
              </w:rPr>
              <w:t>Canadian dollars</w:t>
            </w:r>
          </w:p>
        </w:tc>
        <w:tc>
          <w:tcPr>
            <w:tcW w:w="4580" w:type="dxa"/>
            <w:vAlign w:val="bottom"/>
          </w:tcPr>
          <w:p>
            <w:pPr>
              <w:ind w:left="1080"/>
              <w:spacing w:after="0" w:line="185" w:lineRule="exact"/>
              <w:rPr>
                <w:sz w:val="20"/>
                <w:szCs w:val="20"/>
                <w:color w:val="auto"/>
              </w:rPr>
            </w:pPr>
            <w:r>
              <w:rPr>
                <w:rFonts w:ascii="Calibri" w:cs="Calibri" w:eastAsia="Calibri" w:hAnsi="Calibri"/>
                <w:sz w:val="16"/>
                <w:szCs w:val="16"/>
                <w:color w:val="auto"/>
              </w:rPr>
              <w:t>100%</w:t>
            </w:r>
          </w:p>
        </w:tc>
      </w:tr>
      <w:tr>
        <w:trPr>
          <w:trHeight w:val="198"/>
        </w:trPr>
        <w:tc>
          <w:tcPr>
            <w:tcW w:w="2380" w:type="dxa"/>
            <w:vAlign w:val="bottom"/>
          </w:tcPr>
          <w:p>
            <w:pPr>
              <w:ind w:left="20"/>
              <w:spacing w:after="0"/>
              <w:rPr>
                <w:sz w:val="20"/>
                <w:szCs w:val="20"/>
                <w:color w:val="auto"/>
              </w:rPr>
            </w:pPr>
            <w:r>
              <w:rPr>
                <w:rFonts w:ascii="Calibri" w:cs="Calibri" w:eastAsia="Calibri" w:hAnsi="Calibri"/>
                <w:sz w:val="16"/>
                <w:szCs w:val="16"/>
                <w:color w:val="auto"/>
              </w:rPr>
              <w:t>Journey</w:t>
            </w:r>
          </w:p>
        </w:tc>
        <w:tc>
          <w:tcPr>
            <w:tcW w:w="3580" w:type="dxa"/>
            <w:vAlign w:val="bottom"/>
          </w:tcPr>
          <w:p>
            <w:pPr>
              <w:ind w:left="1140"/>
              <w:spacing w:after="0"/>
              <w:rPr>
                <w:sz w:val="20"/>
                <w:szCs w:val="20"/>
                <w:color w:val="auto"/>
              </w:rPr>
            </w:pPr>
            <w:r>
              <w:rPr>
                <w:rFonts w:ascii="Calibri" w:cs="Calibri" w:eastAsia="Calibri" w:hAnsi="Calibri"/>
                <w:sz w:val="16"/>
                <w:szCs w:val="16"/>
                <w:color w:val="auto"/>
              </w:rPr>
              <w:t>Canadian dollars</w:t>
            </w:r>
          </w:p>
        </w:tc>
        <w:tc>
          <w:tcPr>
            <w:tcW w:w="4580" w:type="dxa"/>
            <w:vAlign w:val="bottom"/>
          </w:tcPr>
          <w:p>
            <w:pPr>
              <w:ind w:left="1080"/>
              <w:spacing w:after="0"/>
              <w:rPr>
                <w:sz w:val="20"/>
                <w:szCs w:val="20"/>
                <w:color w:val="auto"/>
              </w:rPr>
            </w:pPr>
            <w:r>
              <w:rPr>
                <w:rFonts w:ascii="Calibri" w:cs="Calibri" w:eastAsia="Calibri" w:hAnsi="Calibri"/>
                <w:sz w:val="16"/>
                <w:szCs w:val="16"/>
                <w:color w:val="auto"/>
              </w:rPr>
              <w:t>100%</w:t>
            </w: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Serenity</w:t>
            </w:r>
          </w:p>
        </w:tc>
        <w:tc>
          <w:tcPr>
            <w:tcW w:w="3580" w:type="dxa"/>
            <w:vAlign w:val="bottom"/>
          </w:tcPr>
          <w:p>
            <w:pPr>
              <w:ind w:left="1140"/>
              <w:spacing w:after="0"/>
              <w:rPr>
                <w:sz w:val="20"/>
                <w:szCs w:val="20"/>
                <w:color w:val="auto"/>
              </w:rPr>
            </w:pPr>
            <w:r>
              <w:rPr>
                <w:rFonts w:ascii="Calibri" w:cs="Calibri" w:eastAsia="Calibri" w:hAnsi="Calibri"/>
                <w:sz w:val="16"/>
                <w:szCs w:val="16"/>
                <w:color w:val="auto"/>
              </w:rPr>
              <w:t>Canadian dollars</w:t>
            </w:r>
          </w:p>
        </w:tc>
        <w:tc>
          <w:tcPr>
            <w:tcW w:w="4580" w:type="dxa"/>
            <w:vAlign w:val="bottom"/>
          </w:tcPr>
          <w:p>
            <w:pPr>
              <w:ind w:left="1080"/>
              <w:spacing w:after="0"/>
              <w:rPr>
                <w:sz w:val="20"/>
                <w:szCs w:val="20"/>
                <w:color w:val="auto"/>
              </w:rPr>
            </w:pPr>
            <w:r>
              <w:rPr>
                <w:rFonts w:ascii="Calibri" w:cs="Calibri" w:eastAsia="Calibri" w:hAnsi="Calibri"/>
                <w:sz w:val="16"/>
                <w:szCs w:val="16"/>
                <w:color w:val="auto"/>
              </w:rPr>
              <w:t>100%</w:t>
            </w:r>
          </w:p>
        </w:tc>
      </w:tr>
      <w:tr>
        <w:trPr>
          <w:trHeight w:val="166"/>
        </w:trPr>
        <w:tc>
          <w:tcPr>
            <w:tcW w:w="2380" w:type="dxa"/>
            <w:vAlign w:val="bottom"/>
          </w:tcPr>
          <w:p>
            <w:pPr>
              <w:ind w:left="600"/>
              <w:spacing w:after="0"/>
              <w:rPr>
                <w:sz w:val="20"/>
                <w:szCs w:val="20"/>
                <w:color w:val="auto"/>
              </w:rPr>
            </w:pPr>
            <w:r>
              <w:rPr>
                <w:rFonts w:ascii="Calibri" w:cs="Calibri" w:eastAsia="Calibri" w:hAnsi="Calibri"/>
                <w:sz w:val="11"/>
                <w:szCs w:val="11"/>
                <w:color w:val="auto"/>
              </w:rPr>
              <w:t>1</w:t>
            </w:r>
          </w:p>
        </w:tc>
        <w:tc>
          <w:tcPr>
            <w:tcW w:w="3580" w:type="dxa"/>
            <w:vAlign w:val="bottom"/>
          </w:tcPr>
          <w:p>
            <w:pPr>
              <w:ind w:left="1140"/>
              <w:spacing w:after="0" w:line="167" w:lineRule="exact"/>
              <w:rPr>
                <w:sz w:val="20"/>
                <w:szCs w:val="20"/>
                <w:color w:val="auto"/>
              </w:rPr>
            </w:pPr>
            <w:r>
              <w:rPr>
                <w:rFonts w:ascii="Calibri" w:cs="Calibri" w:eastAsia="Calibri" w:hAnsi="Calibri"/>
                <w:sz w:val="16"/>
                <w:szCs w:val="16"/>
                <w:color w:val="auto"/>
              </w:rPr>
              <w:t>Canadian dollars</w:t>
            </w:r>
          </w:p>
        </w:tc>
        <w:tc>
          <w:tcPr>
            <w:tcW w:w="4580" w:type="dxa"/>
            <w:vAlign w:val="bottom"/>
          </w:tcPr>
          <w:p>
            <w:pPr>
              <w:ind w:left="1080"/>
              <w:spacing w:after="0" w:line="167" w:lineRule="exact"/>
              <w:rPr>
                <w:sz w:val="20"/>
                <w:szCs w:val="20"/>
                <w:color w:val="auto"/>
              </w:rPr>
            </w:pPr>
            <w:r>
              <w:rPr>
                <w:rFonts w:ascii="Calibri" w:cs="Calibri" w:eastAsia="Calibri" w:hAnsi="Calibri"/>
                <w:sz w:val="16"/>
                <w:szCs w:val="16"/>
                <w:color w:val="auto"/>
              </w:rPr>
              <w:t>100%</w:t>
            </w:r>
          </w:p>
        </w:tc>
      </w:tr>
      <w:tr>
        <w:trPr>
          <w:trHeight w:val="126"/>
        </w:trPr>
        <w:tc>
          <w:tcPr>
            <w:tcW w:w="2380" w:type="dxa"/>
            <w:vAlign w:val="bottom"/>
          </w:tcPr>
          <w:p>
            <w:pPr>
              <w:ind w:left="20"/>
              <w:spacing w:after="0" w:line="126" w:lineRule="exact"/>
              <w:rPr>
                <w:sz w:val="20"/>
                <w:szCs w:val="20"/>
                <w:color w:val="auto"/>
              </w:rPr>
            </w:pPr>
            <w:r>
              <w:rPr>
                <w:rFonts w:ascii="Calibri" w:cs="Calibri" w:eastAsia="Calibri" w:hAnsi="Calibri"/>
                <w:sz w:val="13"/>
                <w:szCs w:val="13"/>
                <w:color w:val="auto"/>
              </w:rPr>
              <w:t>Cybin US</w:t>
            </w:r>
          </w:p>
        </w:tc>
        <w:tc>
          <w:tcPr>
            <w:tcW w:w="3580" w:type="dxa"/>
            <w:vAlign w:val="bottom"/>
          </w:tcPr>
          <w:p>
            <w:pPr>
              <w:spacing w:after="0"/>
              <w:rPr>
                <w:sz w:val="10"/>
                <w:szCs w:val="10"/>
                <w:color w:val="auto"/>
              </w:rPr>
            </w:pPr>
          </w:p>
        </w:tc>
        <w:tc>
          <w:tcPr>
            <w:tcW w:w="4580" w:type="dxa"/>
            <w:vAlign w:val="bottom"/>
          </w:tcPr>
          <w:p>
            <w:pPr>
              <w:spacing w:after="0"/>
              <w:rPr>
                <w:sz w:val="10"/>
                <w:szCs w:val="10"/>
                <w:color w:val="auto"/>
              </w:rPr>
            </w:pPr>
          </w:p>
        </w:tc>
      </w:tr>
      <w:tr>
        <w:trPr>
          <w:trHeight w:val="193"/>
        </w:trPr>
        <w:tc>
          <w:tcPr>
            <w:tcW w:w="2380" w:type="dxa"/>
            <w:vAlign w:val="bottom"/>
          </w:tcPr>
          <w:p>
            <w:pPr>
              <w:ind w:left="20"/>
              <w:spacing w:after="0" w:line="193" w:lineRule="exact"/>
              <w:rPr>
                <w:sz w:val="20"/>
                <w:szCs w:val="20"/>
                <w:color w:val="auto"/>
              </w:rPr>
            </w:pPr>
            <w:r>
              <w:rPr>
                <w:rFonts w:ascii="Calibri" w:cs="Calibri" w:eastAsia="Calibri" w:hAnsi="Calibri"/>
                <w:sz w:val="16"/>
                <w:szCs w:val="16"/>
                <w:color w:val="auto"/>
              </w:rPr>
              <w:t>Adelia</w:t>
            </w:r>
          </w:p>
        </w:tc>
        <w:tc>
          <w:tcPr>
            <w:tcW w:w="3580" w:type="dxa"/>
            <w:vAlign w:val="bottom"/>
          </w:tcPr>
          <w:p>
            <w:pPr>
              <w:ind w:left="1140"/>
              <w:spacing w:after="0" w:line="193" w:lineRule="exact"/>
              <w:rPr>
                <w:sz w:val="20"/>
                <w:szCs w:val="20"/>
                <w:color w:val="auto"/>
              </w:rPr>
            </w:pPr>
            <w:r>
              <w:rPr>
                <w:rFonts w:ascii="Calibri" w:cs="Calibri" w:eastAsia="Calibri" w:hAnsi="Calibri"/>
                <w:sz w:val="16"/>
                <w:szCs w:val="16"/>
                <w:color w:val="auto"/>
              </w:rPr>
              <w:t>U.S. dollars</w:t>
            </w:r>
          </w:p>
        </w:tc>
        <w:tc>
          <w:tcPr>
            <w:tcW w:w="4580" w:type="dxa"/>
            <w:vAlign w:val="bottom"/>
          </w:tcPr>
          <w:p>
            <w:pPr>
              <w:ind w:left="1080"/>
              <w:spacing w:after="0" w:line="193" w:lineRule="exact"/>
              <w:rPr>
                <w:sz w:val="20"/>
                <w:szCs w:val="20"/>
                <w:color w:val="auto"/>
              </w:rPr>
            </w:pPr>
            <w:r>
              <w:rPr>
                <w:rFonts w:ascii="Calibri" w:cs="Calibri" w:eastAsia="Calibri" w:hAnsi="Calibri"/>
                <w:sz w:val="16"/>
                <w:szCs w:val="16"/>
                <w:color w:val="auto"/>
              </w:rPr>
              <w:t>100%</w:t>
            </w: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Cybin IRL</w:t>
            </w:r>
          </w:p>
        </w:tc>
        <w:tc>
          <w:tcPr>
            <w:tcW w:w="3580" w:type="dxa"/>
            <w:vAlign w:val="bottom"/>
          </w:tcPr>
          <w:p>
            <w:pPr>
              <w:ind w:left="1140"/>
              <w:spacing w:after="0"/>
              <w:rPr>
                <w:sz w:val="20"/>
                <w:szCs w:val="20"/>
                <w:color w:val="auto"/>
              </w:rPr>
            </w:pPr>
            <w:r>
              <w:rPr>
                <w:rFonts w:ascii="Calibri" w:cs="Calibri" w:eastAsia="Calibri" w:hAnsi="Calibri"/>
                <w:sz w:val="16"/>
                <w:szCs w:val="16"/>
                <w:color w:val="auto"/>
              </w:rPr>
              <w:t>U.S. dollars</w:t>
            </w:r>
          </w:p>
        </w:tc>
        <w:tc>
          <w:tcPr>
            <w:tcW w:w="4580" w:type="dxa"/>
            <w:vAlign w:val="bottom"/>
          </w:tcPr>
          <w:p>
            <w:pPr>
              <w:ind w:left="1080"/>
              <w:spacing w:after="0"/>
              <w:rPr>
                <w:sz w:val="20"/>
                <w:szCs w:val="20"/>
                <w:color w:val="auto"/>
              </w:rPr>
            </w:pPr>
            <w:r>
              <w:rPr>
                <w:rFonts w:ascii="Calibri" w:cs="Calibri" w:eastAsia="Calibri" w:hAnsi="Calibri"/>
                <w:sz w:val="16"/>
                <w:szCs w:val="16"/>
                <w:color w:val="auto"/>
              </w:rPr>
              <w:t>100%</w:t>
            </w:r>
          </w:p>
        </w:tc>
      </w:tr>
      <w:tr>
        <w:trPr>
          <w:trHeight w:val="166"/>
        </w:trPr>
        <w:tc>
          <w:tcPr>
            <w:tcW w:w="2380" w:type="dxa"/>
            <w:vAlign w:val="bottom"/>
          </w:tcPr>
          <w:p>
            <w:pPr>
              <w:ind w:left="840"/>
              <w:spacing w:after="0"/>
              <w:rPr>
                <w:sz w:val="20"/>
                <w:szCs w:val="20"/>
                <w:color w:val="auto"/>
              </w:rPr>
            </w:pPr>
            <w:r>
              <w:rPr>
                <w:rFonts w:ascii="Calibri" w:cs="Calibri" w:eastAsia="Calibri" w:hAnsi="Calibri"/>
                <w:sz w:val="11"/>
                <w:szCs w:val="11"/>
                <w:color w:val="auto"/>
              </w:rPr>
              <w:t>.2</w:t>
            </w:r>
          </w:p>
        </w:tc>
        <w:tc>
          <w:tcPr>
            <w:tcW w:w="3580" w:type="dxa"/>
            <w:vAlign w:val="bottom"/>
          </w:tcPr>
          <w:p>
            <w:pPr>
              <w:ind w:left="1140"/>
              <w:spacing w:after="0" w:line="167" w:lineRule="exact"/>
              <w:rPr>
                <w:sz w:val="20"/>
                <w:szCs w:val="20"/>
                <w:color w:val="auto"/>
              </w:rPr>
            </w:pPr>
            <w:r>
              <w:rPr>
                <w:rFonts w:ascii="Calibri" w:cs="Calibri" w:eastAsia="Calibri" w:hAnsi="Calibri"/>
                <w:sz w:val="16"/>
                <w:szCs w:val="16"/>
                <w:color w:val="auto"/>
              </w:rPr>
              <w:t>Great Britain pounds</w:t>
            </w:r>
          </w:p>
        </w:tc>
        <w:tc>
          <w:tcPr>
            <w:tcW w:w="4580" w:type="dxa"/>
            <w:vAlign w:val="bottom"/>
          </w:tcPr>
          <w:p>
            <w:pPr>
              <w:ind w:left="1080"/>
              <w:spacing w:after="0" w:line="167" w:lineRule="exact"/>
              <w:rPr>
                <w:sz w:val="20"/>
                <w:szCs w:val="20"/>
                <w:color w:val="auto"/>
              </w:rPr>
            </w:pPr>
            <w:r>
              <w:rPr>
                <w:rFonts w:ascii="Calibri" w:cs="Calibri" w:eastAsia="Calibri" w:hAnsi="Calibri"/>
                <w:sz w:val="16"/>
                <w:szCs w:val="16"/>
                <w:color w:val="auto"/>
              </w:rPr>
              <w:t>100%</w:t>
            </w:r>
          </w:p>
        </w:tc>
      </w:tr>
      <w:tr>
        <w:trPr>
          <w:trHeight w:val="126"/>
        </w:trPr>
        <w:tc>
          <w:tcPr>
            <w:tcW w:w="2380" w:type="dxa"/>
            <w:vAlign w:val="bottom"/>
          </w:tcPr>
          <w:p>
            <w:pPr>
              <w:ind w:left="20"/>
              <w:spacing w:after="0" w:line="126" w:lineRule="exact"/>
              <w:rPr>
                <w:sz w:val="20"/>
                <w:szCs w:val="20"/>
                <w:color w:val="auto"/>
              </w:rPr>
            </w:pPr>
            <w:r>
              <w:rPr>
                <w:rFonts w:ascii="Calibri" w:cs="Calibri" w:eastAsia="Calibri" w:hAnsi="Calibri"/>
                <w:sz w:val="13"/>
                <w:szCs w:val="13"/>
                <w:color w:val="auto"/>
              </w:rPr>
              <w:t>Cybin UK Ltd</w:t>
            </w:r>
          </w:p>
        </w:tc>
        <w:tc>
          <w:tcPr>
            <w:tcW w:w="3580" w:type="dxa"/>
            <w:vAlign w:val="bottom"/>
          </w:tcPr>
          <w:p>
            <w:pPr>
              <w:spacing w:after="0"/>
              <w:rPr>
                <w:sz w:val="10"/>
                <w:szCs w:val="10"/>
                <w:color w:val="auto"/>
              </w:rPr>
            </w:pPr>
          </w:p>
        </w:tc>
        <w:tc>
          <w:tcPr>
            <w:tcW w:w="4580" w:type="dxa"/>
            <w:vAlign w:val="bottom"/>
          </w:tcPr>
          <w:p>
            <w:pPr>
              <w:spacing w:after="0"/>
              <w:rPr>
                <w:sz w:val="10"/>
                <w:szCs w:val="10"/>
                <w:color w:val="auto"/>
              </w:rPr>
            </w:pPr>
          </w:p>
        </w:tc>
      </w:tr>
      <w:tr>
        <w:trPr>
          <w:trHeight w:val="153"/>
        </w:trPr>
        <w:tc>
          <w:tcPr>
            <w:tcW w:w="2380" w:type="dxa"/>
            <w:vAlign w:val="bottom"/>
          </w:tcPr>
          <w:p>
            <w:pPr>
              <w:ind w:left="1160"/>
              <w:spacing w:after="0"/>
              <w:rPr>
                <w:sz w:val="20"/>
                <w:szCs w:val="20"/>
                <w:color w:val="auto"/>
              </w:rPr>
            </w:pPr>
            <w:r>
              <w:rPr>
                <w:rFonts w:ascii="Calibri" w:cs="Calibri" w:eastAsia="Calibri" w:hAnsi="Calibri"/>
                <w:sz w:val="11"/>
                <w:szCs w:val="11"/>
                <w:color w:val="auto"/>
              </w:rPr>
              <w:t>3</w:t>
            </w:r>
          </w:p>
        </w:tc>
        <w:tc>
          <w:tcPr>
            <w:tcW w:w="3580" w:type="dxa"/>
            <w:vAlign w:val="bottom"/>
          </w:tcPr>
          <w:p>
            <w:pPr>
              <w:ind w:left="1140"/>
              <w:spacing w:after="0" w:line="153" w:lineRule="exact"/>
              <w:rPr>
                <w:sz w:val="20"/>
                <w:szCs w:val="20"/>
                <w:color w:val="auto"/>
              </w:rPr>
            </w:pPr>
            <w:r>
              <w:rPr>
                <w:rFonts w:ascii="Calibri" w:cs="Calibri" w:eastAsia="Calibri" w:hAnsi="Calibri"/>
                <w:sz w:val="16"/>
                <w:szCs w:val="16"/>
                <w:color w:val="auto"/>
              </w:rPr>
              <w:t>Canadian dollars</w:t>
            </w:r>
          </w:p>
        </w:tc>
        <w:tc>
          <w:tcPr>
            <w:tcW w:w="4580" w:type="dxa"/>
            <w:vAlign w:val="bottom"/>
          </w:tcPr>
          <w:p>
            <w:pPr>
              <w:ind w:left="1080"/>
              <w:spacing w:after="0" w:line="153" w:lineRule="exact"/>
              <w:rPr>
                <w:sz w:val="20"/>
                <w:szCs w:val="20"/>
                <w:color w:val="auto"/>
              </w:rPr>
            </w:pPr>
            <w:r>
              <w:rPr>
                <w:rFonts w:ascii="Calibri" w:cs="Calibri" w:eastAsia="Calibri" w:hAnsi="Calibri"/>
                <w:sz w:val="16"/>
                <w:szCs w:val="16"/>
                <w:color w:val="auto"/>
              </w:rPr>
              <w:t>100%</w:t>
            </w:r>
          </w:p>
        </w:tc>
      </w:tr>
      <w:tr>
        <w:trPr>
          <w:trHeight w:val="193"/>
        </w:trPr>
        <w:tc>
          <w:tcPr>
            <w:tcW w:w="2380" w:type="dxa"/>
            <w:vAlign w:val="bottom"/>
          </w:tcPr>
          <w:p>
            <w:pPr>
              <w:ind w:left="20"/>
              <w:spacing w:after="0" w:line="193" w:lineRule="exact"/>
              <w:rPr>
                <w:sz w:val="20"/>
                <w:szCs w:val="20"/>
                <w:color w:val="auto"/>
              </w:rPr>
            </w:pPr>
            <w:r>
              <w:rPr>
                <w:rFonts w:ascii="Calibri" w:cs="Calibri" w:eastAsia="Calibri" w:hAnsi="Calibri"/>
                <w:sz w:val="16"/>
                <w:szCs w:val="16"/>
                <w:color w:val="auto"/>
              </w:rPr>
              <w:t>Small Pharma Inc.</w:t>
            </w:r>
          </w:p>
        </w:tc>
        <w:tc>
          <w:tcPr>
            <w:tcW w:w="3580" w:type="dxa"/>
            <w:vAlign w:val="bottom"/>
          </w:tcPr>
          <w:p>
            <w:pPr>
              <w:spacing w:after="0"/>
              <w:rPr>
                <w:sz w:val="16"/>
                <w:szCs w:val="16"/>
                <w:color w:val="auto"/>
              </w:rPr>
            </w:pPr>
          </w:p>
        </w:tc>
        <w:tc>
          <w:tcPr>
            <w:tcW w:w="4580" w:type="dxa"/>
            <w:vAlign w:val="bottom"/>
          </w:tcPr>
          <w:p>
            <w:pPr>
              <w:spacing w:after="0"/>
              <w:rPr>
                <w:sz w:val="16"/>
                <w:szCs w:val="16"/>
                <w:color w:val="auto"/>
              </w:rPr>
            </w:pPr>
          </w:p>
        </w:tc>
      </w:tr>
    </w:tbl>
    <w:p>
      <w:pPr>
        <w:spacing w:after="0" w:line="189" w:lineRule="exact"/>
        <w:rPr>
          <w:sz w:val="20"/>
          <w:szCs w:val="20"/>
          <w:color w:val="auto"/>
        </w:rPr>
      </w:pPr>
    </w:p>
    <w:p>
      <w:pPr>
        <w:ind w:left="360" w:hanging="72"/>
        <w:spacing w:after="0"/>
        <w:tabs>
          <w:tab w:leader="none" w:pos="360" w:val="left"/>
        </w:tabs>
        <w:numPr>
          <w:ilvl w:val="0"/>
          <w:numId w:val="1"/>
        </w:numPr>
        <w:rPr>
          <w:rFonts w:ascii="Calibri" w:cs="Calibri" w:eastAsia="Calibri" w:hAnsi="Calibri"/>
          <w:sz w:val="17"/>
          <w:szCs w:val="17"/>
          <w:color w:val="auto"/>
          <w:vertAlign w:val="superscript"/>
        </w:rPr>
      </w:pPr>
      <w:r>
        <w:rPr>
          <w:rFonts w:ascii="Calibri" w:cs="Calibri" w:eastAsia="Calibri" w:hAnsi="Calibri"/>
          <w:sz w:val="13"/>
          <w:szCs w:val="13"/>
          <w:color w:val="auto"/>
        </w:rPr>
        <w:t>For accountng purposes, Cybin US is a wholly-owned subsidiary of Cybin. Certain former shareholders of Adelia hold Class B Shares (defned below) in Cybin US.</w:t>
      </w:r>
    </w:p>
    <w:p>
      <w:pPr>
        <w:spacing w:after="0" w:line="178"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vertAlign w:val="superscript"/>
        </w:rPr>
        <w:t>2 &amp; 3</w:t>
      </w:r>
      <w:r>
        <w:rPr>
          <w:rFonts w:ascii="Calibri" w:cs="Calibri" w:eastAsia="Calibri" w:hAnsi="Calibri"/>
          <w:sz w:val="13"/>
          <w:szCs w:val="13"/>
          <w:color w:val="auto"/>
        </w:rPr>
        <w:t>Cybin UK Ltd and Small Pharma Inc. are wholly-owned subsidiaries of Cybin, which were acquired on October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8 of 32</w:t>
      </w:r>
    </w:p>
    <w:p>
      <w:pPr>
        <w:sectPr>
          <w:pgSz w:w="11900" w:h="16838" w:orient="portrait"/>
          <w:cols w:equalWidth="0" w:num="1">
            <w:col w:w="11260"/>
          </w:cols>
          <w:pgMar w:left="320" w:top="198" w:right="319" w:bottom="1440" w:gutter="0" w:footer="0" w:header="0"/>
        </w:sectPr>
      </w:pPr>
    </w:p>
    <w:bookmarkStart w:id="11" w:name="page12"/>
    <w:bookmarkEnd w:id="1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Material accountng policy informaton</w:t>
      </w:r>
    </w:p>
    <w:p>
      <w:pPr>
        <w:spacing w:after="0" w:line="183" w:lineRule="exact"/>
        <w:rPr>
          <w:sz w:val="20"/>
          <w:szCs w:val="20"/>
          <w:color w:val="auto"/>
        </w:rPr>
      </w:pPr>
    </w:p>
    <w:p>
      <w:pPr>
        <w:jc w:val="both"/>
        <w:ind w:left="280" w:right="20"/>
        <w:spacing w:after="0" w:line="265" w:lineRule="auto"/>
        <w:rPr>
          <w:sz w:val="20"/>
          <w:szCs w:val="20"/>
          <w:color w:val="auto"/>
        </w:rPr>
      </w:pPr>
      <w:r>
        <w:rPr>
          <w:rFonts w:ascii="Calibri" w:cs="Calibri" w:eastAsia="Calibri" w:hAnsi="Calibri"/>
          <w:sz w:val="16"/>
          <w:szCs w:val="16"/>
          <w:color w:val="auto"/>
        </w:rPr>
        <w:t>These condensed interim consolidated fnancial statements have been prepared using the same accountng policies and methods as those used in the Company’s annual consolidated fnancial statements for the year ended March 31, 2023.</w:t>
      </w:r>
    </w:p>
    <w:p>
      <w:pPr>
        <w:spacing w:after="0" w:line="173"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Use of signifcant estmates and assumptons</w:t>
      </w:r>
    </w:p>
    <w:p>
      <w:pPr>
        <w:spacing w:after="0" w:line="195" w:lineRule="exact"/>
        <w:rPr>
          <w:sz w:val="20"/>
          <w:szCs w:val="20"/>
          <w:color w:val="auto"/>
        </w:rPr>
      </w:pPr>
    </w:p>
    <w:p>
      <w:pPr>
        <w:jc w:val="both"/>
        <w:ind w:left="280"/>
        <w:spacing w:after="0" w:line="274" w:lineRule="auto"/>
        <w:rPr>
          <w:sz w:val="20"/>
          <w:szCs w:val="20"/>
          <w:color w:val="auto"/>
        </w:rPr>
      </w:pPr>
      <w:r>
        <w:rPr>
          <w:rFonts w:ascii="Calibri" w:cs="Calibri" w:eastAsia="Calibri" w:hAnsi="Calibri"/>
          <w:sz w:val="16"/>
          <w:szCs w:val="16"/>
          <w:color w:val="auto"/>
        </w:rPr>
        <w:t>The preparaton of fnancial statements in accordance with IAS 34 requires the use of certain signifcant estmates and assumptons. It also requires management to exercise judgment when applying the Company’s accountng policies. The critcal accountng estmates and judgments have been set out in note 3 of the Company’s annual consolidated fnancial statements for the year ended March 31, 2023.</w:t>
      </w:r>
    </w:p>
    <w:p>
      <w:pPr>
        <w:spacing w:after="0" w:line="200" w:lineRule="exact"/>
        <w:rPr>
          <w:sz w:val="20"/>
          <w:szCs w:val="20"/>
          <w:color w:val="auto"/>
        </w:rPr>
      </w:pPr>
    </w:p>
    <w:p>
      <w:pPr>
        <w:spacing w:after="0" w:line="245"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New standards and interpretatons not yet adopted</w:t>
      </w:r>
    </w:p>
    <w:p>
      <w:pPr>
        <w:spacing w:after="0" w:line="171" w:lineRule="exact"/>
        <w:rPr>
          <w:sz w:val="20"/>
          <w:szCs w:val="20"/>
          <w:color w:val="auto"/>
        </w:rPr>
      </w:pPr>
    </w:p>
    <w:p>
      <w:pPr>
        <w:jc w:val="both"/>
        <w:ind w:left="280"/>
        <w:spacing w:after="0" w:line="259" w:lineRule="auto"/>
        <w:rPr>
          <w:sz w:val="20"/>
          <w:szCs w:val="20"/>
          <w:color w:val="auto"/>
        </w:rPr>
      </w:pPr>
      <w:r>
        <w:rPr>
          <w:rFonts w:ascii="Calibri" w:cs="Calibri" w:eastAsia="Calibri" w:hAnsi="Calibri"/>
          <w:sz w:val="16"/>
          <w:szCs w:val="16"/>
          <w:color w:val="auto"/>
        </w:rPr>
        <w:t>A number of new standards, amendments to standards and interpretatons are not yet efectve as at December 31, 2023, and have not been applied in preparing these condensed interim consolidated fnancial statements. Management has determined that none of these will have a signifcant efect on the condensed interim consolidated fnancial statements of the Company.</w:t>
      </w:r>
    </w:p>
    <w:p>
      <w:pPr>
        <w:spacing w:after="0" w:line="38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3. ACQUISITION</w:t>
      </w:r>
    </w:p>
    <w:p>
      <w:pPr>
        <w:spacing w:after="0" w:line="243" w:lineRule="exact"/>
        <w:rPr>
          <w:sz w:val="20"/>
          <w:szCs w:val="20"/>
          <w:color w:val="auto"/>
        </w:rPr>
      </w:pPr>
    </w:p>
    <w:p>
      <w:pPr>
        <w:jc w:val="both"/>
        <w:spacing w:after="0" w:line="274" w:lineRule="auto"/>
        <w:rPr>
          <w:sz w:val="20"/>
          <w:szCs w:val="20"/>
          <w:color w:val="auto"/>
        </w:rPr>
      </w:pPr>
      <w:r>
        <w:rPr>
          <w:rFonts w:ascii="Calibri" w:cs="Calibri" w:eastAsia="Calibri" w:hAnsi="Calibri"/>
          <w:sz w:val="16"/>
          <w:szCs w:val="16"/>
          <w:color w:val="auto"/>
        </w:rPr>
        <w:t>On October 23, 2023, Cybin completed the acquisiton of Small Pharma and its wholly-owned subsidiary Small Pharma Ltd. (the “Acquisiton”) and issued 0.2409 Common Shares for every one common share of Small Pharma outstanding, resultng in a total of 80,945,254 Common Shares being issued to Small Pharma shareholders. As a result of the Acquisiton, Small Pharma became a wholly-owned subsidiary of Cybin. On December 16, 2023 the Company changed the name of Small Pharma Ltd to Cybin UK Ltd.</w:t>
      </w:r>
    </w:p>
    <w:p>
      <w:pPr>
        <w:spacing w:after="0" w:line="228" w:lineRule="exact"/>
        <w:rPr>
          <w:sz w:val="20"/>
          <w:szCs w:val="20"/>
          <w:color w:val="auto"/>
        </w:rPr>
      </w:pPr>
    </w:p>
    <w:p>
      <w:pPr>
        <w:ind w:right="260"/>
        <w:spacing w:after="0" w:line="265" w:lineRule="auto"/>
        <w:rPr>
          <w:sz w:val="20"/>
          <w:szCs w:val="20"/>
          <w:color w:val="auto"/>
        </w:rPr>
      </w:pPr>
      <w:r>
        <w:rPr>
          <w:rFonts w:ascii="Calibri" w:cs="Calibri" w:eastAsia="Calibri" w:hAnsi="Calibri"/>
          <w:sz w:val="16"/>
          <w:szCs w:val="16"/>
          <w:color w:val="auto"/>
        </w:rPr>
        <w:t>In connecton with the Acquisiton, all unvested optons of Small Pharma were vested and holders were able to exercise their optons prior to the close of the transacton. All remaining stock optons of Small Pharma at October 23, 2023 were cancelled and compensaton of $0.001 per stock opton was paid to the optonees.</w:t>
      </w:r>
    </w:p>
    <w:p>
      <w:pPr>
        <w:spacing w:after="0" w:line="236" w:lineRule="exact"/>
        <w:rPr>
          <w:sz w:val="20"/>
          <w:szCs w:val="20"/>
          <w:color w:val="auto"/>
        </w:rPr>
      </w:pPr>
    </w:p>
    <w:p>
      <w:pPr>
        <w:ind w:right="280"/>
        <w:spacing w:after="0" w:line="265" w:lineRule="auto"/>
        <w:rPr>
          <w:sz w:val="20"/>
          <w:szCs w:val="20"/>
          <w:color w:val="auto"/>
        </w:rPr>
      </w:pPr>
      <w:r>
        <w:rPr>
          <w:rFonts w:ascii="Calibri" w:cs="Calibri" w:eastAsia="Calibri" w:hAnsi="Calibri"/>
          <w:sz w:val="16"/>
          <w:szCs w:val="16"/>
          <w:color w:val="auto"/>
        </w:rPr>
        <w:t>As at October 23, 2023 Small Pharma’s patent portolio consisted of 17 actve patent families with 92 pending applicatons and 30 granted patents across its psychedelic and non-psychedelic portolio.</w:t>
      </w:r>
    </w:p>
    <w:p>
      <w:pPr>
        <w:spacing w:after="0" w:line="236" w:lineRule="exact"/>
        <w:rPr>
          <w:sz w:val="20"/>
          <w:szCs w:val="20"/>
          <w:color w:val="auto"/>
        </w:rPr>
      </w:pPr>
    </w:p>
    <w:p>
      <w:pPr>
        <w:ind w:right="200"/>
        <w:spacing w:after="0" w:line="257" w:lineRule="auto"/>
        <w:rPr>
          <w:sz w:val="20"/>
          <w:szCs w:val="20"/>
          <w:color w:val="auto"/>
        </w:rPr>
      </w:pPr>
      <w:r>
        <w:rPr>
          <w:rFonts w:ascii="Calibri" w:cs="Calibri" w:eastAsia="Calibri" w:hAnsi="Calibri"/>
          <w:sz w:val="16"/>
          <w:szCs w:val="16"/>
          <w:color w:val="auto"/>
        </w:rPr>
        <w:t>The Company has determined that the Acquisiton was a business combinaton under IFRS. In accordance with the measurement period permited under IFRS 3 - Business Combinatons, the fair value of the assets acquired and liabilites assumed have been estmated as follows for the purposes of these condensed interim consolidated fnancial statements. This fair valuaton is provisional, and its fnalizaton will be completed within one year from the business combinaton date as allowed under IFRS 3 and adjusted retrospectvely.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9 of 32</w:t>
      </w:r>
    </w:p>
    <w:p>
      <w:pPr>
        <w:sectPr>
          <w:pgSz w:w="11900" w:h="16838" w:orient="portrait"/>
          <w:cols w:equalWidth="0" w:num="1">
            <w:col w:w="11260"/>
          </w:cols>
          <w:pgMar w:left="320" w:top="198" w:right="319" w:bottom="1440" w:gutter="0" w:footer="0" w:header="0"/>
        </w:sectPr>
      </w:pPr>
    </w:p>
    <w:bookmarkStart w:id="12" w:name="page13"/>
    <w:bookmarkEnd w:id="1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Acquisiton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0535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3580" cy="762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ind w:left="20"/>
              <w:spacing w:after="0"/>
              <w:rPr>
                <w:sz w:val="20"/>
                <w:szCs w:val="20"/>
                <w:color w:val="auto"/>
              </w:rPr>
            </w:pPr>
            <w:r>
              <w:rPr>
                <w:rFonts w:ascii="Calibri" w:cs="Calibri" w:eastAsia="Calibri" w:hAnsi="Calibri"/>
                <w:sz w:val="16"/>
                <w:szCs w:val="16"/>
                <w:color w:val="auto"/>
              </w:rPr>
              <w:t>Share Consideraton</w:t>
            </w:r>
          </w:p>
        </w:tc>
        <w:tc>
          <w:tcPr>
            <w:tcW w:w="4100" w:type="dxa"/>
            <w:vAlign w:val="bottom"/>
          </w:tcPr>
          <w:p>
            <w:pPr>
              <w:jc w:val="right"/>
              <w:ind w:right="19"/>
              <w:spacing w:after="0"/>
              <w:rPr>
                <w:sz w:val="20"/>
                <w:szCs w:val="20"/>
                <w:color w:val="auto"/>
              </w:rPr>
            </w:pPr>
            <w:r>
              <w:rPr>
                <w:rFonts w:ascii="Calibri" w:cs="Calibri" w:eastAsia="Calibri" w:hAnsi="Calibri"/>
                <w:sz w:val="16"/>
                <w:szCs w:val="16"/>
                <w:color w:val="auto"/>
              </w:rPr>
              <w:t>$</w:t>
            </w:r>
          </w:p>
        </w:tc>
        <w:tc>
          <w:tcPr>
            <w:tcW w:w="480" w:type="dxa"/>
            <w:vAlign w:val="bottom"/>
          </w:tcPr>
          <w:p>
            <w:pPr>
              <w:jc w:val="right"/>
              <w:spacing w:after="0"/>
              <w:rPr>
                <w:sz w:val="20"/>
                <w:szCs w:val="20"/>
                <w:color w:val="auto"/>
              </w:rPr>
            </w:pPr>
            <w:r>
              <w:rPr>
                <w:rFonts w:ascii="Calibri" w:cs="Calibri" w:eastAsia="Calibri" w:hAnsi="Calibri"/>
                <w:sz w:val="16"/>
                <w:szCs w:val="16"/>
                <w:color w:val="auto"/>
              </w:rPr>
              <w:t>51,805</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92"/>
        </w:trPr>
        <w:tc>
          <w:tcPr>
            <w:tcW w:w="65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Fair value of purchaser consideraton</w:t>
            </w:r>
          </w:p>
        </w:tc>
        <w:tc>
          <w:tcPr>
            <w:tcW w:w="410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w:t>
            </w:r>
          </w:p>
        </w:tc>
        <w:tc>
          <w:tcPr>
            <w:tcW w:w="4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51,805</w:t>
            </w:r>
          </w:p>
        </w:tc>
      </w:tr>
      <w:tr>
        <w:trPr>
          <w:trHeight w:val="415"/>
        </w:trPr>
        <w:tc>
          <w:tcPr>
            <w:tcW w:w="6520" w:type="dxa"/>
            <w:vAlign w:val="bottom"/>
          </w:tcPr>
          <w:p>
            <w:pPr>
              <w:ind w:left="20"/>
              <w:spacing w:after="0"/>
              <w:rPr>
                <w:sz w:val="20"/>
                <w:szCs w:val="20"/>
                <w:color w:val="auto"/>
              </w:rPr>
            </w:pPr>
            <w:r>
              <w:rPr>
                <w:rFonts w:ascii="Calibri" w:cs="Calibri" w:eastAsia="Calibri" w:hAnsi="Calibri"/>
                <w:sz w:val="16"/>
                <w:szCs w:val="16"/>
                <w:b w:val="1"/>
                <w:bCs w:val="1"/>
                <w:color w:val="auto"/>
              </w:rPr>
              <w:t>Provisional Allocaton of Purchase Price</w:t>
            </w:r>
          </w:p>
        </w:tc>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5"/>
        </w:trPr>
        <w:tc>
          <w:tcPr>
            <w:tcW w:w="6520" w:type="dxa"/>
            <w:vAlign w:val="bottom"/>
          </w:tcPr>
          <w:p>
            <w:pPr>
              <w:ind w:left="20"/>
              <w:spacing w:after="0" w:line="185" w:lineRule="exact"/>
              <w:rPr>
                <w:sz w:val="20"/>
                <w:szCs w:val="20"/>
                <w:color w:val="auto"/>
              </w:rPr>
            </w:pPr>
            <w:r>
              <w:rPr>
                <w:rFonts w:ascii="Calibri" w:cs="Calibri" w:eastAsia="Calibri" w:hAnsi="Calibri"/>
                <w:sz w:val="16"/>
                <w:szCs w:val="16"/>
                <w:color w:val="auto"/>
              </w:rPr>
              <w:t>Current assets</w:t>
            </w:r>
          </w:p>
        </w:tc>
        <w:tc>
          <w:tcPr>
            <w:tcW w:w="4100" w:type="dxa"/>
            <w:vAlign w:val="bottom"/>
          </w:tcPr>
          <w:p>
            <w:pPr>
              <w:jc w:val="right"/>
              <w:spacing w:after="0" w:line="185" w:lineRule="exact"/>
              <w:rPr>
                <w:sz w:val="20"/>
                <w:szCs w:val="20"/>
                <w:color w:val="auto"/>
              </w:rPr>
            </w:pPr>
            <w:r>
              <w:rPr>
                <w:rFonts w:ascii="Calibri" w:cs="Calibri" w:eastAsia="Calibri" w:hAnsi="Calibri"/>
                <w:sz w:val="16"/>
                <w:szCs w:val="16"/>
                <w:color w:val="auto"/>
              </w:rPr>
              <w:t>$</w:t>
            </w:r>
          </w:p>
        </w:tc>
        <w:tc>
          <w:tcPr>
            <w:tcW w:w="480" w:type="dxa"/>
            <w:vAlign w:val="bottom"/>
          </w:tcPr>
          <w:p>
            <w:pPr>
              <w:jc w:val="right"/>
              <w:spacing w:after="0" w:line="185" w:lineRule="exact"/>
              <w:rPr>
                <w:sz w:val="20"/>
                <w:szCs w:val="20"/>
                <w:color w:val="auto"/>
              </w:rPr>
            </w:pPr>
            <w:r>
              <w:rPr>
                <w:rFonts w:ascii="Calibri" w:cs="Calibri" w:eastAsia="Calibri" w:hAnsi="Calibri"/>
                <w:sz w:val="16"/>
                <w:szCs w:val="16"/>
                <w:color w:val="auto"/>
              </w:rPr>
              <w:t>8,142</w:t>
            </w:r>
          </w:p>
        </w:tc>
      </w:tr>
      <w:tr>
        <w:trPr>
          <w:trHeight w:val="198"/>
        </w:trPr>
        <w:tc>
          <w:tcPr>
            <w:tcW w:w="6520" w:type="dxa"/>
            <w:vAlign w:val="bottom"/>
          </w:tcPr>
          <w:p>
            <w:pPr>
              <w:ind w:left="20"/>
              <w:spacing w:after="0"/>
              <w:rPr>
                <w:sz w:val="20"/>
                <w:szCs w:val="20"/>
                <w:color w:val="auto"/>
              </w:rPr>
            </w:pPr>
            <w:r>
              <w:rPr>
                <w:rFonts w:ascii="Calibri" w:cs="Calibri" w:eastAsia="Calibri" w:hAnsi="Calibri"/>
                <w:sz w:val="16"/>
                <w:szCs w:val="16"/>
                <w:color w:val="auto"/>
              </w:rPr>
              <w:t>Net equipment</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37</w:t>
            </w:r>
          </w:p>
        </w:tc>
      </w:tr>
      <w:tr>
        <w:trPr>
          <w:trHeight w:val="206"/>
        </w:trPr>
        <w:tc>
          <w:tcPr>
            <w:tcW w:w="6520" w:type="dxa"/>
            <w:vAlign w:val="bottom"/>
          </w:tcPr>
          <w:p>
            <w:pPr>
              <w:ind w:left="20"/>
              <w:spacing w:after="0"/>
              <w:rPr>
                <w:sz w:val="20"/>
                <w:szCs w:val="20"/>
                <w:color w:val="auto"/>
              </w:rPr>
            </w:pPr>
            <w:r>
              <w:rPr>
                <w:rFonts w:ascii="Calibri" w:cs="Calibri" w:eastAsia="Calibri" w:hAnsi="Calibri"/>
                <w:sz w:val="16"/>
                <w:szCs w:val="16"/>
                <w:color w:val="auto"/>
              </w:rPr>
              <w:t>Intellectual property</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38,443</w:t>
            </w:r>
          </w:p>
        </w:tc>
      </w:tr>
      <w:tr>
        <w:trPr>
          <w:trHeight w:val="206"/>
        </w:trPr>
        <w:tc>
          <w:tcPr>
            <w:tcW w:w="6520" w:type="dxa"/>
            <w:vAlign w:val="bottom"/>
          </w:tcPr>
          <w:p>
            <w:pPr>
              <w:ind w:left="20"/>
              <w:spacing w:after="0"/>
              <w:rPr>
                <w:sz w:val="20"/>
                <w:szCs w:val="20"/>
                <w:color w:val="auto"/>
              </w:rPr>
            </w:pPr>
            <w:r>
              <w:rPr>
                <w:rFonts w:ascii="Calibri" w:cs="Calibri" w:eastAsia="Calibri" w:hAnsi="Calibri"/>
                <w:sz w:val="16"/>
                <w:szCs w:val="16"/>
                <w:color w:val="auto"/>
              </w:rPr>
              <w:t>Right of use asset</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412</w:t>
            </w:r>
          </w:p>
        </w:tc>
      </w:tr>
      <w:tr>
        <w:trPr>
          <w:trHeight w:val="206"/>
        </w:trPr>
        <w:tc>
          <w:tcPr>
            <w:tcW w:w="6520" w:type="dxa"/>
            <w:vAlign w:val="bottom"/>
          </w:tcPr>
          <w:p>
            <w:pPr>
              <w:ind w:left="20"/>
              <w:spacing w:after="0"/>
              <w:rPr>
                <w:sz w:val="20"/>
                <w:szCs w:val="20"/>
                <w:color w:val="auto"/>
              </w:rPr>
            </w:pPr>
            <w:r>
              <w:rPr>
                <w:rFonts w:ascii="Calibri" w:cs="Calibri" w:eastAsia="Calibri" w:hAnsi="Calibri"/>
                <w:sz w:val="16"/>
                <w:szCs w:val="16"/>
                <w:color w:val="auto"/>
              </w:rPr>
              <w:t>Lease liability</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(415)</w:t>
            </w:r>
          </w:p>
        </w:tc>
      </w:tr>
      <w:tr>
        <w:trPr>
          <w:trHeight w:val="206"/>
        </w:trPr>
        <w:tc>
          <w:tcPr>
            <w:tcW w:w="6520" w:type="dxa"/>
            <w:vAlign w:val="bottom"/>
          </w:tcPr>
          <w:p>
            <w:pPr>
              <w:ind w:left="20"/>
              <w:spacing w:after="0"/>
              <w:rPr>
                <w:sz w:val="20"/>
                <w:szCs w:val="20"/>
                <w:color w:val="auto"/>
              </w:rPr>
            </w:pPr>
            <w:r>
              <w:rPr>
                <w:rFonts w:ascii="Calibri" w:cs="Calibri" w:eastAsia="Calibri" w:hAnsi="Calibri"/>
                <w:sz w:val="16"/>
                <w:szCs w:val="16"/>
                <w:color w:val="auto"/>
              </w:rPr>
              <w:t>Liabilites assumed</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w w:val="99"/>
              </w:rPr>
              <w:t>(6,686)</w:t>
            </w:r>
          </w:p>
        </w:tc>
      </w:tr>
      <w:tr>
        <w:trPr>
          <w:trHeight w:val="206"/>
        </w:trPr>
        <w:tc>
          <w:tcPr>
            <w:tcW w:w="6520" w:type="dxa"/>
            <w:vAlign w:val="bottom"/>
          </w:tcPr>
          <w:p>
            <w:pPr>
              <w:ind w:left="20"/>
              <w:spacing w:after="0"/>
              <w:rPr>
                <w:sz w:val="20"/>
                <w:szCs w:val="20"/>
                <w:color w:val="auto"/>
              </w:rPr>
            </w:pPr>
            <w:r>
              <w:rPr>
                <w:rFonts w:ascii="Calibri" w:cs="Calibri" w:eastAsia="Calibri" w:hAnsi="Calibri"/>
                <w:sz w:val="16"/>
                <w:szCs w:val="16"/>
                <w:color w:val="auto"/>
              </w:rPr>
              <w:t>Goodwill</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11,872</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92"/>
        </w:trPr>
        <w:tc>
          <w:tcPr>
            <w:tcW w:w="65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Total allocaton of purchase price</w:t>
            </w:r>
          </w:p>
        </w:tc>
        <w:tc>
          <w:tcPr>
            <w:tcW w:w="410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w:t>
            </w:r>
          </w:p>
        </w:tc>
        <w:tc>
          <w:tcPr>
            <w:tcW w:w="4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51,805</w:t>
            </w:r>
          </w:p>
        </w:tc>
      </w:tr>
    </w:tbl>
    <w:p>
      <w:pPr>
        <w:spacing w:after="0" w:line="200" w:lineRule="exact"/>
        <w:rPr>
          <w:sz w:val="20"/>
          <w:szCs w:val="20"/>
          <w:color w:val="auto"/>
        </w:rPr>
      </w:pPr>
    </w:p>
    <w:p>
      <w:pPr>
        <w:spacing w:after="0" w:line="302" w:lineRule="exact"/>
        <w:rPr>
          <w:sz w:val="20"/>
          <w:szCs w:val="20"/>
          <w:color w:val="auto"/>
        </w:rPr>
      </w:pPr>
    </w:p>
    <w:p>
      <w:pPr>
        <w:ind w:right="3780"/>
        <w:spacing w:after="0" w:line="299" w:lineRule="auto"/>
        <w:rPr>
          <w:sz w:val="20"/>
          <w:szCs w:val="20"/>
          <w:color w:val="auto"/>
        </w:rPr>
      </w:pPr>
      <w:r>
        <w:rPr>
          <w:rFonts w:ascii="Calibri" w:cs="Calibri" w:eastAsia="Calibri" w:hAnsi="Calibri"/>
          <w:sz w:val="15"/>
          <w:szCs w:val="15"/>
          <w:color w:val="auto"/>
        </w:rPr>
        <w:t>A professional valuator has been engaged by the Company to estmate the value of the assets of Small Pharma for the purpose of the fnal purchase price allocaton. Accordingly, the above estmated values may be subject to change.</w:t>
      </w:r>
    </w:p>
    <w:p>
      <w:pPr>
        <w:spacing w:after="0" w:line="211" w:lineRule="exact"/>
        <w:rPr>
          <w:sz w:val="20"/>
          <w:szCs w:val="20"/>
          <w:color w:val="auto"/>
        </w:rPr>
      </w:pPr>
    </w:p>
    <w:p>
      <w:pPr>
        <w:ind w:right="520"/>
        <w:spacing w:after="0" w:line="294" w:lineRule="auto"/>
        <w:rPr>
          <w:sz w:val="20"/>
          <w:szCs w:val="20"/>
          <w:color w:val="auto"/>
        </w:rPr>
      </w:pPr>
      <w:r>
        <w:rPr>
          <w:rFonts w:ascii="Calibri" w:cs="Calibri" w:eastAsia="Calibri" w:hAnsi="Calibri"/>
          <w:sz w:val="15"/>
          <w:szCs w:val="15"/>
          <w:color w:val="auto"/>
        </w:rPr>
        <w:t>As at February 28, 2023, Small Pharma had Canadian loss carry forwards of $9,393 and UK loss carry forwards (stated in Canadian dollars) of $46,631. No value has been ascribed to loss carry forward in these condensed interim consolidated fnancial statements. Tax values of assets acquired may difer from their accountng values.</w:t>
      </w:r>
    </w:p>
    <w:p>
      <w:pPr>
        <w:ind w:right="20"/>
        <w:spacing w:after="0" w:line="250" w:lineRule="auto"/>
        <w:rPr>
          <w:sz w:val="20"/>
          <w:szCs w:val="20"/>
          <w:color w:val="auto"/>
        </w:rPr>
      </w:pPr>
      <w:r>
        <w:rPr>
          <w:rFonts w:ascii="Calibri" w:cs="Calibri" w:eastAsia="Calibri" w:hAnsi="Calibri"/>
          <w:sz w:val="16"/>
          <w:szCs w:val="16"/>
          <w:color w:val="auto"/>
        </w:rPr>
        <w:t>The following revenue and net income (loss) is atributable to the period subsequent to the Acquisiton and included in the Company’s consolidated fnancial statements for the three months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71462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ind w:left="20"/>
              <w:spacing w:after="0"/>
              <w:rPr>
                <w:sz w:val="20"/>
                <w:szCs w:val="20"/>
                <w:color w:val="auto"/>
              </w:rPr>
            </w:pPr>
            <w:r>
              <w:rPr>
                <w:rFonts w:ascii="Calibri" w:cs="Calibri" w:eastAsia="Calibri" w:hAnsi="Calibri"/>
                <w:sz w:val="16"/>
                <w:szCs w:val="16"/>
                <w:color w:val="auto"/>
              </w:rPr>
              <w:t>Revenue</w:t>
            </w:r>
          </w:p>
        </w:tc>
        <w:tc>
          <w:tcPr>
            <w:tcW w:w="45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4960" w:type="dxa"/>
            <w:vAlign w:val="bottom"/>
          </w:tcPr>
          <w:p>
            <w:pPr>
              <w:ind w:left="20"/>
              <w:spacing w:after="0"/>
              <w:rPr>
                <w:sz w:val="20"/>
                <w:szCs w:val="20"/>
                <w:color w:val="auto"/>
              </w:rPr>
            </w:pPr>
            <w:r>
              <w:rPr>
                <w:rFonts w:ascii="Calibri" w:cs="Calibri" w:eastAsia="Calibri" w:hAnsi="Calibri"/>
                <w:sz w:val="16"/>
                <w:szCs w:val="16"/>
                <w:color w:val="auto"/>
              </w:rPr>
              <w:t>Net loss</w:t>
            </w:r>
          </w:p>
        </w:tc>
        <w:tc>
          <w:tcPr>
            <w:tcW w:w="45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60" w:type="dxa"/>
            <w:vAlign w:val="bottom"/>
          </w:tcPr>
          <w:p>
            <w:pPr>
              <w:jc w:val="right"/>
              <w:ind w:right="1119"/>
              <w:spacing w:after="0"/>
              <w:rPr>
                <w:sz w:val="20"/>
                <w:szCs w:val="20"/>
                <w:color w:val="auto"/>
              </w:rPr>
            </w:pPr>
            <w:r>
              <w:rPr>
                <w:rFonts w:ascii="Calibri" w:cs="Calibri" w:eastAsia="Calibri" w:hAnsi="Calibri"/>
                <w:sz w:val="16"/>
                <w:szCs w:val="16"/>
                <w:color w:val="auto"/>
              </w:rPr>
              <w:t>(1,666)</w:t>
            </w:r>
          </w:p>
        </w:tc>
      </w:tr>
      <w:tr>
        <w:trPr>
          <w:trHeight w:val="21"/>
        </w:trPr>
        <w:tc>
          <w:tcPr>
            <w:tcW w:w="496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10 of 32</w:t>
      </w:r>
    </w:p>
    <w:p>
      <w:pPr>
        <w:sectPr>
          <w:pgSz w:w="11900" w:h="16838" w:orient="portrait"/>
          <w:cols w:equalWidth="0" w:num="1">
            <w:col w:w="11260"/>
          </w:cols>
          <w:pgMar w:left="320" w:top="198" w:right="319" w:bottom="1440" w:gutter="0" w:footer="0" w:header="0"/>
        </w:sectPr>
      </w:pPr>
    </w:p>
    <w:bookmarkStart w:id="13" w:name="page14"/>
    <w:bookmarkEnd w:id="13"/>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gridSpan w:val="2"/>
          </w:tcPr>
          <w:p>
            <w:pPr>
              <w:spacing w:after="0"/>
              <w:rPr>
                <w:sz w:val="20"/>
                <w:szCs w:val="20"/>
                <w:color w:val="auto"/>
              </w:rPr>
            </w:pPr>
            <w:r>
              <w:rPr>
                <w:rFonts w:ascii="Calibri" w:cs="Calibri" w:eastAsia="Calibri" w:hAnsi="Calibri"/>
                <w:sz w:val="16"/>
                <w:szCs w:val="16"/>
                <w:b w:val="1"/>
                <w:bCs w:val="1"/>
                <w:color w:val="2D5F91"/>
              </w:rPr>
              <w:t>4.  EQUIPMENT</w:t>
            </w:r>
          </w:p>
        </w:tc>
        <w:tc>
          <w:tcPr>
            <w:tcW w:w="27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8"/>
        </w:trPr>
        <w:tc>
          <w:tcPr>
            <w:tcW w:w="4280" w:type="dxa"/>
            <w:vAlign w:val="bottom"/>
            <w:gridSpan w:val="2"/>
          </w:tcPr>
          <w:p>
            <w:pPr>
              <w:ind w:left="280"/>
              <w:spacing w:after="0"/>
              <w:rPr>
                <w:sz w:val="20"/>
                <w:szCs w:val="20"/>
                <w:color w:val="auto"/>
              </w:rPr>
            </w:pPr>
            <w:r>
              <w:rPr>
                <w:rFonts w:ascii="Calibri" w:cs="Calibri" w:eastAsia="Calibri" w:hAnsi="Calibri"/>
                <w:sz w:val="16"/>
                <w:szCs w:val="16"/>
                <w:color w:val="auto"/>
              </w:rPr>
              <w:t>Equipment consists as follows:</w:t>
            </w:r>
          </w:p>
        </w:tc>
        <w:tc>
          <w:tcPr>
            <w:tcW w:w="2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85"/>
        </w:trPr>
        <w:tc>
          <w:tcPr>
            <w:tcW w:w="28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2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Lab Equipment</w:t>
            </w:r>
          </w:p>
        </w:tc>
        <w:tc>
          <w:tcPr>
            <w:tcW w:w="2640" w:type="dxa"/>
            <w:vAlign w:val="bottom"/>
          </w:tcPr>
          <w:p>
            <w:pPr>
              <w:jc w:val="right"/>
              <w:ind w:right="739"/>
              <w:spacing w:after="0"/>
              <w:rPr>
                <w:sz w:val="20"/>
                <w:szCs w:val="20"/>
                <w:color w:val="auto"/>
              </w:rPr>
            </w:pPr>
            <w:r>
              <w:rPr>
                <w:rFonts w:ascii="Calibri" w:cs="Calibri" w:eastAsia="Calibri" w:hAnsi="Calibri"/>
                <w:sz w:val="16"/>
                <w:szCs w:val="16"/>
                <w:b w:val="1"/>
                <w:bCs w:val="1"/>
                <w:color w:val="auto"/>
              </w:rPr>
              <w:t>Computer Equipment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Total</w:t>
            </w:r>
          </w:p>
        </w:tc>
      </w:tr>
      <w:tr>
        <w:trPr>
          <w:trHeight w:val="243"/>
        </w:trPr>
        <w:tc>
          <w:tcPr>
            <w:tcW w:w="2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w:t>
            </w:r>
          </w:p>
        </w:tc>
        <w:tc>
          <w:tcPr>
            <w:tcW w:w="2640" w:type="dxa"/>
            <w:vAlign w:val="bottom"/>
          </w:tcPr>
          <w:p>
            <w:pPr>
              <w:jc w:val="right"/>
              <w:ind w:right="739"/>
              <w:spacing w:after="0"/>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280" w:type="dxa"/>
            <w:vAlign w:val="bottom"/>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5"/>
        </w:trPr>
        <w:tc>
          <w:tcPr>
            <w:tcW w:w="280" w:type="dxa"/>
            <w:vAlign w:val="bottom"/>
          </w:tcPr>
          <w:p>
            <w:pPr>
              <w:spacing w:after="0"/>
              <w:rPr>
                <w:sz w:val="16"/>
                <w:szCs w:val="16"/>
                <w:color w:val="auto"/>
              </w:rPr>
            </w:pPr>
          </w:p>
        </w:tc>
        <w:tc>
          <w:tcPr>
            <w:tcW w:w="400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2780" w:type="dxa"/>
            <w:vAlign w:val="bottom"/>
          </w:tcPr>
          <w:p>
            <w:pPr>
              <w:jc w:val="right"/>
              <w:ind w:right="359"/>
              <w:spacing w:after="0" w:line="185" w:lineRule="exact"/>
              <w:rPr>
                <w:sz w:val="20"/>
                <w:szCs w:val="20"/>
                <w:color w:val="auto"/>
              </w:rPr>
            </w:pPr>
            <w:r>
              <w:rPr>
                <w:rFonts w:ascii="Calibri" w:cs="Calibri" w:eastAsia="Calibri" w:hAnsi="Calibri"/>
                <w:sz w:val="16"/>
                <w:szCs w:val="16"/>
                <w:b w:val="1"/>
                <w:bCs w:val="1"/>
                <w:color w:val="auto"/>
              </w:rPr>
              <w:t>664</w:t>
            </w:r>
          </w:p>
        </w:tc>
        <w:tc>
          <w:tcPr>
            <w:tcW w:w="2640" w:type="dxa"/>
            <w:vAlign w:val="bottom"/>
          </w:tcPr>
          <w:p>
            <w:pPr>
              <w:jc w:val="right"/>
              <w:ind w:right="679"/>
              <w:spacing w:after="0" w:line="185" w:lineRule="exact"/>
              <w:rPr>
                <w:sz w:val="20"/>
                <w:szCs w:val="20"/>
                <w:color w:val="auto"/>
              </w:rPr>
            </w:pPr>
            <w:r>
              <w:rPr>
                <w:rFonts w:ascii="Calibri" w:cs="Calibri" w:eastAsia="Calibri" w:hAnsi="Calibri"/>
                <w:sz w:val="16"/>
                <w:szCs w:val="16"/>
                <w:b w:val="1"/>
                <w:bCs w:val="1"/>
                <w:color w:val="auto"/>
              </w:rPr>
              <w:t>239</w:t>
            </w:r>
          </w:p>
        </w:tc>
        <w:tc>
          <w:tcPr>
            <w:tcW w:w="11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903</w:t>
            </w:r>
          </w:p>
        </w:tc>
      </w:tr>
      <w:tr>
        <w:trPr>
          <w:trHeight w:val="198"/>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Acquisiton from Small Pharma</w:t>
            </w:r>
          </w:p>
        </w:tc>
        <w:tc>
          <w:tcPr>
            <w:tcW w:w="27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37</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37</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7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13</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13</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Computer equipment write-down</w:t>
            </w:r>
          </w:p>
        </w:tc>
        <w:tc>
          <w:tcPr>
            <w:tcW w:w="27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(18)</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(18)</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780" w:type="dxa"/>
            <w:vAlign w:val="bottom"/>
          </w:tcPr>
          <w:p>
            <w:pPr>
              <w:jc w:val="right"/>
              <w:ind w:right="359"/>
              <w:spacing w:after="0"/>
              <w:rPr>
                <w:sz w:val="20"/>
                <w:szCs w:val="20"/>
                <w:color w:val="auto"/>
              </w:rPr>
            </w:pPr>
            <w:r>
              <w:rPr>
                <w:rFonts w:ascii="Calibri" w:cs="Calibri" w:eastAsia="Calibri" w:hAnsi="Calibri"/>
                <w:sz w:val="16"/>
                <w:szCs w:val="16"/>
                <w:color w:val="auto"/>
              </w:rPr>
              <w:t>(15)</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1</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(14)</w:t>
            </w:r>
          </w:p>
        </w:tc>
      </w:tr>
      <w:tr>
        <w:trPr>
          <w:trHeight w:val="21"/>
        </w:trPr>
        <w:tc>
          <w:tcPr>
            <w:tcW w:w="28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4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278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649</w:t>
            </w:r>
          </w:p>
        </w:tc>
        <w:tc>
          <w:tcPr>
            <w:tcW w:w="2640" w:type="dxa"/>
            <w:vAlign w:val="bottom"/>
            <w:tcBorders>
              <w:bottom w:val="single" w:sz="8" w:color="auto"/>
            </w:tcBorders>
          </w:tcPr>
          <w:p>
            <w:pPr>
              <w:jc w:val="right"/>
              <w:ind w:right="679"/>
              <w:spacing w:after="0" w:line="192" w:lineRule="exact"/>
              <w:rPr>
                <w:sz w:val="20"/>
                <w:szCs w:val="20"/>
                <w:color w:val="auto"/>
              </w:rPr>
            </w:pPr>
            <w:r>
              <w:rPr>
                <w:rFonts w:ascii="Calibri" w:cs="Calibri" w:eastAsia="Calibri" w:hAnsi="Calibri"/>
                <w:sz w:val="16"/>
                <w:szCs w:val="16"/>
                <w:b w:val="1"/>
                <w:bCs w:val="1"/>
                <w:color w:val="auto"/>
              </w:rPr>
              <w:t>272</w:t>
            </w:r>
          </w:p>
        </w:tc>
        <w:tc>
          <w:tcPr>
            <w:tcW w:w="1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921</w:t>
            </w:r>
          </w:p>
        </w:tc>
      </w:tr>
      <w:tr>
        <w:trPr>
          <w:trHeight w:val="402"/>
        </w:trPr>
        <w:tc>
          <w:tcPr>
            <w:tcW w:w="28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Depreciaton</w:t>
            </w:r>
          </w:p>
        </w:tc>
        <w:tc>
          <w:tcPr>
            <w:tcW w:w="2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b w:val="1"/>
                <w:bCs w:val="1"/>
                <w:color w:val="auto"/>
              </w:rPr>
              <w:t>Balance as at March 31, 2023</w:t>
            </w:r>
          </w:p>
        </w:tc>
        <w:tc>
          <w:tcPr>
            <w:tcW w:w="27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290</w:t>
            </w:r>
          </w:p>
        </w:tc>
        <w:tc>
          <w:tcPr>
            <w:tcW w:w="2640" w:type="dxa"/>
            <w:vAlign w:val="bottom"/>
          </w:tcPr>
          <w:p>
            <w:pPr>
              <w:jc w:val="right"/>
              <w:ind w:right="679"/>
              <w:spacing w:after="0"/>
              <w:rPr>
                <w:sz w:val="20"/>
                <w:szCs w:val="20"/>
                <w:color w:val="auto"/>
              </w:rPr>
            </w:pPr>
            <w:r>
              <w:rPr>
                <w:rFonts w:ascii="Calibri" w:cs="Calibri" w:eastAsia="Calibri" w:hAnsi="Calibri"/>
                <w:sz w:val="16"/>
                <w:szCs w:val="16"/>
                <w:b w:val="1"/>
                <w:bCs w:val="1"/>
                <w:color w:val="auto"/>
              </w:rPr>
              <w:t>163</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453</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Depreciaton charge</w:t>
            </w:r>
          </w:p>
        </w:tc>
        <w:tc>
          <w:tcPr>
            <w:tcW w:w="2780" w:type="dxa"/>
            <w:vAlign w:val="bottom"/>
          </w:tcPr>
          <w:p>
            <w:pPr>
              <w:jc w:val="right"/>
              <w:ind w:right="359"/>
              <w:spacing w:after="0"/>
              <w:rPr>
                <w:sz w:val="20"/>
                <w:szCs w:val="20"/>
                <w:color w:val="auto"/>
              </w:rPr>
            </w:pPr>
            <w:r>
              <w:rPr>
                <w:rFonts w:ascii="Calibri" w:cs="Calibri" w:eastAsia="Calibri" w:hAnsi="Calibri"/>
                <w:sz w:val="16"/>
                <w:szCs w:val="16"/>
                <w:color w:val="auto"/>
              </w:rPr>
              <w:t>104</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72</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176</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780" w:type="dxa"/>
            <w:vAlign w:val="bottom"/>
          </w:tcPr>
          <w:p>
            <w:pPr>
              <w:jc w:val="right"/>
              <w:ind w:right="359"/>
              <w:spacing w:after="0"/>
              <w:rPr>
                <w:sz w:val="20"/>
                <w:szCs w:val="20"/>
                <w:color w:val="auto"/>
              </w:rPr>
            </w:pPr>
            <w:r>
              <w:rPr>
                <w:rFonts w:ascii="Calibri" w:cs="Calibri" w:eastAsia="Calibri" w:hAnsi="Calibri"/>
                <w:sz w:val="16"/>
                <w:szCs w:val="16"/>
                <w:color w:val="auto"/>
              </w:rPr>
              <w:t>(8)</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(8)</w:t>
            </w:r>
          </w:p>
        </w:tc>
      </w:tr>
      <w:tr>
        <w:trPr>
          <w:trHeight w:val="21"/>
        </w:trPr>
        <w:tc>
          <w:tcPr>
            <w:tcW w:w="28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4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278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386</w:t>
            </w:r>
          </w:p>
        </w:tc>
        <w:tc>
          <w:tcPr>
            <w:tcW w:w="2640" w:type="dxa"/>
            <w:vAlign w:val="bottom"/>
            <w:tcBorders>
              <w:bottom w:val="single" w:sz="8" w:color="auto"/>
            </w:tcBorders>
          </w:tcPr>
          <w:p>
            <w:pPr>
              <w:jc w:val="right"/>
              <w:ind w:right="679"/>
              <w:spacing w:after="0" w:line="192" w:lineRule="exact"/>
              <w:rPr>
                <w:sz w:val="20"/>
                <w:szCs w:val="20"/>
                <w:color w:val="auto"/>
              </w:rPr>
            </w:pPr>
            <w:r>
              <w:rPr>
                <w:rFonts w:ascii="Calibri" w:cs="Calibri" w:eastAsia="Calibri" w:hAnsi="Calibri"/>
                <w:sz w:val="16"/>
                <w:szCs w:val="16"/>
                <w:b w:val="1"/>
                <w:bCs w:val="1"/>
                <w:color w:val="auto"/>
              </w:rPr>
              <w:t>235</w:t>
            </w:r>
          </w:p>
        </w:tc>
        <w:tc>
          <w:tcPr>
            <w:tcW w:w="1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621</w:t>
            </w:r>
          </w:p>
        </w:tc>
      </w:tr>
      <w:tr>
        <w:trPr>
          <w:trHeight w:val="217"/>
        </w:trPr>
        <w:tc>
          <w:tcPr>
            <w:tcW w:w="28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40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March 31, 2023</w:t>
            </w:r>
          </w:p>
        </w:tc>
        <w:tc>
          <w:tcPr>
            <w:tcW w:w="2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374</w:t>
            </w:r>
          </w:p>
        </w:tc>
        <w:tc>
          <w:tcPr>
            <w:tcW w:w="2640" w:type="dxa"/>
            <w:vAlign w:val="bottom"/>
          </w:tcPr>
          <w:p>
            <w:pPr>
              <w:jc w:val="right"/>
              <w:ind w:right="739"/>
              <w:spacing w:after="0"/>
              <w:rPr>
                <w:sz w:val="20"/>
                <w:szCs w:val="20"/>
                <w:color w:val="auto"/>
              </w:rPr>
            </w:pPr>
            <w:r>
              <w:rPr>
                <w:rFonts w:ascii="Calibri" w:cs="Calibri" w:eastAsia="Calibri" w:hAnsi="Calibri"/>
                <w:sz w:val="16"/>
                <w:szCs w:val="16"/>
                <w:b w:val="1"/>
                <w:bCs w:val="1"/>
                <w:color w:val="auto"/>
              </w:rPr>
              <w:t>76</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450</w:t>
            </w:r>
          </w:p>
        </w:tc>
      </w:tr>
      <w:tr>
        <w:trPr>
          <w:trHeight w:val="57"/>
        </w:trPr>
        <w:tc>
          <w:tcPr>
            <w:tcW w:w="280" w:type="dxa"/>
            <w:vAlign w:val="bottom"/>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92"/>
        </w:trPr>
        <w:tc>
          <w:tcPr>
            <w:tcW w:w="280" w:type="dxa"/>
            <w:vAlign w:val="bottom"/>
          </w:tcPr>
          <w:p>
            <w:pPr>
              <w:spacing w:after="0"/>
              <w:rPr>
                <w:sz w:val="16"/>
                <w:szCs w:val="16"/>
                <w:color w:val="auto"/>
              </w:rPr>
            </w:pPr>
          </w:p>
        </w:tc>
        <w:tc>
          <w:tcPr>
            <w:tcW w:w="4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December 31, 2023</w:t>
            </w:r>
          </w:p>
        </w:tc>
        <w:tc>
          <w:tcPr>
            <w:tcW w:w="278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263</w:t>
            </w:r>
          </w:p>
        </w:tc>
        <w:tc>
          <w:tcPr>
            <w:tcW w:w="2640" w:type="dxa"/>
            <w:vAlign w:val="bottom"/>
            <w:tcBorders>
              <w:bottom w:val="single" w:sz="8" w:color="auto"/>
            </w:tcBorders>
          </w:tcPr>
          <w:p>
            <w:pPr>
              <w:jc w:val="right"/>
              <w:ind w:right="679"/>
              <w:spacing w:after="0" w:line="192" w:lineRule="exact"/>
              <w:rPr>
                <w:sz w:val="20"/>
                <w:szCs w:val="20"/>
                <w:color w:val="auto"/>
              </w:rPr>
            </w:pPr>
            <w:r>
              <w:rPr>
                <w:rFonts w:ascii="Calibri" w:cs="Calibri" w:eastAsia="Calibri" w:hAnsi="Calibri"/>
                <w:sz w:val="16"/>
                <w:szCs w:val="16"/>
                <w:b w:val="1"/>
                <w:bCs w:val="1"/>
                <w:color w:val="auto"/>
              </w:rPr>
              <w:t>37</w:t>
            </w:r>
          </w:p>
        </w:tc>
        <w:tc>
          <w:tcPr>
            <w:tcW w:w="1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Calibri" w:cs="Calibri" w:eastAsia="Calibri" w:hAnsi="Calibri"/>
          <w:sz w:val="16"/>
          <w:szCs w:val="16"/>
          <w:b w:val="1"/>
          <w:bCs w:val="1"/>
          <w:color w:val="auto"/>
        </w:rPr>
        <w:t>Page 11 of 32</w:t>
      </w:r>
    </w:p>
    <w:p>
      <w:pPr>
        <w:sectPr>
          <w:pgSz w:w="11900" w:h="16838" w:orient="portrait"/>
          <w:cols w:equalWidth="0" w:num="1">
            <w:col w:w="11100"/>
          </w:cols>
          <w:pgMar w:left="320" w:top="198" w:right="479" w:bottom="1440" w:gutter="0" w:footer="0" w:header="0"/>
        </w:sectPr>
      </w:pPr>
    </w:p>
    <w:bookmarkStart w:id="14" w:name="page15"/>
    <w:bookmarkEnd w:id="14"/>
    <w:p>
      <w:pPr>
        <w:ind w:left="60"/>
        <w:spacing w:after="0"/>
        <w:rPr>
          <w:sz w:val="20"/>
          <w:szCs w:val="20"/>
          <w:color w:val="auto"/>
        </w:rPr>
      </w:pPr>
      <w:r>
        <w:rPr>
          <w:rFonts w:ascii="Calibri" w:cs="Calibri" w:eastAsia="Calibri" w:hAnsi="Calibri"/>
          <w:sz w:val="19"/>
          <w:szCs w:val="19"/>
          <w:b w:val="1"/>
          <w:bCs w:val="1"/>
          <w:color w:val="auto"/>
        </w:rPr>
        <w:t>CYBIN INC.</w:t>
      </w:r>
    </w:p>
    <w:p>
      <w:pPr>
        <w:spacing w:after="0" w:line="35"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35"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auto"/>
        </w:rPr>
        <w:t>December 31, 2023</w:t>
      </w:r>
    </w:p>
    <w:p>
      <w:pPr>
        <w:spacing w:after="0" w:line="27" w:lineRule="exact"/>
        <w:rPr>
          <w:sz w:val="20"/>
          <w:szCs w:val="20"/>
          <w:color w:val="auto"/>
        </w:rPr>
      </w:pPr>
    </w:p>
    <w:p>
      <w:pPr>
        <w:ind w:left="60"/>
        <w:spacing w:after="0" w:line="26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37"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1462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gridSpan w:val="2"/>
          </w:tcPr>
          <w:p>
            <w:pPr>
              <w:spacing w:after="0"/>
              <w:rPr>
                <w:sz w:val="20"/>
                <w:szCs w:val="20"/>
                <w:color w:val="auto"/>
              </w:rPr>
            </w:pPr>
            <w:r>
              <w:rPr>
                <w:rFonts w:ascii="Calibri" w:cs="Calibri" w:eastAsia="Calibri" w:hAnsi="Calibri"/>
                <w:sz w:val="16"/>
                <w:szCs w:val="16"/>
                <w:b w:val="1"/>
                <w:bCs w:val="1"/>
                <w:color w:val="2D5F91"/>
              </w:rPr>
              <w:t>5.  INTANGIBLE ASSETS</w:t>
            </w: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25"/>
        </w:trPr>
        <w:tc>
          <w:tcPr>
            <w:tcW w:w="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3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IP Research &amp;</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7"/>
        </w:trPr>
        <w:tc>
          <w:tcPr>
            <w:tcW w:w="280" w:type="dxa"/>
            <w:vAlign w:val="bottom"/>
          </w:tcPr>
          <w:p>
            <w:pPr>
              <w:spacing w:after="0"/>
              <w:rPr>
                <w:sz w:val="18"/>
                <w:szCs w:val="18"/>
                <w:color w:val="auto"/>
              </w:rPr>
            </w:pPr>
          </w:p>
        </w:tc>
        <w:tc>
          <w:tcPr>
            <w:tcW w:w="3700" w:type="dxa"/>
            <w:vAlign w:val="bottom"/>
          </w:tcPr>
          <w:p>
            <w:pPr>
              <w:ind w:left="60"/>
              <w:spacing w:after="0"/>
              <w:rPr>
                <w:sz w:val="20"/>
                <w:szCs w:val="20"/>
                <w:color w:val="auto"/>
              </w:rPr>
            </w:pPr>
            <w:r>
              <w:rPr>
                <w:rFonts w:ascii="Calibri" w:cs="Calibri" w:eastAsia="Calibri" w:hAnsi="Calibri"/>
                <w:sz w:val="16"/>
                <w:szCs w:val="16"/>
                <w:b w:val="1"/>
                <w:bCs w:val="1"/>
                <w:color w:val="auto"/>
              </w:rPr>
              <w:t>Cost</w:t>
            </w:r>
          </w:p>
        </w:tc>
        <w:tc>
          <w:tcPr>
            <w:tcW w:w="2320" w:type="dxa"/>
            <w:vAlign w:val="bottom"/>
          </w:tcPr>
          <w:p>
            <w:pPr>
              <w:jc w:val="right"/>
              <w:ind w:right="299"/>
              <w:spacing w:after="0" w:line="193" w:lineRule="exact"/>
              <w:rPr>
                <w:sz w:val="20"/>
                <w:szCs w:val="20"/>
                <w:color w:val="auto"/>
              </w:rPr>
            </w:pPr>
            <w:r>
              <w:rPr>
                <w:rFonts w:ascii="Calibri" w:cs="Calibri" w:eastAsia="Calibri" w:hAnsi="Calibri"/>
                <w:sz w:val="16"/>
                <w:szCs w:val="16"/>
                <w:b w:val="1"/>
                <w:bCs w:val="1"/>
                <w:color w:val="auto"/>
              </w:rPr>
              <w:t>Development</w:t>
            </w:r>
          </w:p>
        </w:tc>
        <w:tc>
          <w:tcPr>
            <w:tcW w:w="1180" w:type="dxa"/>
            <w:vAlign w:val="bottom"/>
          </w:tcPr>
          <w:p>
            <w:pPr>
              <w:jc w:val="right"/>
              <w:ind w:right="279"/>
              <w:spacing w:after="0" w:line="193" w:lineRule="exact"/>
              <w:rPr>
                <w:sz w:val="20"/>
                <w:szCs w:val="20"/>
                <w:color w:val="auto"/>
              </w:rPr>
            </w:pPr>
            <w:r>
              <w:rPr>
                <w:rFonts w:ascii="Calibri" w:cs="Calibri" w:eastAsia="Calibri" w:hAnsi="Calibri"/>
                <w:sz w:val="16"/>
                <w:szCs w:val="16"/>
                <w:b w:val="1"/>
                <w:bCs w:val="1"/>
                <w:color w:val="auto"/>
              </w:rPr>
              <w:t>Patents</w:t>
            </w:r>
          </w:p>
        </w:tc>
        <w:tc>
          <w:tcPr>
            <w:tcW w:w="1200" w:type="dxa"/>
            <w:vAlign w:val="bottom"/>
          </w:tcPr>
          <w:p>
            <w:pPr>
              <w:jc w:val="right"/>
              <w:ind w:right="259"/>
              <w:spacing w:after="0" w:line="193" w:lineRule="exact"/>
              <w:rPr>
                <w:sz w:val="20"/>
                <w:szCs w:val="20"/>
                <w:color w:val="auto"/>
              </w:rPr>
            </w:pPr>
            <w:r>
              <w:rPr>
                <w:rFonts w:ascii="Calibri" w:cs="Calibri" w:eastAsia="Calibri" w:hAnsi="Calibri"/>
                <w:sz w:val="16"/>
                <w:szCs w:val="16"/>
                <w:b w:val="1"/>
                <w:bCs w:val="1"/>
                <w:color w:val="auto"/>
              </w:rPr>
              <w:t>Licenses</w:t>
            </w:r>
          </w:p>
        </w:tc>
        <w:tc>
          <w:tcPr>
            <w:tcW w:w="1220" w:type="dxa"/>
            <w:vAlign w:val="bottom"/>
          </w:tcPr>
          <w:p>
            <w:pPr>
              <w:jc w:val="right"/>
              <w:ind w:right="259"/>
              <w:spacing w:after="0" w:line="193" w:lineRule="exact"/>
              <w:rPr>
                <w:sz w:val="20"/>
                <w:szCs w:val="20"/>
                <w:color w:val="auto"/>
              </w:rPr>
            </w:pPr>
            <w:r>
              <w:rPr>
                <w:rFonts w:ascii="Calibri" w:cs="Calibri" w:eastAsia="Calibri" w:hAnsi="Calibri"/>
                <w:sz w:val="16"/>
                <w:szCs w:val="16"/>
                <w:b w:val="1"/>
                <w:bCs w:val="1"/>
                <w:color w:val="auto"/>
              </w:rPr>
              <w:t>Sofware</w:t>
            </w:r>
          </w:p>
        </w:tc>
        <w:tc>
          <w:tcPr>
            <w:tcW w:w="82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Total</w:t>
            </w:r>
          </w:p>
        </w:tc>
      </w:tr>
      <w:tr>
        <w:trPr>
          <w:trHeight w:val="255"/>
        </w:trPr>
        <w:tc>
          <w:tcPr>
            <w:tcW w:w="28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3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120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45"/>
        </w:trPr>
        <w:tc>
          <w:tcPr>
            <w:tcW w:w="28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8"/>
        </w:trPr>
        <w:tc>
          <w:tcPr>
            <w:tcW w:w="2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b w:val="1"/>
                <w:bCs w:val="1"/>
                <w:color w:val="auto"/>
              </w:rPr>
              <w:t>Balance as at March 31, 2023</w:t>
            </w:r>
          </w:p>
        </w:tc>
        <w:tc>
          <w:tcPr>
            <w:tcW w:w="2320" w:type="dxa"/>
            <w:vAlign w:val="bottom"/>
          </w:tcPr>
          <w:p>
            <w:pPr>
              <w:jc w:val="right"/>
              <w:ind w:right="259"/>
              <w:spacing w:after="0"/>
              <w:rPr>
                <w:sz w:val="20"/>
                <w:szCs w:val="20"/>
                <w:color w:val="auto"/>
              </w:rPr>
            </w:pPr>
            <w:r>
              <w:rPr>
                <w:rFonts w:ascii="Calibri" w:cs="Calibri" w:eastAsia="Calibri" w:hAnsi="Calibri"/>
                <w:sz w:val="16"/>
                <w:szCs w:val="16"/>
                <w:color w:val="auto"/>
              </w:rPr>
              <w:t>3,076</w:t>
            </w:r>
          </w:p>
        </w:tc>
        <w:tc>
          <w:tcPr>
            <w:tcW w:w="1180" w:type="dxa"/>
            <w:vAlign w:val="bottom"/>
          </w:tcPr>
          <w:p>
            <w:pPr>
              <w:jc w:val="right"/>
              <w:ind w:right="219"/>
              <w:spacing w:after="0"/>
              <w:rPr>
                <w:sz w:val="20"/>
                <w:szCs w:val="20"/>
                <w:color w:val="auto"/>
              </w:rPr>
            </w:pPr>
            <w:r>
              <w:rPr>
                <w:rFonts w:ascii="Calibri" w:cs="Calibri" w:eastAsia="Calibri" w:hAnsi="Calibri"/>
                <w:sz w:val="16"/>
                <w:szCs w:val="16"/>
                <w:color w:val="auto"/>
              </w:rPr>
              <w:t>978</w:t>
            </w:r>
          </w:p>
        </w:tc>
        <w:tc>
          <w:tcPr>
            <w:tcW w:w="1200" w:type="dxa"/>
            <w:vAlign w:val="bottom"/>
          </w:tcPr>
          <w:p>
            <w:pPr>
              <w:jc w:val="right"/>
              <w:ind w:right="219"/>
              <w:spacing w:after="0"/>
              <w:rPr>
                <w:sz w:val="20"/>
                <w:szCs w:val="20"/>
                <w:color w:val="auto"/>
              </w:rPr>
            </w:pPr>
            <w:r>
              <w:rPr>
                <w:rFonts w:ascii="Calibri" w:cs="Calibri" w:eastAsia="Calibri" w:hAnsi="Calibri"/>
                <w:sz w:val="16"/>
                <w:szCs w:val="16"/>
                <w:color w:val="auto"/>
              </w:rPr>
              <w:t>1,379</w:t>
            </w:r>
          </w:p>
        </w:tc>
        <w:tc>
          <w:tcPr>
            <w:tcW w:w="1220" w:type="dxa"/>
            <w:vAlign w:val="bottom"/>
          </w:tcPr>
          <w:p>
            <w:pPr>
              <w:jc w:val="right"/>
              <w:ind w:right="219"/>
              <w:spacing w:after="0"/>
              <w:rPr>
                <w:sz w:val="20"/>
                <w:szCs w:val="20"/>
                <w:color w:val="auto"/>
              </w:rPr>
            </w:pPr>
            <w:r>
              <w:rPr>
                <w:rFonts w:ascii="Calibri" w:cs="Calibri" w:eastAsia="Calibri" w:hAnsi="Calibri"/>
                <w:sz w:val="16"/>
                <w:szCs w:val="16"/>
                <w:color w:val="auto"/>
              </w:rPr>
              <w:t>74</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auto"/>
              </w:rPr>
              <w:t>5,507</w:t>
            </w:r>
          </w:p>
        </w:tc>
      </w:tr>
      <w:tr>
        <w:trPr>
          <w:trHeight w:val="279"/>
        </w:trPr>
        <w:tc>
          <w:tcPr>
            <w:tcW w:w="280" w:type="dxa"/>
            <w:vAlign w:val="bottom"/>
          </w:tcPr>
          <w:p>
            <w:pPr>
              <w:spacing w:after="0"/>
              <w:rPr>
                <w:sz w:val="24"/>
                <w:szCs w:val="24"/>
                <w:color w:val="auto"/>
              </w:rPr>
            </w:pPr>
          </w:p>
        </w:tc>
        <w:tc>
          <w:tcPr>
            <w:tcW w:w="3700" w:type="dxa"/>
            <w:vAlign w:val="bottom"/>
          </w:tcPr>
          <w:p>
            <w:pPr>
              <w:ind w:left="60"/>
              <w:spacing w:after="0"/>
              <w:rPr>
                <w:sz w:val="20"/>
                <w:szCs w:val="20"/>
                <w:color w:val="auto"/>
              </w:rPr>
            </w:pPr>
            <w:r>
              <w:rPr>
                <w:rFonts w:ascii="Calibri" w:cs="Calibri" w:eastAsia="Calibri" w:hAnsi="Calibri"/>
                <w:sz w:val="16"/>
                <w:szCs w:val="16"/>
                <w:color w:val="auto"/>
              </w:rPr>
              <w:t>Acquisiton from Small Pharma</w:t>
            </w:r>
          </w:p>
        </w:tc>
        <w:tc>
          <w:tcPr>
            <w:tcW w:w="2320" w:type="dxa"/>
            <w:vAlign w:val="bottom"/>
          </w:tcPr>
          <w:p>
            <w:pPr>
              <w:jc w:val="right"/>
              <w:ind w:right="259"/>
              <w:spacing w:after="0"/>
              <w:rPr>
                <w:sz w:val="20"/>
                <w:szCs w:val="20"/>
                <w:color w:val="auto"/>
              </w:rPr>
            </w:pPr>
            <w:r>
              <w:rPr>
                <w:rFonts w:ascii="Calibri" w:cs="Calibri" w:eastAsia="Calibri" w:hAnsi="Calibri"/>
                <w:sz w:val="16"/>
                <w:szCs w:val="16"/>
                <w:color w:val="auto"/>
              </w:rPr>
              <w:t>38,443</w:t>
            </w:r>
          </w:p>
        </w:tc>
        <w:tc>
          <w:tcPr>
            <w:tcW w:w="118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120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122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38,443</w:t>
            </w:r>
          </w:p>
        </w:tc>
      </w:tr>
      <w:tr>
        <w:trPr>
          <w:trHeight w:val="279"/>
        </w:trPr>
        <w:tc>
          <w:tcPr>
            <w:tcW w:w="280" w:type="dxa"/>
            <w:vAlign w:val="bottom"/>
          </w:tcPr>
          <w:p>
            <w:pPr>
              <w:spacing w:after="0"/>
              <w:rPr>
                <w:sz w:val="24"/>
                <w:szCs w:val="24"/>
                <w:color w:val="auto"/>
              </w:rPr>
            </w:pPr>
          </w:p>
        </w:tc>
        <w:tc>
          <w:tcPr>
            <w:tcW w:w="3700" w:type="dxa"/>
            <w:vAlign w:val="bottom"/>
          </w:tcPr>
          <w:p>
            <w:pPr>
              <w:ind w:left="60"/>
              <w:spacing w:after="0"/>
              <w:rPr>
                <w:sz w:val="20"/>
                <w:szCs w:val="20"/>
                <w:color w:val="auto"/>
              </w:rPr>
            </w:pPr>
            <w:r>
              <w:rPr>
                <w:rFonts w:ascii="Calibri" w:cs="Calibri" w:eastAsia="Calibri" w:hAnsi="Calibri"/>
                <w:sz w:val="16"/>
                <w:szCs w:val="16"/>
                <w:color w:val="auto"/>
              </w:rPr>
              <w:t>Additons</w:t>
            </w:r>
          </w:p>
        </w:tc>
        <w:tc>
          <w:tcPr>
            <w:tcW w:w="232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ind w:right="219"/>
              <w:spacing w:after="0"/>
              <w:rPr>
                <w:sz w:val="20"/>
                <w:szCs w:val="20"/>
                <w:color w:val="auto"/>
              </w:rPr>
            </w:pPr>
            <w:r>
              <w:rPr>
                <w:rFonts w:ascii="Calibri" w:cs="Calibri" w:eastAsia="Calibri" w:hAnsi="Calibri"/>
                <w:sz w:val="16"/>
                <w:szCs w:val="16"/>
                <w:color w:val="auto"/>
              </w:rPr>
              <w:t>482</w:t>
            </w:r>
          </w:p>
        </w:tc>
        <w:tc>
          <w:tcPr>
            <w:tcW w:w="120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122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482</w:t>
            </w:r>
          </w:p>
        </w:tc>
      </w:tr>
      <w:tr>
        <w:trPr>
          <w:trHeight w:val="279"/>
        </w:trPr>
        <w:tc>
          <w:tcPr>
            <w:tcW w:w="280" w:type="dxa"/>
            <w:vAlign w:val="bottom"/>
          </w:tcPr>
          <w:p>
            <w:pPr>
              <w:spacing w:after="0"/>
              <w:rPr>
                <w:sz w:val="24"/>
                <w:szCs w:val="24"/>
                <w:color w:val="auto"/>
              </w:rPr>
            </w:pPr>
          </w:p>
        </w:tc>
        <w:tc>
          <w:tcPr>
            <w:tcW w:w="3700" w:type="dxa"/>
            <w:vAlign w:val="bottom"/>
          </w:tcPr>
          <w:p>
            <w:pPr>
              <w:ind w:left="60"/>
              <w:spacing w:after="0"/>
              <w:rPr>
                <w:sz w:val="20"/>
                <w:szCs w:val="20"/>
                <w:color w:val="auto"/>
              </w:rPr>
            </w:pPr>
            <w:r>
              <w:rPr>
                <w:rFonts w:ascii="Calibri" w:cs="Calibri" w:eastAsia="Calibri" w:hAnsi="Calibri"/>
                <w:sz w:val="16"/>
                <w:szCs w:val="16"/>
                <w:color w:val="auto"/>
              </w:rPr>
              <w:t>Efect of foreign exchange</w:t>
            </w:r>
          </w:p>
        </w:tc>
        <w:tc>
          <w:tcPr>
            <w:tcW w:w="2320" w:type="dxa"/>
            <w:vAlign w:val="bottom"/>
          </w:tcPr>
          <w:p>
            <w:pPr>
              <w:jc w:val="right"/>
              <w:ind w:right="259"/>
              <w:spacing w:after="0"/>
              <w:rPr>
                <w:sz w:val="20"/>
                <w:szCs w:val="20"/>
                <w:color w:val="auto"/>
              </w:rPr>
            </w:pPr>
            <w:r>
              <w:rPr>
                <w:rFonts w:ascii="Calibri" w:cs="Calibri" w:eastAsia="Calibri" w:hAnsi="Calibri"/>
                <w:sz w:val="16"/>
                <w:szCs w:val="16"/>
                <w:color w:val="auto"/>
              </w:rPr>
              <w:t>(49)</w:t>
            </w:r>
          </w:p>
        </w:tc>
        <w:tc>
          <w:tcPr>
            <w:tcW w:w="1180" w:type="dxa"/>
            <w:vAlign w:val="bottom"/>
          </w:tcPr>
          <w:p>
            <w:pPr>
              <w:jc w:val="right"/>
              <w:ind w:right="219"/>
              <w:spacing w:after="0"/>
              <w:rPr>
                <w:sz w:val="20"/>
                <w:szCs w:val="20"/>
                <w:color w:val="auto"/>
              </w:rPr>
            </w:pPr>
            <w:r>
              <w:rPr>
                <w:rFonts w:ascii="Calibri" w:cs="Calibri" w:eastAsia="Calibri" w:hAnsi="Calibri"/>
                <w:sz w:val="16"/>
                <w:szCs w:val="16"/>
                <w:color w:val="auto"/>
              </w:rPr>
              <w:t>(22)</w:t>
            </w:r>
          </w:p>
        </w:tc>
        <w:tc>
          <w:tcPr>
            <w:tcW w:w="1200" w:type="dxa"/>
            <w:vAlign w:val="bottom"/>
          </w:tcPr>
          <w:p>
            <w:pPr>
              <w:jc w:val="right"/>
              <w:ind w:right="219"/>
              <w:spacing w:after="0"/>
              <w:rPr>
                <w:sz w:val="20"/>
                <w:szCs w:val="20"/>
                <w:color w:val="auto"/>
              </w:rPr>
            </w:pPr>
            <w:r>
              <w:rPr>
                <w:rFonts w:ascii="Calibri" w:cs="Calibri" w:eastAsia="Calibri" w:hAnsi="Calibri"/>
                <w:sz w:val="16"/>
                <w:szCs w:val="16"/>
                <w:color w:val="auto"/>
              </w:rPr>
              <w:t>(31)</w:t>
            </w:r>
          </w:p>
        </w:tc>
        <w:tc>
          <w:tcPr>
            <w:tcW w:w="122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(102)</w:t>
            </w: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8"/>
        </w:trPr>
        <w:tc>
          <w:tcPr>
            <w:tcW w:w="2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b w:val="1"/>
                <w:bCs w:val="1"/>
                <w:color w:val="auto"/>
              </w:rPr>
              <w:t>Balance as at December 31, 2023</w:t>
            </w:r>
          </w:p>
        </w:tc>
        <w:tc>
          <w:tcPr>
            <w:tcW w:w="23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41,470</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1,438</w:t>
            </w:r>
          </w:p>
        </w:tc>
        <w:tc>
          <w:tcPr>
            <w:tcW w:w="120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1,348</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74</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auto"/>
              </w:rPr>
              <w:t>44,330</w:t>
            </w: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96"/>
        </w:trPr>
        <w:tc>
          <w:tcPr>
            <w:tcW w:w="28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2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70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2320" w:type="dxa"/>
            <w:vAlign w:val="bottom"/>
          </w:tcPr>
          <w:p>
            <w:pPr>
              <w:jc w:val="right"/>
              <w:ind w:right="259"/>
              <w:spacing w:after="0" w:line="185" w:lineRule="exact"/>
              <w:rPr>
                <w:sz w:val="20"/>
                <w:szCs w:val="20"/>
                <w:color w:val="auto"/>
              </w:rPr>
            </w:pPr>
            <w:r>
              <w:rPr>
                <w:rFonts w:ascii="Calibri" w:cs="Calibri" w:eastAsia="Calibri" w:hAnsi="Calibri"/>
                <w:sz w:val="16"/>
                <w:szCs w:val="16"/>
                <w:color w:val="auto"/>
              </w:rPr>
              <w:t>—</w:t>
            </w:r>
          </w:p>
        </w:tc>
        <w:tc>
          <w:tcPr>
            <w:tcW w:w="1180" w:type="dxa"/>
            <w:vAlign w:val="bottom"/>
          </w:tcPr>
          <w:p>
            <w:pPr>
              <w:jc w:val="right"/>
              <w:ind w:right="219"/>
              <w:spacing w:after="0" w:line="185" w:lineRule="exact"/>
              <w:rPr>
                <w:sz w:val="20"/>
                <w:szCs w:val="20"/>
                <w:color w:val="auto"/>
              </w:rPr>
            </w:pPr>
            <w:r>
              <w:rPr>
                <w:rFonts w:ascii="Calibri" w:cs="Calibri" w:eastAsia="Calibri" w:hAnsi="Calibri"/>
                <w:sz w:val="16"/>
                <w:szCs w:val="16"/>
                <w:color w:val="auto"/>
              </w:rPr>
              <w:t>—</w:t>
            </w:r>
          </w:p>
        </w:tc>
        <w:tc>
          <w:tcPr>
            <w:tcW w:w="1200" w:type="dxa"/>
            <w:vAlign w:val="bottom"/>
          </w:tcPr>
          <w:p>
            <w:pPr>
              <w:jc w:val="right"/>
              <w:ind w:right="219"/>
              <w:spacing w:after="0" w:line="185" w:lineRule="exact"/>
              <w:rPr>
                <w:sz w:val="20"/>
                <w:szCs w:val="20"/>
                <w:color w:val="auto"/>
              </w:rPr>
            </w:pPr>
            <w:r>
              <w:rPr>
                <w:rFonts w:ascii="Calibri" w:cs="Calibri" w:eastAsia="Calibri" w:hAnsi="Calibri"/>
                <w:sz w:val="16"/>
                <w:szCs w:val="16"/>
                <w:color w:val="auto"/>
              </w:rPr>
              <w:t>19</w:t>
            </w:r>
          </w:p>
        </w:tc>
        <w:tc>
          <w:tcPr>
            <w:tcW w:w="1220" w:type="dxa"/>
            <w:vAlign w:val="bottom"/>
          </w:tcPr>
          <w:p>
            <w:pPr>
              <w:jc w:val="right"/>
              <w:ind w:right="219"/>
              <w:spacing w:after="0" w:line="185" w:lineRule="exact"/>
              <w:rPr>
                <w:sz w:val="20"/>
                <w:szCs w:val="20"/>
                <w:color w:val="auto"/>
              </w:rPr>
            </w:pPr>
            <w:r>
              <w:rPr>
                <w:rFonts w:ascii="Calibri" w:cs="Calibri" w:eastAsia="Calibri" w:hAnsi="Calibri"/>
                <w:sz w:val="16"/>
                <w:szCs w:val="16"/>
                <w:color w:val="auto"/>
              </w:rPr>
              <w:t>18</w:t>
            </w:r>
          </w:p>
        </w:tc>
        <w:tc>
          <w:tcPr>
            <w:tcW w:w="820" w:type="dxa"/>
            <w:vAlign w:val="bottom"/>
          </w:tcPr>
          <w:p>
            <w:pPr>
              <w:jc w:val="right"/>
              <w:spacing w:after="0" w:line="185" w:lineRule="exact"/>
              <w:rPr>
                <w:sz w:val="20"/>
                <w:szCs w:val="20"/>
                <w:color w:val="auto"/>
              </w:rPr>
            </w:pPr>
            <w:r>
              <w:rPr>
                <w:rFonts w:ascii="Calibri" w:cs="Calibri" w:eastAsia="Calibri" w:hAnsi="Calibri"/>
                <w:sz w:val="16"/>
                <w:szCs w:val="16"/>
                <w:color w:val="auto"/>
              </w:rPr>
              <w:t>37</w:t>
            </w:r>
          </w:p>
        </w:tc>
      </w:tr>
      <w:tr>
        <w:trPr>
          <w:trHeight w:val="271"/>
        </w:trPr>
        <w:tc>
          <w:tcPr>
            <w:tcW w:w="28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color w:val="auto"/>
              </w:rPr>
              <w:t>Amortzaton charge</w:t>
            </w:r>
          </w:p>
        </w:tc>
        <w:tc>
          <w:tcPr>
            <w:tcW w:w="232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1200" w:type="dxa"/>
            <w:vAlign w:val="bottom"/>
          </w:tcPr>
          <w:p>
            <w:pPr>
              <w:jc w:val="right"/>
              <w:ind w:right="219"/>
              <w:spacing w:after="0"/>
              <w:rPr>
                <w:sz w:val="20"/>
                <w:szCs w:val="20"/>
                <w:color w:val="auto"/>
              </w:rPr>
            </w:pPr>
            <w:r>
              <w:rPr>
                <w:rFonts w:ascii="Calibri" w:cs="Calibri" w:eastAsia="Calibri" w:hAnsi="Calibri"/>
                <w:sz w:val="16"/>
                <w:szCs w:val="16"/>
                <w:color w:val="auto"/>
              </w:rPr>
              <w:t>28</w:t>
            </w:r>
          </w:p>
        </w:tc>
        <w:tc>
          <w:tcPr>
            <w:tcW w:w="1220" w:type="dxa"/>
            <w:vAlign w:val="bottom"/>
          </w:tcPr>
          <w:p>
            <w:pPr>
              <w:jc w:val="right"/>
              <w:ind w:right="219"/>
              <w:spacing w:after="0"/>
              <w:rPr>
                <w:sz w:val="20"/>
                <w:szCs w:val="20"/>
                <w:color w:val="auto"/>
              </w:rPr>
            </w:pPr>
            <w:r>
              <w:rPr>
                <w:rFonts w:ascii="Calibri" w:cs="Calibri" w:eastAsia="Calibri" w:hAnsi="Calibri"/>
                <w:sz w:val="16"/>
                <w:szCs w:val="16"/>
                <w:color w:val="auto"/>
              </w:rPr>
              <w:t>18</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46</w:t>
            </w: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37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232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b w:val="1"/>
                <w:bCs w:val="1"/>
                <w:color w:val="auto"/>
              </w:rPr>
              <w:t>—</w:t>
            </w:r>
          </w:p>
        </w:tc>
        <w:tc>
          <w:tcPr>
            <w:tcW w:w="1180" w:type="dxa"/>
            <w:vAlign w:val="bottom"/>
            <w:tcBorders>
              <w:bottom w:val="single" w:sz="8" w:color="auto"/>
            </w:tcBorders>
          </w:tcPr>
          <w:p>
            <w:pPr>
              <w:jc w:val="right"/>
              <w:ind w:right="219"/>
              <w:spacing w:after="0" w:line="192" w:lineRule="exact"/>
              <w:rPr>
                <w:sz w:val="20"/>
                <w:szCs w:val="20"/>
                <w:color w:val="auto"/>
              </w:rPr>
            </w:pPr>
            <w:r>
              <w:rPr>
                <w:rFonts w:ascii="Calibri" w:cs="Calibri" w:eastAsia="Calibri" w:hAnsi="Calibri"/>
                <w:sz w:val="16"/>
                <w:szCs w:val="16"/>
                <w:b w:val="1"/>
                <w:bCs w:val="1"/>
                <w:color w:val="auto"/>
              </w:rPr>
              <w:t>—</w:t>
            </w:r>
          </w:p>
        </w:tc>
        <w:tc>
          <w:tcPr>
            <w:tcW w:w="1200" w:type="dxa"/>
            <w:vAlign w:val="bottom"/>
            <w:tcBorders>
              <w:bottom w:val="single" w:sz="8" w:color="auto"/>
            </w:tcBorders>
          </w:tcPr>
          <w:p>
            <w:pPr>
              <w:jc w:val="right"/>
              <w:ind w:right="219"/>
              <w:spacing w:after="0" w:line="192" w:lineRule="exact"/>
              <w:rPr>
                <w:sz w:val="20"/>
                <w:szCs w:val="20"/>
                <w:color w:val="auto"/>
              </w:rPr>
            </w:pPr>
            <w:r>
              <w:rPr>
                <w:rFonts w:ascii="Calibri" w:cs="Calibri" w:eastAsia="Calibri" w:hAnsi="Calibri"/>
                <w:sz w:val="16"/>
                <w:szCs w:val="16"/>
                <w:b w:val="1"/>
                <w:bCs w:val="1"/>
                <w:color w:val="auto"/>
              </w:rPr>
              <w:t>47</w:t>
            </w:r>
          </w:p>
        </w:tc>
        <w:tc>
          <w:tcPr>
            <w:tcW w:w="1220" w:type="dxa"/>
            <w:vAlign w:val="bottom"/>
            <w:tcBorders>
              <w:bottom w:val="single" w:sz="8" w:color="auto"/>
            </w:tcBorders>
          </w:tcPr>
          <w:p>
            <w:pPr>
              <w:jc w:val="right"/>
              <w:ind w:right="219"/>
              <w:spacing w:after="0" w:line="192" w:lineRule="exact"/>
              <w:rPr>
                <w:sz w:val="20"/>
                <w:szCs w:val="20"/>
                <w:color w:val="auto"/>
              </w:rPr>
            </w:pPr>
            <w:r>
              <w:rPr>
                <w:rFonts w:ascii="Calibri" w:cs="Calibri" w:eastAsia="Calibri" w:hAnsi="Calibri"/>
                <w:sz w:val="16"/>
                <w:szCs w:val="16"/>
                <w:b w:val="1"/>
                <w:bCs w:val="1"/>
                <w:color w:val="auto"/>
              </w:rPr>
              <w:t>36</w:t>
            </w:r>
          </w:p>
        </w:tc>
        <w:tc>
          <w:tcPr>
            <w:tcW w:w="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83</w:t>
            </w:r>
          </w:p>
        </w:tc>
      </w:tr>
      <w:tr>
        <w:trPr>
          <w:trHeight w:val="83"/>
        </w:trPr>
        <w:tc>
          <w:tcPr>
            <w:tcW w:w="280" w:type="dxa"/>
            <w:vAlign w:val="bottom"/>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38"/>
        </w:trPr>
        <w:tc>
          <w:tcPr>
            <w:tcW w:w="2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b w:val="1"/>
                <w:bCs w:val="1"/>
                <w:color w:val="auto"/>
              </w:rPr>
              <w:t>Net book value as at March 31, 2023</w:t>
            </w:r>
          </w:p>
        </w:tc>
        <w:tc>
          <w:tcPr>
            <w:tcW w:w="23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3,076</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978</w:t>
            </w:r>
          </w:p>
        </w:tc>
        <w:tc>
          <w:tcPr>
            <w:tcW w:w="120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1,360</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56</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auto"/>
              </w:rPr>
              <w:t>5,470</w:t>
            </w: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8"/>
        </w:trPr>
        <w:tc>
          <w:tcPr>
            <w:tcW w:w="2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b w:val="1"/>
                <w:bCs w:val="1"/>
                <w:color w:val="auto"/>
              </w:rPr>
              <w:t>Net book value as at December 31, 2023</w:t>
            </w:r>
          </w:p>
        </w:tc>
        <w:tc>
          <w:tcPr>
            <w:tcW w:w="23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41,470</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1,438</w:t>
            </w:r>
          </w:p>
        </w:tc>
        <w:tc>
          <w:tcPr>
            <w:tcW w:w="120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1,301</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38</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auto"/>
              </w:rPr>
              <w:t>44,247</w:t>
            </w: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Calibri" w:cs="Calibri" w:eastAsia="Calibri" w:hAnsi="Calibri"/>
          <w:sz w:val="16"/>
          <w:szCs w:val="16"/>
          <w:b w:val="1"/>
          <w:bCs w:val="1"/>
          <w:color w:val="auto"/>
        </w:rPr>
        <w:t>Page 12 of 32</w:t>
      </w:r>
    </w:p>
    <w:p>
      <w:pPr>
        <w:sectPr>
          <w:pgSz w:w="11900" w:h="16838" w:orient="portrait"/>
          <w:cols w:equalWidth="0" w:num="1">
            <w:col w:w="11100"/>
          </w:cols>
          <w:pgMar w:left="320" w:top="234" w:right="479" w:bottom="1440" w:gutter="0" w:footer="0" w:header="0"/>
        </w:sectPr>
      </w:pPr>
    </w:p>
    <w:bookmarkStart w:id="15" w:name="page16"/>
    <w:bookmarkEnd w:id="15"/>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0154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6. LEASES</w:t>
      </w:r>
    </w:p>
    <w:p>
      <w:pPr>
        <w:spacing w:after="0" w:line="27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34112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11220" cy="762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Balance as at March 31, 2023</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2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412</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92"/>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146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w:t>
            </w:r>
          </w:p>
        </w:tc>
        <w:tc>
          <w:tcPr>
            <w:tcW w:w="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417</w:t>
            </w:r>
          </w:p>
        </w:tc>
      </w:tr>
      <w:tr>
        <w:trPr>
          <w:trHeight w:val="415"/>
        </w:trPr>
        <w:tc>
          <w:tcPr>
            <w:tcW w:w="362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Balance as at March 31, 2023</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8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Amortzaton</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60</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92"/>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14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w:t>
            </w:r>
          </w:p>
        </w:tc>
        <w:tc>
          <w:tcPr>
            <w:tcW w:w="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61</w:t>
            </w:r>
          </w:p>
        </w:tc>
      </w:tr>
      <w:tr>
        <w:trPr>
          <w:trHeight w:val="229"/>
        </w:trPr>
        <w:tc>
          <w:tcPr>
            <w:tcW w:w="3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192"/>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December 31, 2023</w:t>
            </w:r>
          </w:p>
        </w:tc>
        <w:tc>
          <w:tcPr>
            <w:tcW w:w="146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w:t>
            </w:r>
          </w:p>
        </w:tc>
        <w:tc>
          <w:tcPr>
            <w:tcW w:w="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356</w:t>
            </w:r>
          </w:p>
        </w:tc>
      </w:tr>
      <w:tr>
        <w:trPr>
          <w:trHeight w:val="512"/>
        </w:trPr>
        <w:tc>
          <w:tcPr>
            <w:tcW w:w="3620" w:type="dxa"/>
            <w:vAlign w:val="bottom"/>
          </w:tcPr>
          <w:p>
            <w:pPr>
              <w:ind w:left="20"/>
              <w:spacing w:after="0"/>
              <w:rPr>
                <w:sz w:val="20"/>
                <w:szCs w:val="20"/>
                <w:color w:val="auto"/>
              </w:rPr>
            </w:pPr>
            <w:r>
              <w:rPr>
                <w:rFonts w:ascii="Calibri" w:cs="Calibri" w:eastAsia="Calibri" w:hAnsi="Calibri"/>
                <w:sz w:val="16"/>
                <w:szCs w:val="16"/>
                <w:b w:val="1"/>
                <w:bCs w:val="1"/>
                <w:color w:val="auto"/>
              </w:rPr>
              <w:t>LEASE LIABILITY</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85"/>
        </w:trPr>
        <w:tc>
          <w:tcPr>
            <w:tcW w:w="36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146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w:t>
            </w:r>
          </w:p>
        </w:tc>
        <w:tc>
          <w:tcPr>
            <w:tcW w:w="2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w:t>
            </w:r>
          </w:p>
        </w:tc>
      </w:tr>
      <w:tr>
        <w:trPr>
          <w:trHeight w:val="198"/>
        </w:trPr>
        <w:tc>
          <w:tcPr>
            <w:tcW w:w="36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415</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Interest accreton</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4</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Payments</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(56)</w:t>
            </w: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92"/>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1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366</w:t>
            </w:r>
          </w:p>
        </w:tc>
      </w:tr>
      <w:tr>
        <w:trPr>
          <w:trHeight w:val="229"/>
        </w:trPr>
        <w:tc>
          <w:tcPr>
            <w:tcW w:w="3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192"/>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Current lease liabilites</w:t>
            </w:r>
          </w:p>
        </w:tc>
        <w:tc>
          <w:tcPr>
            <w:tcW w:w="146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w:t>
            </w:r>
          </w:p>
        </w:tc>
        <w:tc>
          <w:tcPr>
            <w:tcW w:w="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324</w:t>
            </w:r>
          </w:p>
        </w:tc>
      </w:tr>
      <w:tr>
        <w:trPr>
          <w:trHeight w:val="198"/>
        </w:trPr>
        <w:tc>
          <w:tcPr>
            <w:tcW w:w="36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Non-current lease liabilites</w:t>
            </w: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2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79"/>
        <w:spacing w:after="0"/>
        <w:rPr>
          <w:sz w:val="20"/>
          <w:szCs w:val="20"/>
          <w:color w:val="auto"/>
        </w:rPr>
      </w:pPr>
      <w:r>
        <w:rPr>
          <w:rFonts w:ascii="Calibri" w:cs="Calibri" w:eastAsia="Calibri" w:hAnsi="Calibri"/>
          <w:sz w:val="16"/>
          <w:szCs w:val="16"/>
          <w:b w:val="1"/>
          <w:bCs w:val="1"/>
          <w:color w:val="auto"/>
        </w:rPr>
        <w:t>Page 13 of 32</w:t>
      </w:r>
    </w:p>
    <w:p>
      <w:pPr>
        <w:sectPr>
          <w:pgSz w:w="11900" w:h="16838" w:orient="portrait"/>
          <w:cols w:equalWidth="0" w:num="1">
            <w:col w:w="10780"/>
          </w:cols>
          <w:pgMar w:left="320" w:top="198" w:right="799" w:bottom="1440" w:gutter="0" w:footer="0" w:header="0"/>
        </w:sectPr>
      </w:pPr>
    </w:p>
    <w:bookmarkStart w:id="16" w:name="page17"/>
    <w:bookmarkEnd w:id="16"/>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3"/>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3" w:right="4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3"/>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0154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8960" w:type="dxa"/>
            <w:vAlign w:val="bottom"/>
            <w:gridSpan w:val="2"/>
          </w:tcPr>
          <w:p>
            <w:pPr>
              <w:spacing w:after="0"/>
              <w:rPr>
                <w:sz w:val="20"/>
                <w:szCs w:val="20"/>
                <w:color w:val="auto"/>
              </w:rPr>
            </w:pPr>
            <w:r>
              <w:rPr>
                <w:rFonts w:ascii="Calibri" w:cs="Calibri" w:eastAsia="Calibri" w:hAnsi="Calibri"/>
                <w:sz w:val="16"/>
                <w:szCs w:val="16"/>
                <w:b w:val="1"/>
                <w:bCs w:val="1"/>
                <w:color w:val="2D5F91"/>
              </w:rPr>
              <w:t>7.  GOODWILL</w:t>
            </w:r>
          </w:p>
        </w:tc>
        <w:tc>
          <w:tcPr>
            <w:tcW w:w="1740" w:type="dxa"/>
            <w:vAlign w:val="bottom"/>
          </w:tcPr>
          <w:p>
            <w:pPr>
              <w:spacing w:after="0"/>
              <w:rPr>
                <w:sz w:val="16"/>
                <w:szCs w:val="16"/>
                <w:color w:val="auto"/>
              </w:rPr>
            </w:pPr>
          </w:p>
        </w:tc>
      </w:tr>
      <w:tr>
        <w:trPr>
          <w:trHeight w:val="388"/>
        </w:trPr>
        <w:tc>
          <w:tcPr>
            <w:tcW w:w="140" w:type="dxa"/>
            <w:vAlign w:val="bottom"/>
          </w:tcPr>
          <w:p>
            <w:pPr>
              <w:spacing w:after="0"/>
              <w:rPr>
                <w:sz w:val="24"/>
                <w:szCs w:val="24"/>
                <w:color w:val="auto"/>
              </w:rPr>
            </w:pPr>
          </w:p>
        </w:tc>
        <w:tc>
          <w:tcPr>
            <w:tcW w:w="8820" w:type="dxa"/>
            <w:vAlign w:val="bottom"/>
          </w:tcPr>
          <w:p>
            <w:pPr>
              <w:ind w:left="140"/>
              <w:spacing w:after="0"/>
              <w:rPr>
                <w:sz w:val="20"/>
                <w:szCs w:val="20"/>
                <w:color w:val="auto"/>
              </w:rPr>
            </w:pPr>
            <w:r>
              <w:rPr>
                <w:rFonts w:ascii="Calibri" w:cs="Calibri" w:eastAsia="Calibri" w:hAnsi="Calibri"/>
                <w:sz w:val="16"/>
                <w:szCs w:val="16"/>
                <w:color w:val="auto"/>
              </w:rPr>
              <w:t>Goodwill is recognized at the acquisiton date when total consideraton exceeds the net identfable assets acquired.</w:t>
            </w:r>
          </w:p>
        </w:tc>
        <w:tc>
          <w:tcPr>
            <w:tcW w:w="1740" w:type="dxa"/>
            <w:vAlign w:val="bottom"/>
          </w:tcPr>
          <w:p>
            <w:pPr>
              <w:spacing w:after="0"/>
              <w:rPr>
                <w:sz w:val="24"/>
                <w:szCs w:val="24"/>
                <w:color w:val="auto"/>
              </w:rPr>
            </w:pPr>
          </w:p>
        </w:tc>
      </w:tr>
      <w:tr>
        <w:trPr>
          <w:trHeight w:val="509"/>
        </w:trPr>
        <w:tc>
          <w:tcPr>
            <w:tcW w:w="140" w:type="dxa"/>
            <w:vAlign w:val="bottom"/>
          </w:tcPr>
          <w:p>
            <w:pPr>
              <w:spacing w:after="0"/>
              <w:rPr>
                <w:sz w:val="24"/>
                <w:szCs w:val="24"/>
                <w:color w:val="auto"/>
              </w:rPr>
            </w:pPr>
          </w:p>
        </w:tc>
        <w:tc>
          <w:tcPr>
            <w:tcW w:w="8820" w:type="dxa"/>
            <w:vAlign w:val="bottom"/>
          </w:tcPr>
          <w:p>
            <w:pPr>
              <w:ind w:left="60"/>
              <w:spacing w:after="0"/>
              <w:rPr>
                <w:sz w:val="20"/>
                <w:szCs w:val="20"/>
                <w:color w:val="auto"/>
              </w:rPr>
            </w:pPr>
            <w:r>
              <w:rPr>
                <w:rFonts w:ascii="Calibri" w:cs="Calibri" w:eastAsia="Calibri" w:hAnsi="Calibri"/>
                <w:sz w:val="16"/>
                <w:szCs w:val="16"/>
                <w:b w:val="1"/>
                <w:bCs w:val="1"/>
                <w:color w:val="auto"/>
              </w:rPr>
              <w:t>Cost</w:t>
            </w: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140" w:type="dxa"/>
            <w:vAlign w:val="bottom"/>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185"/>
        </w:trPr>
        <w:tc>
          <w:tcPr>
            <w:tcW w:w="140" w:type="dxa"/>
            <w:vAlign w:val="bottom"/>
          </w:tcPr>
          <w:p>
            <w:pPr>
              <w:spacing w:after="0"/>
              <w:rPr>
                <w:sz w:val="16"/>
                <w:szCs w:val="16"/>
                <w:color w:val="auto"/>
              </w:rPr>
            </w:pPr>
          </w:p>
        </w:tc>
        <w:tc>
          <w:tcPr>
            <w:tcW w:w="88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1740" w:type="dxa"/>
            <w:vAlign w:val="bottom"/>
          </w:tcPr>
          <w:p>
            <w:pPr>
              <w:jc w:val="right"/>
              <w:spacing w:after="0" w:line="185" w:lineRule="exact"/>
              <w:rPr>
                <w:sz w:val="20"/>
                <w:szCs w:val="20"/>
                <w:color w:val="auto"/>
              </w:rPr>
            </w:pPr>
            <w:r>
              <w:rPr>
                <w:rFonts w:ascii="Calibri" w:cs="Calibri" w:eastAsia="Calibri" w:hAnsi="Calibri"/>
                <w:sz w:val="16"/>
                <w:szCs w:val="16"/>
                <w:color w:val="auto"/>
              </w:rPr>
              <w:t>24,792</w:t>
            </w:r>
          </w:p>
        </w:tc>
      </w:tr>
      <w:tr>
        <w:trPr>
          <w:trHeight w:val="198"/>
        </w:trPr>
        <w:tc>
          <w:tcPr>
            <w:tcW w:w="140" w:type="dxa"/>
            <w:vAlign w:val="bottom"/>
          </w:tcPr>
          <w:p>
            <w:pPr>
              <w:spacing w:after="0"/>
              <w:rPr>
                <w:sz w:val="17"/>
                <w:szCs w:val="17"/>
                <w:color w:val="auto"/>
              </w:rPr>
            </w:pPr>
          </w:p>
        </w:tc>
        <w:tc>
          <w:tcPr>
            <w:tcW w:w="8820" w:type="dxa"/>
            <w:vAlign w:val="bottom"/>
          </w:tcPr>
          <w:p>
            <w:pPr>
              <w:ind w:left="100"/>
              <w:spacing w:after="0"/>
              <w:rPr>
                <w:sz w:val="20"/>
                <w:szCs w:val="20"/>
                <w:color w:val="auto"/>
              </w:rPr>
            </w:pPr>
            <w:r>
              <w:rPr>
                <w:rFonts w:ascii="Calibri" w:cs="Calibri" w:eastAsia="Calibri" w:hAnsi="Calibri"/>
                <w:sz w:val="16"/>
                <w:szCs w:val="16"/>
                <w:color w:val="auto"/>
              </w:rPr>
              <w:t>Additon (note 3)</w:t>
            </w:r>
          </w:p>
        </w:tc>
        <w:tc>
          <w:tcPr>
            <w:tcW w:w="1740" w:type="dxa"/>
            <w:vAlign w:val="bottom"/>
          </w:tcPr>
          <w:p>
            <w:pPr>
              <w:jc w:val="right"/>
              <w:spacing w:after="0"/>
              <w:rPr>
                <w:sz w:val="20"/>
                <w:szCs w:val="20"/>
                <w:color w:val="auto"/>
              </w:rPr>
            </w:pPr>
            <w:r>
              <w:rPr>
                <w:rFonts w:ascii="Calibri" w:cs="Calibri" w:eastAsia="Calibri" w:hAnsi="Calibri"/>
                <w:sz w:val="16"/>
                <w:szCs w:val="16"/>
                <w:color w:val="auto"/>
              </w:rPr>
              <w:t>11,872</w:t>
            </w:r>
          </w:p>
        </w:tc>
      </w:tr>
      <w:tr>
        <w:trPr>
          <w:trHeight w:val="206"/>
        </w:trPr>
        <w:tc>
          <w:tcPr>
            <w:tcW w:w="140" w:type="dxa"/>
            <w:vAlign w:val="bottom"/>
          </w:tcPr>
          <w:p>
            <w:pPr>
              <w:spacing w:after="0"/>
              <w:rPr>
                <w:sz w:val="17"/>
                <w:szCs w:val="17"/>
                <w:color w:val="auto"/>
              </w:rPr>
            </w:pPr>
          </w:p>
        </w:tc>
        <w:tc>
          <w:tcPr>
            <w:tcW w:w="8820" w:type="dxa"/>
            <w:vAlign w:val="bottom"/>
          </w:tcPr>
          <w:p>
            <w:pPr>
              <w:ind w:left="100"/>
              <w:spacing w:after="0"/>
              <w:rPr>
                <w:sz w:val="20"/>
                <w:szCs w:val="20"/>
                <w:color w:val="auto"/>
              </w:rPr>
            </w:pPr>
            <w:r>
              <w:rPr>
                <w:rFonts w:ascii="Calibri" w:cs="Calibri" w:eastAsia="Calibri" w:hAnsi="Calibri"/>
                <w:sz w:val="16"/>
                <w:szCs w:val="16"/>
                <w:color w:val="auto"/>
              </w:rPr>
              <w:t>Efect of foreign exchange</w:t>
            </w:r>
          </w:p>
        </w:tc>
        <w:tc>
          <w:tcPr>
            <w:tcW w:w="1740" w:type="dxa"/>
            <w:vAlign w:val="bottom"/>
          </w:tcPr>
          <w:p>
            <w:pPr>
              <w:jc w:val="right"/>
              <w:spacing w:after="0"/>
              <w:rPr>
                <w:sz w:val="20"/>
                <w:szCs w:val="20"/>
                <w:color w:val="auto"/>
              </w:rPr>
            </w:pPr>
            <w:r>
              <w:rPr>
                <w:rFonts w:ascii="Calibri" w:cs="Calibri" w:eastAsia="Calibri" w:hAnsi="Calibri"/>
                <w:sz w:val="16"/>
                <w:szCs w:val="16"/>
                <w:color w:val="auto"/>
              </w:rPr>
              <w:t>(562)</w:t>
            </w:r>
          </w:p>
        </w:tc>
      </w:tr>
      <w:tr>
        <w:trPr>
          <w:trHeight w:val="21"/>
        </w:trPr>
        <w:tc>
          <w:tcPr>
            <w:tcW w:w="140" w:type="dxa"/>
            <w:vAlign w:val="bottom"/>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88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17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36,102</w:t>
            </w:r>
          </w:p>
        </w:tc>
      </w:tr>
    </w:tbl>
    <w:p>
      <w:pPr>
        <w:spacing w:after="0" w:line="200" w:lineRule="exact"/>
        <w:rPr>
          <w:sz w:val="20"/>
          <w:szCs w:val="20"/>
          <w:color w:val="auto"/>
        </w:rPr>
      </w:pPr>
    </w:p>
    <w:p>
      <w:pPr>
        <w:spacing w:after="0" w:line="251" w:lineRule="exact"/>
        <w:rPr>
          <w:sz w:val="20"/>
          <w:szCs w:val="20"/>
          <w:color w:val="auto"/>
        </w:rPr>
      </w:pPr>
    </w:p>
    <w:p>
      <w:pPr>
        <w:ind w:left="263" w:hanging="263"/>
        <w:spacing w:after="0"/>
        <w:tabs>
          <w:tab w:leader="none" w:pos="263" w:val="left"/>
        </w:tabs>
        <w:numPr>
          <w:ilvl w:val="0"/>
          <w:numId w:val="2"/>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SHARE CAPITAL</w:t>
      </w:r>
    </w:p>
    <w:p>
      <w:pPr>
        <w:spacing w:after="0" w:line="180" w:lineRule="exact"/>
        <w:rPr>
          <w:rFonts w:ascii="Calibri" w:cs="Calibri" w:eastAsia="Calibri" w:hAnsi="Calibri"/>
          <w:sz w:val="16"/>
          <w:szCs w:val="16"/>
          <w:b w:val="1"/>
          <w:bCs w:val="1"/>
          <w:color w:val="2D5F91"/>
        </w:rPr>
      </w:pPr>
    </w:p>
    <w:p>
      <w:pPr>
        <w:ind w:left="583" w:hanging="292"/>
        <w:spacing w:after="0"/>
        <w:tabs>
          <w:tab w:leader="none" w:pos="583" w:val="left"/>
        </w:tabs>
        <w:numPr>
          <w:ilvl w:val="1"/>
          <w:numId w:val="2"/>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Authorized share capital</w:t>
      </w:r>
    </w:p>
    <w:p>
      <w:pPr>
        <w:spacing w:after="0" w:line="195" w:lineRule="exact"/>
        <w:rPr>
          <w:sz w:val="20"/>
          <w:szCs w:val="20"/>
          <w:color w:val="auto"/>
        </w:rPr>
      </w:pPr>
    </w:p>
    <w:p>
      <w:pPr>
        <w:ind w:left="283"/>
        <w:spacing w:after="0" w:line="280" w:lineRule="auto"/>
        <w:rPr>
          <w:sz w:val="20"/>
          <w:szCs w:val="20"/>
          <w:color w:val="auto"/>
        </w:rPr>
      </w:pPr>
      <w:r>
        <w:rPr>
          <w:rFonts w:ascii="Calibri" w:cs="Calibri" w:eastAsia="Calibri" w:hAnsi="Calibri"/>
          <w:sz w:val="16"/>
          <w:szCs w:val="16"/>
          <w:color w:val="auto"/>
        </w:rPr>
        <w:t>The authorized share capital of Cybin consists of an unlimited number of Common Shares and an unlimited number of preferred shares without par value. The board of directors of Cybin would determine the designaton, rights, privileges, and conditons atached to any preferred shares prior to issuance.</w:t>
      </w:r>
    </w:p>
    <w:p>
      <w:pPr>
        <w:spacing w:after="0" w:line="161" w:lineRule="exact"/>
        <w:rPr>
          <w:sz w:val="20"/>
          <w:szCs w:val="20"/>
          <w:color w:val="auto"/>
        </w:rPr>
      </w:pPr>
    </w:p>
    <w:p>
      <w:pPr>
        <w:ind w:left="563" w:hanging="272"/>
        <w:spacing w:after="0"/>
        <w:tabs>
          <w:tab w:leader="none" w:pos="563" w:val="left"/>
        </w:tabs>
        <w:numPr>
          <w:ilvl w:val="0"/>
          <w:numId w:val="3"/>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Issued share capital</w:t>
      </w:r>
    </w:p>
    <w:p>
      <w:pPr>
        <w:spacing w:after="0" w:line="193"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color w:val="auto"/>
        </w:rPr>
        <w:t>Common Shares</w:t>
      </w:r>
    </w:p>
    <w:p>
      <w:pPr>
        <w:spacing w:after="0" w:line="183" w:lineRule="exact"/>
        <w:rPr>
          <w:sz w:val="20"/>
          <w:szCs w:val="20"/>
          <w:color w:val="auto"/>
        </w:rPr>
      </w:pPr>
    </w:p>
    <w:p>
      <w:pPr>
        <w:jc w:val="both"/>
        <w:ind w:left="283"/>
        <w:spacing w:after="0" w:line="275" w:lineRule="auto"/>
        <w:rPr>
          <w:sz w:val="20"/>
          <w:szCs w:val="20"/>
          <w:color w:val="auto"/>
        </w:rPr>
      </w:pPr>
      <w:r>
        <w:rPr>
          <w:rFonts w:ascii="Calibri" w:cs="Calibri" w:eastAsia="Calibri" w:hAnsi="Calibri"/>
          <w:sz w:val="16"/>
          <w:szCs w:val="16"/>
          <w:color w:val="auto"/>
        </w:rPr>
        <w:t>On August 8, 2022, the Company established an at-the-market equity program (the “</w:t>
      </w:r>
      <w:r>
        <w:rPr>
          <w:rFonts w:ascii="Calibri" w:cs="Calibri" w:eastAsia="Calibri" w:hAnsi="Calibri"/>
          <w:sz w:val="16"/>
          <w:szCs w:val="16"/>
          <w:b w:val="1"/>
          <w:bCs w:val="1"/>
          <w:color w:val="auto"/>
        </w:rPr>
        <w:t>2022 ATM Program</w:t>
      </w:r>
      <w:r>
        <w:rPr>
          <w:rFonts w:ascii="Calibri" w:cs="Calibri" w:eastAsia="Calibri" w:hAnsi="Calibri"/>
          <w:sz w:val="16"/>
          <w:szCs w:val="16"/>
          <w:color w:val="auto"/>
        </w:rPr>
        <w:t xml:space="preserve">”) that allowed the Company to issue and sell up to US$35,000 of Common Shares from treasury to the public, from tme to tme. Distributons of Common Shares under the 2022 ATM Program were made pursuant to the terms and conditons of an at-the-market equity distributon agreement (the </w:t>
      </w:r>
      <w:r>
        <w:rPr>
          <w:rFonts w:ascii="Calibri" w:cs="Calibri" w:eastAsia="Calibri" w:hAnsi="Calibri"/>
          <w:sz w:val="16"/>
          <w:szCs w:val="16"/>
          <w:b w:val="1"/>
          <w:bCs w:val="1"/>
          <w:color w:val="auto"/>
        </w:rPr>
        <w:t>“2022 Distributon Agreement</w:t>
      </w:r>
      <w:r>
        <w:rPr>
          <w:rFonts w:ascii="Calibri" w:cs="Calibri" w:eastAsia="Calibri" w:hAnsi="Calibri"/>
          <w:sz w:val="16"/>
          <w:szCs w:val="16"/>
          <w:color w:val="auto"/>
        </w:rPr>
        <w:t>”) dated August 8, 2022 among the Company, Cantor Fitzgerald Canada Corporaton and Cantor Fitzgerald &amp; Co. The 2022 ATM Program was efectve untl August 5, 2023 when it automatcally terminated in accordance with the terms of the Distributon Agreement.</w:t>
      </w:r>
    </w:p>
    <w:p>
      <w:pPr>
        <w:spacing w:after="0" w:line="166" w:lineRule="exact"/>
        <w:rPr>
          <w:sz w:val="20"/>
          <w:szCs w:val="20"/>
          <w:color w:val="auto"/>
        </w:rPr>
      </w:pPr>
    </w:p>
    <w:p>
      <w:pPr>
        <w:jc w:val="both"/>
        <w:ind w:left="283"/>
        <w:spacing w:after="0" w:line="276" w:lineRule="auto"/>
        <w:rPr>
          <w:sz w:val="20"/>
          <w:szCs w:val="20"/>
          <w:color w:val="auto"/>
        </w:rPr>
      </w:pPr>
      <w:r>
        <w:rPr>
          <w:rFonts w:ascii="Calibri" w:cs="Calibri" w:eastAsia="Calibri" w:hAnsi="Calibri"/>
          <w:sz w:val="16"/>
          <w:szCs w:val="16"/>
          <w:color w:val="auto"/>
        </w:rPr>
        <w:t>On August 23, 2023, the Company established a new at-the-market equity program (the “</w:t>
      </w:r>
      <w:r>
        <w:rPr>
          <w:rFonts w:ascii="Calibri" w:cs="Calibri" w:eastAsia="Calibri" w:hAnsi="Calibri"/>
          <w:sz w:val="16"/>
          <w:szCs w:val="16"/>
          <w:b w:val="1"/>
          <w:bCs w:val="1"/>
          <w:color w:val="auto"/>
        </w:rPr>
        <w:t>2023 ATM Program</w:t>
      </w:r>
      <w:r>
        <w:rPr>
          <w:rFonts w:ascii="Calibri" w:cs="Calibri" w:eastAsia="Calibri" w:hAnsi="Calibri"/>
          <w:sz w:val="16"/>
          <w:szCs w:val="16"/>
          <w:color w:val="auto"/>
        </w:rPr>
        <w:t>” and together with the 2022 ATM Program, the “ATM Programs”) that allows the Company to issue and sell up to US$35,000 of Common Shares from treasury to the public, from tme to tme. Distributons of Common Shares under the 2023 ATM Program are made pursuant to the terms and conditons of an at-the-market equity distributon agreement (the “</w:t>
      </w:r>
      <w:r>
        <w:rPr>
          <w:rFonts w:ascii="Calibri" w:cs="Calibri" w:eastAsia="Calibri" w:hAnsi="Calibri"/>
          <w:sz w:val="16"/>
          <w:szCs w:val="16"/>
          <w:b w:val="1"/>
          <w:bCs w:val="1"/>
          <w:color w:val="auto"/>
        </w:rPr>
        <w:t>2023 Distributon Agreement</w:t>
      </w:r>
      <w:r>
        <w:rPr>
          <w:rFonts w:ascii="Calibri" w:cs="Calibri" w:eastAsia="Calibri" w:hAnsi="Calibri"/>
          <w:sz w:val="16"/>
          <w:szCs w:val="16"/>
          <w:color w:val="auto"/>
        </w:rPr>
        <w:t>”) dated August 23, 2023, among the Company, Cantor Fitzgerald Canada Corporaton and Cantor Fitzgerald &amp; Co. The 2023 ATM Program is to be efectve untl the earlier of the issuance and sale of all of the Common Shares issuable pursuant to the 2023 ATM Program and September 17, 2025, unless earlier terminated in accordance with the terms of the 2023 Distributon Agreement.</w:t>
      </w:r>
    </w:p>
    <w:p>
      <w:pPr>
        <w:spacing w:after="0" w:line="168" w:lineRule="exact"/>
        <w:rPr>
          <w:sz w:val="20"/>
          <w:szCs w:val="20"/>
          <w:color w:val="auto"/>
        </w:rPr>
      </w:pPr>
    </w:p>
    <w:p>
      <w:pPr>
        <w:jc w:val="both"/>
        <w:ind w:left="283"/>
        <w:spacing w:after="0" w:line="265" w:lineRule="auto"/>
        <w:rPr>
          <w:sz w:val="20"/>
          <w:szCs w:val="20"/>
          <w:color w:val="auto"/>
        </w:rPr>
      </w:pPr>
      <w:r>
        <w:rPr>
          <w:rFonts w:ascii="Calibri" w:cs="Calibri" w:eastAsia="Calibri" w:hAnsi="Calibri"/>
          <w:sz w:val="16"/>
          <w:szCs w:val="16"/>
          <w:color w:val="auto"/>
        </w:rPr>
        <w:t>During the nine- month period ended December 31, 2023, the Company sold 34,140,507 Common Shares under the ATM Programs at an average price of $0.4549 (US$0.3374) per Common Share, for aggregate gross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14 of 32</w:t>
      </w:r>
    </w:p>
    <w:p>
      <w:pPr>
        <w:sectPr>
          <w:pgSz w:w="11900" w:h="16838" w:orient="portrait"/>
          <w:cols w:equalWidth="0" w:num="1">
            <w:col w:w="11243"/>
          </w:cols>
          <w:pgMar w:left="317" w:top="198" w:right="339" w:bottom="1440" w:gutter="0" w:footer="0" w:header="0"/>
        </w:sectPr>
      </w:pPr>
    </w:p>
    <w:bookmarkStart w:id="17" w:name="page18"/>
    <w:bookmarkEnd w:id="17"/>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01548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of $15,532 (US$11,518). Share issuance costs related to the ATM Programs for the nine- month period ended December 31, 2023 were $683.</w:t>
      </w:r>
    </w:p>
    <w:p>
      <w:pPr>
        <w:spacing w:after="0" w:line="195" w:lineRule="exact"/>
        <w:rPr>
          <w:sz w:val="20"/>
          <w:szCs w:val="20"/>
          <w:color w:val="auto"/>
        </w:rPr>
      </w:pPr>
    </w:p>
    <w:p>
      <w:pPr>
        <w:jc w:val="both"/>
        <w:ind w:left="220"/>
        <w:spacing w:after="0" w:line="280" w:lineRule="auto"/>
        <w:rPr>
          <w:sz w:val="20"/>
          <w:szCs w:val="20"/>
          <w:color w:val="auto"/>
        </w:rPr>
      </w:pPr>
      <w:r>
        <w:rPr>
          <w:rFonts w:ascii="Calibri" w:cs="Calibri" w:eastAsia="Calibri" w:hAnsi="Calibri"/>
          <w:sz w:val="16"/>
          <w:szCs w:val="16"/>
          <w:color w:val="auto"/>
        </w:rPr>
        <w:t>The Company sold a total of 54,894,627 Common Shares under the ATM Program at an average price of $0.5408 (US$0.4018) per Common Share, for aggregate gross proceeds of $29,684 (US$22,059).) Share issuance costs related to the ATM Program were $1,109.</w:t>
      </w:r>
    </w:p>
    <w:p>
      <w:pPr>
        <w:spacing w:after="0" w:line="151" w:lineRule="exact"/>
        <w:rPr>
          <w:sz w:val="20"/>
          <w:szCs w:val="20"/>
          <w:color w:val="auto"/>
        </w:rPr>
      </w:pPr>
    </w:p>
    <w:p>
      <w:pPr>
        <w:jc w:val="both"/>
        <w:ind w:left="220"/>
        <w:spacing w:after="0" w:line="276" w:lineRule="auto"/>
        <w:rPr>
          <w:sz w:val="20"/>
          <w:szCs w:val="20"/>
          <w:color w:val="auto"/>
        </w:rPr>
      </w:pPr>
      <w:r>
        <w:rPr>
          <w:rFonts w:ascii="Calibri" w:cs="Calibri" w:eastAsia="Calibri" w:hAnsi="Calibri"/>
          <w:sz w:val="16"/>
          <w:szCs w:val="16"/>
          <w:color w:val="auto"/>
        </w:rPr>
        <w:t>On May 30, 2023, the Company entered into an agreement (the “</w:t>
      </w:r>
      <w:r>
        <w:rPr>
          <w:rFonts w:ascii="Calibri" w:cs="Calibri" w:eastAsia="Calibri" w:hAnsi="Calibri"/>
          <w:sz w:val="16"/>
          <w:szCs w:val="16"/>
          <w:b w:val="1"/>
          <w:bCs w:val="1"/>
          <w:color w:val="auto"/>
        </w:rPr>
        <w:t>LPC Agreement</w:t>
      </w:r>
      <w:r>
        <w:rPr>
          <w:rFonts w:ascii="Calibri" w:cs="Calibri" w:eastAsia="Calibri" w:hAnsi="Calibri"/>
          <w:sz w:val="16"/>
          <w:szCs w:val="16"/>
          <w:color w:val="auto"/>
        </w:rPr>
        <w:t>”) with Lincoln Park Capital Fund, LLC (“</w:t>
      </w:r>
      <w:r>
        <w:rPr>
          <w:rFonts w:ascii="Calibri" w:cs="Calibri" w:eastAsia="Calibri" w:hAnsi="Calibri"/>
          <w:sz w:val="16"/>
          <w:szCs w:val="16"/>
          <w:b w:val="1"/>
          <w:bCs w:val="1"/>
          <w:color w:val="auto"/>
        </w:rPr>
        <w:t>LPC</w:t>
      </w:r>
      <w:r>
        <w:rPr>
          <w:rFonts w:ascii="Calibri" w:cs="Calibri" w:eastAsia="Calibri" w:hAnsi="Calibri"/>
          <w:sz w:val="16"/>
          <w:szCs w:val="16"/>
          <w:color w:val="auto"/>
        </w:rPr>
        <w:t>”). Subject to the terms and conditons of the LPC Agreement, the Company has the right to sell, and LPC is obligated to purchase, up to US$30,000 of Common Shares over a 36-month period at prices that are based on the market price at the tme of each sale to LPC. Cybin, in its sole discreton, controls the tming and amount of all sales of Common Shares under the LPC Agreement. During the nine-month period ended December 31, 2023, the Company sold 1,925,000 Common Shares, at an average price of $0.3236 (US$0.2417) per Common Shares, for aggregate gross proceeds of $623 (US$465) pursuant to the LPC Agreement. Share issuance costs related to the LPC Agreement for the nine-month period ended December 31, 2023 were $389 (US$288).</w:t>
      </w:r>
    </w:p>
    <w:p>
      <w:pPr>
        <w:spacing w:after="0" w:line="168" w:lineRule="exact"/>
        <w:rPr>
          <w:sz w:val="20"/>
          <w:szCs w:val="20"/>
          <w:color w:val="auto"/>
        </w:rPr>
      </w:pPr>
    </w:p>
    <w:p>
      <w:pPr>
        <w:jc w:val="both"/>
        <w:ind w:left="220" w:right="20"/>
        <w:spacing w:after="0" w:line="295" w:lineRule="auto"/>
        <w:rPr>
          <w:sz w:val="20"/>
          <w:szCs w:val="20"/>
          <w:color w:val="auto"/>
        </w:rPr>
      </w:pPr>
      <w:r>
        <w:rPr>
          <w:rFonts w:ascii="Calibri" w:cs="Calibri" w:eastAsia="Calibri" w:hAnsi="Calibri"/>
          <w:sz w:val="15"/>
          <w:szCs w:val="15"/>
          <w:color w:val="auto"/>
        </w:rPr>
        <w:t>Cybin has the right to terminate the LPC Agreement at any tme at no cost or penalty. LPC has agreed not to engage in any short selling or hedging actvity of any kind in the Common Shares. As consideraton for LPC’s obligaton to purchase Common Shares from the Company at its directon under the LPC Agreement, Cybin issued 2,538,844 Common Shares to LPC as a commitment fee on May 30, 2023. The LPC Agreement provides that Cybin may not issue or sell any Common Shares to LPC under the LPC Agreement which, when aggregated with all other Common Shares then benefcially owned by LPC and its afliates (as calculated pursuant to Secton 13(d) of the U.S. Securites Exchange Act of 1934, as amended, and Rule 13d-3 thereunder), would result in LPC benefcially owning more than 9.99% of the outstanding Common Shares. On July 31, 2023, Cybin announced that it had suspended all sales under the LPC Agreement. On August 23, 2023, the Company fled a prospectus supplement to the base shelf prospectus dated August 17, 2023 to re-qualify sales of up to US$30,000 of the Company’s Common Shares pursuant to the LPC Agreement.</w:t>
      </w:r>
    </w:p>
    <w:p>
      <w:pPr>
        <w:spacing w:after="0" w:line="1" w:lineRule="exact"/>
        <w:rPr>
          <w:sz w:val="20"/>
          <w:szCs w:val="20"/>
          <w:color w:val="auto"/>
        </w:rPr>
      </w:pPr>
    </w:p>
    <w:p>
      <w:pPr>
        <w:jc w:val="both"/>
        <w:ind w:left="220"/>
        <w:spacing w:after="0" w:line="273" w:lineRule="auto"/>
        <w:rPr>
          <w:sz w:val="20"/>
          <w:szCs w:val="20"/>
          <w:color w:val="auto"/>
        </w:rPr>
      </w:pPr>
      <w:r>
        <w:rPr>
          <w:rFonts w:ascii="Calibri" w:cs="Calibri" w:eastAsia="Calibri" w:hAnsi="Calibri"/>
          <w:sz w:val="16"/>
          <w:szCs w:val="16"/>
          <w:color w:val="auto"/>
        </w:rPr>
        <w:t>On August 4, 2023, the Company completed a public ofering (the “August 2023 Ofering”) of 24,264,706 units of the Company (the “August 2023 Units”) at a price of US$0.34 per August 2023 Unit for gross proceeds of $11,018(US$8,250) pursuant to a supplement to the Company’s short form base shelf prospectus dated July 5, 2021. Each August 2023 Unit is comprised of one Common Share and one Common Share purchase warrant (the “August 2023 Warrants”). Each August 2023 Warrant is exercisable to acquire one Common Share at a price of $0.53(US$0.40) for a period of 60 months from issuance, subject to acceleraton in certain circumstances. In connecton with the Ofering, Cybin paid the underwriters a cash commission of $506(US$379) and incurred additonal share issuance costs, being professional fees of $619(US$458).</w:t>
      </w:r>
    </w:p>
    <w:p>
      <w:pPr>
        <w:spacing w:after="0" w:line="171" w:lineRule="exact"/>
        <w:rPr>
          <w:sz w:val="20"/>
          <w:szCs w:val="20"/>
          <w:color w:val="auto"/>
        </w:rPr>
      </w:pPr>
    </w:p>
    <w:p>
      <w:pPr>
        <w:jc w:val="both"/>
        <w:ind w:left="220"/>
        <w:spacing w:after="0" w:line="277" w:lineRule="auto"/>
        <w:rPr>
          <w:sz w:val="20"/>
          <w:szCs w:val="20"/>
          <w:color w:val="auto"/>
        </w:rPr>
      </w:pPr>
      <w:r>
        <w:rPr>
          <w:rFonts w:ascii="Calibri" w:cs="Calibri" w:eastAsia="Calibri" w:hAnsi="Calibri"/>
          <w:sz w:val="16"/>
          <w:szCs w:val="16"/>
          <w:color w:val="auto"/>
        </w:rPr>
        <w:t>On November 14, 2023, the Company completed a public ofering (the “November 2023 Ofering”) of 66,666,667 units of the Company (the “November 2023 Units”) at a price of US$0.45 per November 2023 Unit for gross proceeds of $41,107(US$30,000) pursuant to a supplement to the Company’s short form base shelf prospectus dated August 17, 2023. Each November 2023 Unit is comprised of one Common Share and one Common Share purchase warrant (the “November 2023 Warrants”). Each November 2023 Warrant is exercisable to acquire one Common Share at a price of$0.70 (US$0.51) between May 14, 2024 and May 14, 2029,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15 of 32</w:t>
      </w:r>
    </w:p>
    <w:p>
      <w:pPr>
        <w:sectPr>
          <w:pgSz w:w="11900" w:h="16838" w:orient="portrait"/>
          <w:cols w:equalWidth="0" w:num="1">
            <w:col w:w="11200"/>
          </w:cols>
          <w:pgMar w:left="380" w:top="198" w:right="319" w:bottom="1440" w:gutter="0" w:footer="0" w:header="0"/>
        </w:sectPr>
      </w:pPr>
    </w:p>
    <w:bookmarkStart w:id="18" w:name="page19"/>
    <w:bookmarkEnd w:id="18"/>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01548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acceleraton in certain circumstances. In connecton with the November 2023 Ofering, Cybin paid the underwriters a cash commission of $2,096(US$1,530) and incurred additonal share issuance costs being professional fees of $341(US$248).</w:t>
      </w:r>
    </w:p>
    <w:p>
      <w:pPr>
        <w:spacing w:after="0" w:line="161"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Preferred Shares</w:t>
      </w:r>
    </w:p>
    <w:p>
      <w:pPr>
        <w:spacing w:after="0" w:line="18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As at December 31, 2023, the Company has nil preferred shares outstanding (March 31, 2023 - nil).</w:t>
      </w:r>
    </w:p>
    <w:p>
      <w:pPr>
        <w:spacing w:after="0" w:line="193"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Cybin US Class B Shares</w:t>
      </w:r>
    </w:p>
    <w:p>
      <w:pPr>
        <w:spacing w:after="0" w:line="195" w:lineRule="exact"/>
        <w:rPr>
          <w:sz w:val="20"/>
          <w:szCs w:val="20"/>
          <w:color w:val="auto"/>
        </w:rPr>
      </w:pPr>
    </w:p>
    <w:p>
      <w:pPr>
        <w:jc w:val="both"/>
        <w:ind w:left="280"/>
        <w:spacing w:after="0" w:line="274" w:lineRule="auto"/>
        <w:rPr>
          <w:sz w:val="20"/>
          <w:szCs w:val="20"/>
          <w:color w:val="auto"/>
        </w:rPr>
      </w:pPr>
      <w:r>
        <w:rPr>
          <w:rFonts w:ascii="Calibri" w:cs="Calibri" w:eastAsia="Calibri" w:hAnsi="Calibri"/>
          <w:sz w:val="16"/>
          <w:szCs w:val="16"/>
          <w:color w:val="auto"/>
        </w:rPr>
        <w:t>As at December 31, 2023, 530,542.1 class B common shares of Cybin US (“</w:t>
      </w:r>
      <w:r>
        <w:rPr>
          <w:rFonts w:ascii="Calibri" w:cs="Calibri" w:eastAsia="Calibri" w:hAnsi="Calibri"/>
          <w:sz w:val="16"/>
          <w:szCs w:val="16"/>
          <w:b w:val="1"/>
          <w:bCs w:val="1"/>
          <w:color w:val="auto"/>
        </w:rPr>
        <w:t>Class B Shares</w:t>
      </w:r>
      <w:r>
        <w:rPr>
          <w:rFonts w:ascii="Calibri" w:cs="Calibri" w:eastAsia="Calibri" w:hAnsi="Calibri"/>
          <w:sz w:val="16"/>
          <w:szCs w:val="16"/>
          <w:color w:val="auto"/>
        </w:rPr>
        <w:t>”) were outstanding, and were exchangeable for a total of 5,305,421, Common Shares. On January 3, 2024 holders exchanged an aggregate of 494,457.4 Class B Shares for 4,944,574 Common Shares. These condensed interim consolidated fnancial statements refect all of the issued Class B Shares on an as-converted basis.</w:t>
      </w:r>
    </w:p>
    <w:p>
      <w:pPr>
        <w:spacing w:after="0" w:line="166"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u w:val="single" w:color="auto"/>
          <w:color w:val="auto"/>
        </w:rPr>
        <w:t>c) Warrants</w:t>
      </w:r>
    </w:p>
    <w:p>
      <w:pPr>
        <w:spacing w:after="0" w:line="37" w:lineRule="exact"/>
        <w:rPr>
          <w:sz w:val="20"/>
          <w:szCs w:val="20"/>
          <w:color w:val="auto"/>
        </w:rPr>
      </w:pPr>
    </w:p>
    <w:p>
      <w:pPr>
        <w:jc w:val="both"/>
        <w:ind w:left="280"/>
        <w:spacing w:after="0" w:line="250" w:lineRule="auto"/>
        <w:rPr>
          <w:sz w:val="20"/>
          <w:szCs w:val="20"/>
          <w:color w:val="auto"/>
        </w:rPr>
      </w:pPr>
      <w:r>
        <w:rPr>
          <w:rFonts w:ascii="Calibri" w:cs="Calibri" w:eastAsia="Calibri" w:hAnsi="Calibri"/>
          <w:sz w:val="16"/>
          <w:szCs w:val="16"/>
          <w:color w:val="auto"/>
        </w:rPr>
        <w:t>On August 4, 2023, Cybin issued 24,264,706 “August 2023 Warrants” in connecton with the August 2023 Ofering. Each August 2023 Warrant is exercisable to acquire one Common Share at a price of US$0.40 per Common Share untl August 4, 2028, subject to acceleraton in certain circumstances.</w:t>
      </w:r>
    </w:p>
    <w:p>
      <w:pPr>
        <w:spacing w:after="0" w:line="175"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The Company estmated the aggregate fair value of the August 2023 Warrants using the Black-Scholes opton pricing model to be $4,559(US$3,442) with the following assumptons: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20" w:type="dxa"/>
            <w:vAlign w:val="bottom"/>
          </w:tcPr>
          <w:p>
            <w:pPr>
              <w:ind w:left="280"/>
              <w:spacing w:after="0"/>
              <w:rPr>
                <w:sz w:val="20"/>
                <w:szCs w:val="20"/>
                <w:color w:val="auto"/>
              </w:rPr>
            </w:pPr>
            <w:r>
              <w:rPr>
                <w:rFonts w:ascii="Calibri" w:cs="Calibri" w:eastAsia="Calibri" w:hAnsi="Calibri"/>
                <w:sz w:val="16"/>
                <w:szCs w:val="16"/>
                <w:color w:val="auto"/>
              </w:rPr>
              <w:t>Risk-free interest rate</w:t>
            </w:r>
          </w:p>
        </w:tc>
        <w:tc>
          <w:tcPr>
            <w:tcW w:w="2540" w:type="dxa"/>
            <w:vAlign w:val="bottom"/>
          </w:tcPr>
          <w:p>
            <w:pPr>
              <w:ind w:left="380"/>
              <w:spacing w:after="0"/>
              <w:rPr>
                <w:sz w:val="20"/>
                <w:szCs w:val="20"/>
                <w:color w:val="auto"/>
              </w:rPr>
            </w:pPr>
            <w:r>
              <w:rPr>
                <w:rFonts w:ascii="Calibri" w:cs="Calibri" w:eastAsia="Calibri" w:hAnsi="Calibri"/>
                <w:sz w:val="16"/>
                <w:szCs w:val="16"/>
                <w:color w:val="auto"/>
              </w:rPr>
              <w:t>3.87%</w:t>
            </w:r>
          </w:p>
        </w:tc>
        <w:tc>
          <w:tcPr>
            <w:tcW w:w="780" w:type="dxa"/>
            <w:vAlign w:val="bottom"/>
          </w:tcPr>
          <w:p>
            <w:pPr>
              <w:spacing w:after="0"/>
              <w:rPr>
                <w:sz w:val="16"/>
                <w:szCs w:val="16"/>
                <w:color w:val="auto"/>
              </w:rPr>
            </w:pPr>
          </w:p>
        </w:tc>
      </w:tr>
      <w:tr>
        <w:trPr>
          <w:trHeight w:val="218"/>
        </w:trPr>
        <w:tc>
          <w:tcPr>
            <w:tcW w:w="4460" w:type="dxa"/>
            <w:vAlign w:val="bottom"/>
            <w:gridSpan w:val="2"/>
          </w:tcPr>
          <w:p>
            <w:pPr>
              <w:spacing w:after="0"/>
              <w:rPr>
                <w:sz w:val="20"/>
                <w:szCs w:val="20"/>
                <w:color w:val="auto"/>
              </w:rPr>
            </w:pPr>
            <w:r>
              <w:rPr>
                <w:rFonts w:ascii="Calibri" w:cs="Calibri" w:eastAsia="Calibri" w:hAnsi="Calibri"/>
                <w:sz w:val="16"/>
                <w:szCs w:val="16"/>
                <w:color w:val="auto"/>
              </w:rPr>
              <w:t>Expected annual volatlity rate based on comparable companies</w:t>
            </w:r>
          </w:p>
        </w:tc>
        <w:tc>
          <w:tcPr>
            <w:tcW w:w="780" w:type="dxa"/>
            <w:vAlign w:val="bottom"/>
          </w:tcPr>
          <w:p>
            <w:pPr>
              <w:jc w:val="right"/>
              <w:spacing w:after="0"/>
              <w:rPr>
                <w:sz w:val="20"/>
                <w:szCs w:val="20"/>
                <w:color w:val="auto"/>
              </w:rPr>
            </w:pPr>
            <w:r>
              <w:rPr>
                <w:rFonts w:ascii="Calibri" w:cs="Calibri" w:eastAsia="Calibri" w:hAnsi="Calibri"/>
                <w:sz w:val="16"/>
                <w:szCs w:val="16"/>
                <w:color w:val="auto"/>
              </w:rPr>
              <w:t>95.0%</w:t>
            </w:r>
          </w:p>
        </w:tc>
      </w:tr>
      <w:tr>
        <w:trPr>
          <w:trHeight w:val="230"/>
        </w:trPr>
        <w:tc>
          <w:tcPr>
            <w:tcW w:w="192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2540" w:type="dxa"/>
            <w:vAlign w:val="bottom"/>
          </w:tcPr>
          <w:p>
            <w:pPr>
              <w:ind w:left="880"/>
              <w:spacing w:after="0"/>
              <w:rPr>
                <w:sz w:val="20"/>
                <w:szCs w:val="20"/>
                <w:color w:val="auto"/>
              </w:rPr>
            </w:pPr>
            <w:r>
              <w:rPr>
                <w:rFonts w:ascii="Calibri" w:cs="Calibri" w:eastAsia="Calibri" w:hAnsi="Calibri"/>
                <w:sz w:val="16"/>
                <w:szCs w:val="16"/>
                <w:color w:val="auto"/>
              </w:rPr>
              <w:t>5.00</w:t>
            </w:r>
          </w:p>
        </w:tc>
        <w:tc>
          <w:tcPr>
            <w:tcW w:w="780" w:type="dxa"/>
            <w:vAlign w:val="bottom"/>
          </w:tcPr>
          <w:p>
            <w:pPr>
              <w:spacing w:after="0"/>
              <w:rPr>
                <w:sz w:val="20"/>
                <w:szCs w:val="20"/>
                <w:color w:val="auto"/>
              </w:rPr>
            </w:pPr>
          </w:p>
        </w:tc>
      </w:tr>
      <w:tr>
        <w:trPr>
          <w:trHeight w:val="218"/>
        </w:trPr>
        <w:tc>
          <w:tcPr>
            <w:tcW w:w="1920" w:type="dxa"/>
            <w:vAlign w:val="bottom"/>
          </w:tcPr>
          <w:p>
            <w:pPr>
              <w:spacing w:after="0"/>
              <w:rPr>
                <w:sz w:val="20"/>
                <w:szCs w:val="20"/>
                <w:color w:val="auto"/>
              </w:rPr>
            </w:pPr>
            <w:r>
              <w:rPr>
                <w:rFonts w:ascii="Calibri" w:cs="Calibri" w:eastAsia="Calibri" w:hAnsi="Calibri"/>
                <w:sz w:val="16"/>
                <w:szCs w:val="16"/>
                <w:color w:val="auto"/>
              </w:rPr>
              <w:t>Expected divided yield</w:t>
            </w:r>
          </w:p>
        </w:tc>
        <w:tc>
          <w:tcPr>
            <w:tcW w:w="2540" w:type="dxa"/>
            <w:vAlign w:val="bottom"/>
          </w:tcPr>
          <w:p>
            <w:pPr>
              <w:ind w:left="860"/>
              <w:spacing w:after="0"/>
              <w:rPr>
                <w:sz w:val="20"/>
                <w:szCs w:val="20"/>
                <w:color w:val="auto"/>
              </w:rPr>
            </w:pPr>
            <w:r>
              <w:rPr>
                <w:rFonts w:ascii="Calibri" w:cs="Calibri" w:eastAsia="Calibri" w:hAnsi="Calibri"/>
                <w:sz w:val="16"/>
                <w:szCs w:val="16"/>
                <w:color w:val="auto"/>
              </w:rPr>
              <w:t>0.00%</w:t>
            </w:r>
          </w:p>
        </w:tc>
        <w:tc>
          <w:tcPr>
            <w:tcW w:w="78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Calibri" w:cs="Calibri" w:eastAsia="Calibri" w:hAnsi="Calibri"/>
                <w:sz w:val="16"/>
                <w:szCs w:val="16"/>
                <w:color w:val="auto"/>
              </w:rPr>
              <w:t>Share price</w:t>
            </w:r>
          </w:p>
        </w:tc>
        <w:tc>
          <w:tcPr>
            <w:tcW w:w="2540" w:type="dxa"/>
            <w:vAlign w:val="bottom"/>
          </w:tcPr>
          <w:p>
            <w:pPr>
              <w:ind w:left="260"/>
              <w:spacing w:after="0"/>
              <w:rPr>
                <w:sz w:val="20"/>
                <w:szCs w:val="20"/>
                <w:color w:val="auto"/>
              </w:rPr>
            </w:pPr>
            <w:r>
              <w:rPr>
                <w:rFonts w:ascii="Calibri" w:cs="Calibri" w:eastAsia="Calibri" w:hAnsi="Calibri"/>
                <w:sz w:val="16"/>
                <w:szCs w:val="16"/>
                <w:color w:val="auto"/>
              </w:rPr>
              <w:t>US$ 0.34</w:t>
            </w:r>
          </w:p>
        </w:tc>
        <w:tc>
          <w:tcPr>
            <w:tcW w:w="780" w:type="dxa"/>
            <w:vAlign w:val="bottom"/>
          </w:tcPr>
          <w:p>
            <w:pPr>
              <w:spacing w:after="0"/>
              <w:rPr>
                <w:sz w:val="20"/>
                <w:szCs w:val="20"/>
                <w:color w:val="auto"/>
              </w:rPr>
            </w:pPr>
          </w:p>
        </w:tc>
      </w:tr>
      <w:tr>
        <w:trPr>
          <w:trHeight w:val="218"/>
        </w:trPr>
        <w:tc>
          <w:tcPr>
            <w:tcW w:w="1920" w:type="dxa"/>
            <w:vAlign w:val="bottom"/>
          </w:tcPr>
          <w:p>
            <w:pPr>
              <w:spacing w:after="0"/>
              <w:rPr>
                <w:sz w:val="20"/>
                <w:szCs w:val="20"/>
                <w:color w:val="auto"/>
              </w:rPr>
            </w:pPr>
            <w:r>
              <w:rPr>
                <w:rFonts w:ascii="Calibri" w:cs="Calibri" w:eastAsia="Calibri" w:hAnsi="Calibri"/>
                <w:sz w:val="16"/>
                <w:szCs w:val="16"/>
                <w:color w:val="auto"/>
              </w:rPr>
              <w:t>Exercise price</w:t>
            </w:r>
          </w:p>
        </w:tc>
        <w:tc>
          <w:tcPr>
            <w:tcW w:w="2540" w:type="dxa"/>
            <w:vAlign w:val="bottom"/>
          </w:tcPr>
          <w:p>
            <w:pPr>
              <w:ind w:left="260"/>
              <w:spacing w:after="0"/>
              <w:rPr>
                <w:sz w:val="20"/>
                <w:szCs w:val="20"/>
                <w:color w:val="auto"/>
              </w:rPr>
            </w:pPr>
            <w:r>
              <w:rPr>
                <w:rFonts w:ascii="Calibri" w:cs="Calibri" w:eastAsia="Calibri" w:hAnsi="Calibri"/>
                <w:sz w:val="16"/>
                <w:szCs w:val="16"/>
                <w:color w:val="auto"/>
              </w:rPr>
              <w:t>US$ 0.40</w:t>
            </w:r>
          </w:p>
        </w:tc>
        <w:tc>
          <w:tcPr>
            <w:tcW w:w="780" w:type="dxa"/>
            <w:vAlign w:val="bottom"/>
          </w:tcPr>
          <w:p>
            <w:pPr>
              <w:spacing w:after="0"/>
              <w:rPr>
                <w:sz w:val="18"/>
                <w:szCs w:val="18"/>
                <w:color w:val="auto"/>
              </w:rPr>
            </w:pPr>
          </w:p>
        </w:tc>
      </w:tr>
    </w:tbl>
    <w:p>
      <w:pPr>
        <w:spacing w:after="0" w:line="195" w:lineRule="exact"/>
        <w:rPr>
          <w:sz w:val="20"/>
          <w:szCs w:val="20"/>
          <w:color w:val="auto"/>
        </w:rPr>
      </w:pPr>
    </w:p>
    <w:p>
      <w:pPr>
        <w:jc w:val="both"/>
        <w:ind w:left="280"/>
        <w:spacing w:after="0" w:line="274" w:lineRule="auto"/>
        <w:rPr>
          <w:sz w:val="20"/>
          <w:szCs w:val="20"/>
          <w:color w:val="auto"/>
        </w:rPr>
      </w:pPr>
      <w:r>
        <w:rPr>
          <w:rFonts w:ascii="Calibri" w:cs="Calibri" w:eastAsia="Calibri" w:hAnsi="Calibri"/>
          <w:sz w:val="16"/>
          <w:szCs w:val="16"/>
          <w:color w:val="auto"/>
        </w:rPr>
        <w:t>On November 14, 2023, Cybin issued 66,666,667 “November 2023 Warrants” in connecton with the November 2023 Ofering. Each November 2023 Warrant is not exercisable untl the date that is six months afer the issuance date (May 14, 2024). The November 2023 Warrants are exercisable for a fve- year period (May 14, 2024 – May 14, 2029) to acquire one Common Share at a price of US$0.51, subject to acceleraton in certain circumstances.</w:t>
      </w:r>
    </w:p>
    <w:p>
      <w:pPr>
        <w:spacing w:after="0" w:line="168"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The Company estmated the aggregate fair value of the November 2023 Warrants using the Black-Scholes opton pricing model to be $17,193(US$12,299) with the following assumptons: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20" w:type="dxa"/>
            <w:vAlign w:val="bottom"/>
          </w:tcPr>
          <w:p>
            <w:pPr>
              <w:ind w:left="280"/>
              <w:spacing w:after="0"/>
              <w:rPr>
                <w:sz w:val="20"/>
                <w:szCs w:val="20"/>
                <w:color w:val="auto"/>
              </w:rPr>
            </w:pPr>
            <w:r>
              <w:rPr>
                <w:rFonts w:ascii="Calibri" w:cs="Calibri" w:eastAsia="Calibri" w:hAnsi="Calibri"/>
                <w:sz w:val="16"/>
                <w:szCs w:val="16"/>
                <w:color w:val="auto"/>
              </w:rPr>
              <w:t>Risk-free interest rate</w:t>
            </w:r>
          </w:p>
        </w:tc>
        <w:tc>
          <w:tcPr>
            <w:tcW w:w="2540" w:type="dxa"/>
            <w:vAlign w:val="bottom"/>
          </w:tcPr>
          <w:p>
            <w:pPr>
              <w:ind w:left="380"/>
              <w:spacing w:after="0"/>
              <w:rPr>
                <w:sz w:val="20"/>
                <w:szCs w:val="20"/>
                <w:color w:val="auto"/>
              </w:rPr>
            </w:pPr>
            <w:r>
              <w:rPr>
                <w:rFonts w:ascii="Calibri" w:cs="Calibri" w:eastAsia="Calibri" w:hAnsi="Calibri"/>
                <w:sz w:val="16"/>
                <w:szCs w:val="16"/>
                <w:color w:val="auto"/>
              </w:rPr>
              <w:t>3.76%</w:t>
            </w:r>
          </w:p>
        </w:tc>
        <w:tc>
          <w:tcPr>
            <w:tcW w:w="780" w:type="dxa"/>
            <w:vAlign w:val="bottom"/>
          </w:tcPr>
          <w:p>
            <w:pPr>
              <w:spacing w:after="0"/>
              <w:rPr>
                <w:sz w:val="16"/>
                <w:szCs w:val="16"/>
                <w:color w:val="auto"/>
              </w:rPr>
            </w:pPr>
          </w:p>
        </w:tc>
      </w:tr>
      <w:tr>
        <w:trPr>
          <w:trHeight w:val="218"/>
        </w:trPr>
        <w:tc>
          <w:tcPr>
            <w:tcW w:w="4460" w:type="dxa"/>
            <w:vAlign w:val="bottom"/>
            <w:gridSpan w:val="2"/>
          </w:tcPr>
          <w:p>
            <w:pPr>
              <w:spacing w:after="0"/>
              <w:rPr>
                <w:sz w:val="20"/>
                <w:szCs w:val="20"/>
                <w:color w:val="auto"/>
              </w:rPr>
            </w:pPr>
            <w:r>
              <w:rPr>
                <w:rFonts w:ascii="Calibri" w:cs="Calibri" w:eastAsia="Calibri" w:hAnsi="Calibri"/>
                <w:sz w:val="16"/>
                <w:szCs w:val="16"/>
                <w:color w:val="auto"/>
              </w:rPr>
              <w:t>Expected annual volatlity rate based on comparable companies</w:t>
            </w:r>
          </w:p>
        </w:tc>
        <w:tc>
          <w:tcPr>
            <w:tcW w:w="780" w:type="dxa"/>
            <w:vAlign w:val="bottom"/>
          </w:tcPr>
          <w:p>
            <w:pPr>
              <w:jc w:val="right"/>
              <w:spacing w:after="0"/>
              <w:rPr>
                <w:sz w:val="20"/>
                <w:szCs w:val="20"/>
                <w:color w:val="auto"/>
              </w:rPr>
            </w:pPr>
            <w:r>
              <w:rPr>
                <w:rFonts w:ascii="Calibri" w:cs="Calibri" w:eastAsia="Calibri" w:hAnsi="Calibri"/>
                <w:sz w:val="16"/>
                <w:szCs w:val="16"/>
                <w:color w:val="auto"/>
              </w:rPr>
              <w:t>95.0%</w:t>
            </w:r>
          </w:p>
        </w:tc>
      </w:tr>
      <w:tr>
        <w:trPr>
          <w:trHeight w:val="230"/>
        </w:trPr>
        <w:tc>
          <w:tcPr>
            <w:tcW w:w="192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2540" w:type="dxa"/>
            <w:vAlign w:val="bottom"/>
          </w:tcPr>
          <w:p>
            <w:pPr>
              <w:ind w:left="880"/>
              <w:spacing w:after="0"/>
              <w:rPr>
                <w:sz w:val="20"/>
                <w:szCs w:val="20"/>
                <w:color w:val="auto"/>
              </w:rPr>
            </w:pPr>
            <w:r>
              <w:rPr>
                <w:rFonts w:ascii="Calibri" w:cs="Calibri" w:eastAsia="Calibri" w:hAnsi="Calibri"/>
                <w:sz w:val="16"/>
                <w:szCs w:val="16"/>
                <w:color w:val="auto"/>
              </w:rPr>
              <w:t>5.50</w:t>
            </w:r>
          </w:p>
        </w:tc>
        <w:tc>
          <w:tcPr>
            <w:tcW w:w="780" w:type="dxa"/>
            <w:vAlign w:val="bottom"/>
          </w:tcPr>
          <w:p>
            <w:pPr>
              <w:spacing w:after="0"/>
              <w:rPr>
                <w:sz w:val="20"/>
                <w:szCs w:val="20"/>
                <w:color w:val="auto"/>
              </w:rPr>
            </w:pPr>
          </w:p>
        </w:tc>
      </w:tr>
      <w:tr>
        <w:trPr>
          <w:trHeight w:val="218"/>
        </w:trPr>
        <w:tc>
          <w:tcPr>
            <w:tcW w:w="1920" w:type="dxa"/>
            <w:vAlign w:val="bottom"/>
          </w:tcPr>
          <w:p>
            <w:pPr>
              <w:spacing w:after="0"/>
              <w:rPr>
                <w:sz w:val="20"/>
                <w:szCs w:val="20"/>
                <w:color w:val="auto"/>
              </w:rPr>
            </w:pPr>
            <w:r>
              <w:rPr>
                <w:rFonts w:ascii="Calibri" w:cs="Calibri" w:eastAsia="Calibri" w:hAnsi="Calibri"/>
                <w:sz w:val="16"/>
                <w:szCs w:val="16"/>
                <w:color w:val="auto"/>
              </w:rPr>
              <w:t>Expected divided yield</w:t>
            </w:r>
          </w:p>
        </w:tc>
        <w:tc>
          <w:tcPr>
            <w:tcW w:w="2540" w:type="dxa"/>
            <w:vAlign w:val="bottom"/>
          </w:tcPr>
          <w:p>
            <w:pPr>
              <w:ind w:left="860"/>
              <w:spacing w:after="0"/>
              <w:rPr>
                <w:sz w:val="20"/>
                <w:szCs w:val="20"/>
                <w:color w:val="auto"/>
              </w:rPr>
            </w:pPr>
            <w:r>
              <w:rPr>
                <w:rFonts w:ascii="Calibri" w:cs="Calibri" w:eastAsia="Calibri" w:hAnsi="Calibri"/>
                <w:sz w:val="16"/>
                <w:szCs w:val="16"/>
                <w:color w:val="auto"/>
              </w:rPr>
              <w:t>0.00%</w:t>
            </w:r>
          </w:p>
        </w:tc>
        <w:tc>
          <w:tcPr>
            <w:tcW w:w="78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Calibri" w:cs="Calibri" w:eastAsia="Calibri" w:hAnsi="Calibri"/>
                <w:sz w:val="16"/>
                <w:szCs w:val="16"/>
                <w:color w:val="auto"/>
              </w:rPr>
              <w:t>Share price</w:t>
            </w:r>
          </w:p>
        </w:tc>
        <w:tc>
          <w:tcPr>
            <w:tcW w:w="2540" w:type="dxa"/>
            <w:vAlign w:val="bottom"/>
          </w:tcPr>
          <w:p>
            <w:pPr>
              <w:ind w:left="260"/>
              <w:spacing w:after="0"/>
              <w:rPr>
                <w:sz w:val="20"/>
                <w:szCs w:val="20"/>
                <w:color w:val="auto"/>
              </w:rPr>
            </w:pPr>
            <w:r>
              <w:rPr>
                <w:rFonts w:ascii="Calibri" w:cs="Calibri" w:eastAsia="Calibri" w:hAnsi="Calibri"/>
                <w:sz w:val="16"/>
                <w:szCs w:val="16"/>
                <w:color w:val="auto"/>
              </w:rPr>
              <w:t>US$ 0.46</w:t>
            </w:r>
          </w:p>
        </w:tc>
        <w:tc>
          <w:tcPr>
            <w:tcW w:w="780" w:type="dxa"/>
            <w:vAlign w:val="bottom"/>
          </w:tcPr>
          <w:p>
            <w:pPr>
              <w:spacing w:after="0"/>
              <w:rPr>
                <w:sz w:val="20"/>
                <w:szCs w:val="20"/>
                <w:color w:val="auto"/>
              </w:rPr>
            </w:pPr>
          </w:p>
        </w:tc>
      </w:tr>
      <w:tr>
        <w:trPr>
          <w:trHeight w:val="218"/>
        </w:trPr>
        <w:tc>
          <w:tcPr>
            <w:tcW w:w="1920" w:type="dxa"/>
            <w:vAlign w:val="bottom"/>
          </w:tcPr>
          <w:p>
            <w:pPr>
              <w:spacing w:after="0"/>
              <w:rPr>
                <w:sz w:val="20"/>
                <w:szCs w:val="20"/>
                <w:color w:val="auto"/>
              </w:rPr>
            </w:pPr>
            <w:r>
              <w:rPr>
                <w:rFonts w:ascii="Calibri" w:cs="Calibri" w:eastAsia="Calibri" w:hAnsi="Calibri"/>
                <w:sz w:val="16"/>
                <w:szCs w:val="16"/>
                <w:color w:val="auto"/>
              </w:rPr>
              <w:t>Exercise price</w:t>
            </w:r>
          </w:p>
        </w:tc>
        <w:tc>
          <w:tcPr>
            <w:tcW w:w="2540" w:type="dxa"/>
            <w:vAlign w:val="bottom"/>
          </w:tcPr>
          <w:p>
            <w:pPr>
              <w:ind w:left="260"/>
              <w:spacing w:after="0"/>
              <w:rPr>
                <w:sz w:val="20"/>
                <w:szCs w:val="20"/>
                <w:color w:val="auto"/>
              </w:rPr>
            </w:pPr>
            <w:r>
              <w:rPr>
                <w:rFonts w:ascii="Calibri" w:cs="Calibri" w:eastAsia="Calibri" w:hAnsi="Calibri"/>
                <w:sz w:val="16"/>
                <w:szCs w:val="16"/>
                <w:color w:val="auto"/>
              </w:rPr>
              <w:t>US$ 0.51</w:t>
            </w:r>
          </w:p>
        </w:tc>
        <w:tc>
          <w:tcPr>
            <w:tcW w:w="7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16 of 32</w:t>
      </w:r>
    </w:p>
    <w:p>
      <w:pPr>
        <w:sectPr>
          <w:pgSz w:w="11900" w:h="16838" w:orient="portrait"/>
          <w:cols w:equalWidth="0" w:num="1">
            <w:col w:w="11260"/>
          </w:cols>
          <w:pgMar w:left="320" w:top="198" w:right="319" w:bottom="1440" w:gutter="0" w:footer="0" w:header="0"/>
        </w:sectPr>
      </w:pPr>
    </w:p>
    <w:bookmarkStart w:id="19" w:name="page20"/>
    <w:bookmarkEnd w:id="19"/>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4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0154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contnuity of the outstanding warrants for the nine-month period ended December 31, 2023, is as follows:</w:t>
      </w:r>
    </w:p>
    <w:p>
      <w:pPr>
        <w:spacing w:after="0" w:line="7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3540" w:type="dxa"/>
            <w:vAlign w:val="bottom"/>
            <w:vMerge w:val="restart"/>
          </w:tcPr>
          <w:p>
            <w:pPr>
              <w:jc w:val="right"/>
              <w:ind w:right="179"/>
              <w:spacing w:after="0"/>
              <w:rPr>
                <w:sz w:val="20"/>
                <w:szCs w:val="20"/>
                <w:color w:val="auto"/>
              </w:rPr>
            </w:pPr>
            <w:r>
              <w:rPr>
                <w:rFonts w:ascii="Calibri" w:cs="Calibri" w:eastAsia="Calibri" w:hAnsi="Calibri"/>
                <w:sz w:val="16"/>
                <w:szCs w:val="16"/>
                <w:b w:val="1"/>
                <w:bCs w:val="1"/>
                <w:color w:val="auto"/>
              </w:rPr>
              <w:t>Number of Warrants</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w:t>
            </w:r>
          </w:p>
        </w:tc>
        <w:tc>
          <w:tcPr>
            <w:tcW w:w="0" w:type="dxa"/>
            <w:vAlign w:val="bottom"/>
          </w:tcPr>
          <w:p>
            <w:pPr>
              <w:spacing w:after="0"/>
              <w:rPr>
                <w:sz w:val="1"/>
                <w:szCs w:val="1"/>
                <w:color w:val="auto"/>
              </w:rPr>
            </w:pPr>
          </w:p>
        </w:tc>
      </w:tr>
      <w:tr>
        <w:trPr>
          <w:trHeight w:val="193"/>
        </w:trPr>
        <w:tc>
          <w:tcPr>
            <w:tcW w:w="440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exercise price</w:t>
            </w:r>
          </w:p>
        </w:tc>
        <w:tc>
          <w:tcPr>
            <w:tcW w:w="0" w:type="dxa"/>
            <w:vAlign w:val="bottom"/>
          </w:tcPr>
          <w:p>
            <w:pPr>
              <w:spacing w:after="0"/>
              <w:rPr>
                <w:sz w:val="1"/>
                <w:szCs w:val="1"/>
                <w:color w:val="auto"/>
              </w:rPr>
            </w:pPr>
          </w:p>
        </w:tc>
      </w:tr>
      <w:tr>
        <w:trPr>
          <w:trHeight w:val="267"/>
        </w:trPr>
        <w:tc>
          <w:tcPr>
            <w:tcW w:w="44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43"/>
        </w:trPr>
        <w:tc>
          <w:tcPr>
            <w:tcW w:w="4400" w:type="dxa"/>
            <w:vAlign w:val="bottom"/>
          </w:tcPr>
          <w:p>
            <w:pPr>
              <w:ind w:left="60"/>
              <w:spacing w:after="0"/>
              <w:rPr>
                <w:sz w:val="20"/>
                <w:szCs w:val="20"/>
                <w:color w:val="auto"/>
              </w:rPr>
            </w:pPr>
            <w:r>
              <w:rPr>
                <w:rFonts w:ascii="Calibri" w:cs="Calibri" w:eastAsia="Calibri" w:hAnsi="Calibri"/>
                <w:sz w:val="16"/>
                <w:szCs w:val="16"/>
                <w:b w:val="1"/>
                <w:bCs w:val="1"/>
                <w:i w:val="1"/>
                <w:iCs w:val="1"/>
                <w:color w:val="auto"/>
              </w:rPr>
              <w:t>Common Share Purchase Warrants</w:t>
            </w:r>
          </w:p>
        </w:tc>
        <w:tc>
          <w:tcPr>
            <w:tcW w:w="3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400" w:type="dxa"/>
            <w:vAlign w:val="bottom"/>
          </w:tcPr>
          <w:p>
            <w:pPr>
              <w:ind w:left="20"/>
              <w:spacing w:after="0" w:line="185" w:lineRule="exact"/>
              <w:rPr>
                <w:sz w:val="20"/>
                <w:szCs w:val="20"/>
                <w:color w:val="auto"/>
              </w:rPr>
            </w:pPr>
            <w:r>
              <w:rPr>
                <w:rFonts w:ascii="Calibri" w:cs="Calibri" w:eastAsia="Calibri" w:hAnsi="Calibri"/>
                <w:sz w:val="16"/>
                <w:szCs w:val="16"/>
                <w:color w:val="auto"/>
              </w:rPr>
              <w:t>As at March 31, 2023</w:t>
            </w:r>
          </w:p>
        </w:tc>
        <w:tc>
          <w:tcPr>
            <w:tcW w:w="3540" w:type="dxa"/>
            <w:vAlign w:val="bottom"/>
          </w:tcPr>
          <w:p>
            <w:pPr>
              <w:jc w:val="right"/>
              <w:ind w:right="139"/>
              <w:spacing w:after="0" w:line="185" w:lineRule="exact"/>
              <w:rPr>
                <w:sz w:val="20"/>
                <w:szCs w:val="20"/>
                <w:color w:val="auto"/>
              </w:rPr>
            </w:pPr>
            <w:r>
              <w:rPr>
                <w:rFonts w:ascii="Calibri" w:cs="Calibri" w:eastAsia="Calibri" w:hAnsi="Calibri"/>
                <w:sz w:val="16"/>
                <w:szCs w:val="16"/>
                <w:color w:val="auto"/>
              </w:rPr>
              <w:t>23,230,485</w:t>
            </w:r>
          </w:p>
        </w:tc>
        <w:tc>
          <w:tcPr>
            <w:tcW w:w="1460" w:type="dxa"/>
            <w:vAlign w:val="bottom"/>
          </w:tcPr>
          <w:p>
            <w:pPr>
              <w:jc w:val="right"/>
              <w:spacing w:after="0" w:line="185" w:lineRule="exact"/>
              <w:rPr>
                <w:sz w:val="20"/>
                <w:szCs w:val="20"/>
                <w:color w:val="auto"/>
              </w:rPr>
            </w:pPr>
            <w:r>
              <w:rPr>
                <w:rFonts w:ascii="Calibri" w:cs="Calibri" w:eastAsia="Calibri" w:hAnsi="Calibri"/>
                <w:sz w:val="16"/>
                <w:szCs w:val="16"/>
                <w:color w:val="auto"/>
              </w:rPr>
              <w:t>1.29</w:t>
            </w:r>
          </w:p>
        </w:tc>
        <w:tc>
          <w:tcPr>
            <w:tcW w:w="0" w:type="dxa"/>
            <w:vAlign w:val="bottom"/>
          </w:tcPr>
          <w:p>
            <w:pPr>
              <w:spacing w:after="0"/>
              <w:rPr>
                <w:sz w:val="1"/>
                <w:szCs w:val="1"/>
                <w:color w:val="auto"/>
              </w:rPr>
            </w:pPr>
          </w:p>
        </w:tc>
      </w:tr>
      <w:tr>
        <w:trPr>
          <w:trHeight w:val="198"/>
        </w:trPr>
        <w:tc>
          <w:tcPr>
            <w:tcW w:w="4400" w:type="dxa"/>
            <w:vAlign w:val="bottom"/>
          </w:tcPr>
          <w:p>
            <w:pPr>
              <w:ind w:left="20"/>
              <w:spacing w:after="0"/>
              <w:rPr>
                <w:sz w:val="20"/>
                <w:szCs w:val="20"/>
                <w:color w:val="auto"/>
              </w:rPr>
            </w:pPr>
            <w:r>
              <w:rPr>
                <w:rFonts w:ascii="Calibri" w:cs="Calibri" w:eastAsia="Calibri" w:hAnsi="Calibri"/>
                <w:sz w:val="16"/>
                <w:szCs w:val="16"/>
                <w:color w:val="auto"/>
              </w:rPr>
              <w:t>Issued</w:t>
            </w:r>
          </w:p>
        </w:tc>
        <w:tc>
          <w:tcPr>
            <w:tcW w:w="3540" w:type="dxa"/>
            <w:vAlign w:val="bottom"/>
          </w:tcPr>
          <w:p>
            <w:pPr>
              <w:jc w:val="right"/>
              <w:ind w:right="139"/>
              <w:spacing w:after="0"/>
              <w:rPr>
                <w:sz w:val="20"/>
                <w:szCs w:val="20"/>
                <w:color w:val="auto"/>
              </w:rPr>
            </w:pPr>
            <w:r>
              <w:rPr>
                <w:rFonts w:ascii="Calibri" w:cs="Calibri" w:eastAsia="Calibri" w:hAnsi="Calibri"/>
                <w:sz w:val="16"/>
                <w:szCs w:val="16"/>
                <w:color w:val="auto"/>
              </w:rPr>
              <w:t>90,931,373</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0.67</w:t>
            </w:r>
          </w:p>
        </w:tc>
        <w:tc>
          <w:tcPr>
            <w:tcW w:w="0" w:type="dxa"/>
            <w:vAlign w:val="bottom"/>
          </w:tcPr>
          <w:p>
            <w:pPr>
              <w:spacing w:after="0"/>
              <w:rPr>
                <w:sz w:val="1"/>
                <w:szCs w:val="1"/>
                <w:color w:val="auto"/>
              </w:rPr>
            </w:pPr>
          </w:p>
        </w:tc>
      </w:tr>
      <w:tr>
        <w:trPr>
          <w:trHeight w:val="206"/>
        </w:trPr>
        <w:tc>
          <w:tcPr>
            <w:tcW w:w="4400" w:type="dxa"/>
            <w:vAlign w:val="bottom"/>
          </w:tcPr>
          <w:p>
            <w:pPr>
              <w:ind w:left="20"/>
              <w:spacing w:after="0"/>
              <w:rPr>
                <w:sz w:val="20"/>
                <w:szCs w:val="20"/>
                <w:color w:val="auto"/>
              </w:rPr>
            </w:pPr>
            <w:r>
              <w:rPr>
                <w:rFonts w:ascii="Calibri" w:cs="Calibri" w:eastAsia="Calibri" w:hAnsi="Calibri"/>
                <w:sz w:val="16"/>
                <w:szCs w:val="16"/>
                <w:color w:val="auto"/>
              </w:rPr>
              <w:t>Exercised</w:t>
            </w:r>
          </w:p>
        </w:tc>
        <w:tc>
          <w:tcPr>
            <w:tcW w:w="3540" w:type="dxa"/>
            <w:vAlign w:val="bottom"/>
          </w:tcPr>
          <w:p>
            <w:pPr>
              <w:jc w:val="right"/>
              <w:ind w:right="139"/>
              <w:spacing w:after="0"/>
              <w:rPr>
                <w:sz w:val="20"/>
                <w:szCs w:val="20"/>
                <w:color w:val="auto"/>
              </w:rPr>
            </w:pPr>
            <w:r>
              <w:rPr>
                <w:rFonts w:ascii="Calibri" w:cs="Calibri" w:eastAsia="Calibri" w:hAnsi="Calibri"/>
                <w:sz w:val="16"/>
                <w:szCs w:val="16"/>
                <w:color w:val="auto"/>
              </w:rPr>
              <w:t>(101,000)</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0.53</w:t>
            </w:r>
          </w:p>
        </w:tc>
        <w:tc>
          <w:tcPr>
            <w:tcW w:w="0" w:type="dxa"/>
            <w:vAlign w:val="bottom"/>
          </w:tcPr>
          <w:p>
            <w:pPr>
              <w:spacing w:after="0"/>
              <w:rPr>
                <w:sz w:val="1"/>
                <w:szCs w:val="1"/>
                <w:color w:val="auto"/>
              </w:rPr>
            </w:pPr>
          </w:p>
        </w:tc>
      </w:tr>
      <w:tr>
        <w:trPr>
          <w:trHeight w:val="206"/>
        </w:trPr>
        <w:tc>
          <w:tcPr>
            <w:tcW w:w="4400" w:type="dxa"/>
            <w:vAlign w:val="bottom"/>
          </w:tcPr>
          <w:p>
            <w:pPr>
              <w:ind w:left="20"/>
              <w:spacing w:after="0"/>
              <w:rPr>
                <w:sz w:val="20"/>
                <w:szCs w:val="20"/>
                <w:color w:val="auto"/>
              </w:rPr>
            </w:pPr>
            <w:r>
              <w:rPr>
                <w:rFonts w:ascii="Calibri" w:cs="Calibri" w:eastAsia="Calibri" w:hAnsi="Calibri"/>
                <w:sz w:val="16"/>
                <w:szCs w:val="16"/>
                <w:color w:val="auto"/>
              </w:rPr>
              <w:t>Expired</w:t>
            </w:r>
          </w:p>
        </w:tc>
        <w:tc>
          <w:tcPr>
            <w:tcW w:w="3540" w:type="dxa"/>
            <w:vAlign w:val="bottom"/>
          </w:tcPr>
          <w:p>
            <w:pPr>
              <w:jc w:val="right"/>
              <w:ind w:right="139"/>
              <w:spacing w:after="0"/>
              <w:rPr>
                <w:sz w:val="20"/>
                <w:szCs w:val="20"/>
                <w:color w:val="auto"/>
              </w:rPr>
            </w:pPr>
            <w:r>
              <w:rPr>
                <w:rFonts w:ascii="Calibri" w:cs="Calibri" w:eastAsia="Calibri" w:hAnsi="Calibri"/>
                <w:sz w:val="16"/>
                <w:szCs w:val="16"/>
                <w:color w:val="auto"/>
              </w:rPr>
              <w:t>(658,860)</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3.40</w:t>
            </w:r>
          </w:p>
        </w:tc>
        <w:tc>
          <w:tcPr>
            <w:tcW w:w="0" w:type="dxa"/>
            <w:vAlign w:val="bottom"/>
          </w:tcPr>
          <w:p>
            <w:pPr>
              <w:spacing w:after="0"/>
              <w:rPr>
                <w:sz w:val="1"/>
                <w:szCs w:val="1"/>
                <w:color w:val="auto"/>
              </w:rPr>
            </w:pP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Outstanding as at December 31, 2023</w:t>
            </w:r>
          </w:p>
        </w:tc>
        <w:tc>
          <w:tcPr>
            <w:tcW w:w="3540" w:type="dxa"/>
            <w:vAlign w:val="bottom"/>
            <w:tcBorders>
              <w:bottom w:val="single" w:sz="8" w:color="auto"/>
            </w:tcBorders>
          </w:tcPr>
          <w:p>
            <w:pPr>
              <w:jc w:val="right"/>
              <w:ind w:right="139"/>
              <w:spacing w:after="0" w:line="192" w:lineRule="exact"/>
              <w:rPr>
                <w:sz w:val="20"/>
                <w:szCs w:val="20"/>
                <w:color w:val="auto"/>
              </w:rPr>
            </w:pPr>
            <w:r>
              <w:rPr>
                <w:rFonts w:ascii="Calibri" w:cs="Calibri" w:eastAsia="Calibri" w:hAnsi="Calibri"/>
                <w:sz w:val="16"/>
                <w:szCs w:val="16"/>
                <w:b w:val="1"/>
                <w:bCs w:val="1"/>
                <w:color w:val="auto"/>
              </w:rPr>
              <w:t>113,401,998</w:t>
            </w:r>
          </w:p>
        </w:tc>
        <w:tc>
          <w:tcPr>
            <w:tcW w:w="14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0.77</w:t>
            </w:r>
          </w:p>
        </w:tc>
        <w:tc>
          <w:tcPr>
            <w:tcW w:w="0" w:type="dxa"/>
            <w:vAlign w:val="bottom"/>
          </w:tcPr>
          <w:p>
            <w:pPr>
              <w:spacing w:after="0"/>
              <w:rPr>
                <w:sz w:val="1"/>
                <w:szCs w:val="1"/>
                <w:color w:val="auto"/>
              </w:rPr>
            </w:pPr>
          </w:p>
        </w:tc>
      </w:tr>
      <w:tr>
        <w:trPr>
          <w:trHeight w:val="198"/>
        </w:trPr>
        <w:tc>
          <w:tcPr>
            <w:tcW w:w="440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Exercisable as at December 31, 2023</w:t>
            </w:r>
          </w:p>
        </w:tc>
        <w:tc>
          <w:tcPr>
            <w:tcW w:w="3540" w:type="dxa"/>
            <w:vAlign w:val="bottom"/>
            <w:tcBorders>
              <w:bottom w:val="single" w:sz="8" w:color="auto"/>
            </w:tcBorders>
          </w:tcPr>
          <w:p>
            <w:pPr>
              <w:jc w:val="right"/>
              <w:ind w:right="139"/>
              <w:spacing w:after="0" w:line="193" w:lineRule="exact"/>
              <w:rPr>
                <w:sz w:val="20"/>
                <w:szCs w:val="20"/>
                <w:color w:val="auto"/>
              </w:rPr>
            </w:pPr>
            <w:r>
              <w:rPr>
                <w:rFonts w:ascii="Calibri" w:cs="Calibri" w:eastAsia="Calibri" w:hAnsi="Calibri"/>
                <w:sz w:val="16"/>
                <w:szCs w:val="16"/>
                <w:b w:val="1"/>
                <w:bCs w:val="1"/>
                <w:color w:val="auto"/>
              </w:rPr>
              <w:t>46,735,331</w:t>
            </w: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0.87</w:t>
            </w: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ind w:left="60"/>
              <w:spacing w:after="0" w:line="252" w:lineRule="exact"/>
              <w:rPr>
                <w:sz w:val="20"/>
                <w:szCs w:val="20"/>
                <w:color w:val="auto"/>
              </w:rPr>
            </w:pPr>
            <w:r>
              <w:rPr>
                <w:rFonts w:ascii="Calibri" w:cs="Calibri" w:eastAsia="Calibri" w:hAnsi="Calibri"/>
                <w:sz w:val="16"/>
                <w:szCs w:val="16"/>
                <w:b w:val="1"/>
                <w:bCs w:val="1"/>
                <w:i w:val="1"/>
                <w:iCs w:val="1"/>
                <w:color w:val="auto"/>
              </w:rPr>
              <w:t xml:space="preserve">Unit Purchase Warrants </w:t>
            </w:r>
            <w:r>
              <w:rPr>
                <w:rFonts w:ascii="Calibri" w:cs="Calibri" w:eastAsia="Calibri" w:hAnsi="Calibri"/>
                <w:sz w:val="21"/>
                <w:szCs w:val="21"/>
                <w:b w:val="1"/>
                <w:bCs w:val="1"/>
                <w:i w:val="1"/>
                <w:iCs w:val="1"/>
                <w:color w:val="auto"/>
                <w:vertAlign w:val="superscript"/>
              </w:rPr>
              <w:t>(1)</w:t>
            </w:r>
          </w:p>
        </w:tc>
        <w:tc>
          <w:tcPr>
            <w:tcW w:w="35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400" w:type="dxa"/>
            <w:vAlign w:val="bottom"/>
          </w:tcPr>
          <w:p>
            <w:pPr>
              <w:ind w:left="60"/>
              <w:spacing w:after="0" w:line="193" w:lineRule="exact"/>
              <w:rPr>
                <w:sz w:val="20"/>
                <w:szCs w:val="20"/>
                <w:color w:val="auto"/>
              </w:rPr>
            </w:pPr>
            <w:r>
              <w:rPr>
                <w:rFonts w:ascii="Calibri" w:cs="Calibri" w:eastAsia="Calibri" w:hAnsi="Calibri"/>
                <w:sz w:val="16"/>
                <w:szCs w:val="16"/>
                <w:color w:val="auto"/>
              </w:rPr>
              <w:t>As at March 31, 2023</w:t>
            </w:r>
          </w:p>
        </w:tc>
        <w:tc>
          <w:tcPr>
            <w:tcW w:w="354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rPr>
              <w:t>868,740</w:t>
            </w: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2.25</w:t>
            </w:r>
          </w:p>
        </w:tc>
        <w:tc>
          <w:tcPr>
            <w:tcW w:w="0" w:type="dxa"/>
            <w:vAlign w:val="bottom"/>
          </w:tcPr>
          <w:p>
            <w:pPr>
              <w:spacing w:after="0"/>
              <w:rPr>
                <w:sz w:val="1"/>
                <w:szCs w:val="1"/>
                <w:color w:val="auto"/>
              </w:rPr>
            </w:pPr>
          </w:p>
        </w:tc>
      </w:tr>
      <w:tr>
        <w:trPr>
          <w:trHeight w:val="235"/>
        </w:trPr>
        <w:tc>
          <w:tcPr>
            <w:tcW w:w="4400" w:type="dxa"/>
            <w:vAlign w:val="bottom"/>
          </w:tcPr>
          <w:p>
            <w:pPr>
              <w:ind w:left="60"/>
              <w:spacing w:after="0"/>
              <w:rPr>
                <w:sz w:val="20"/>
                <w:szCs w:val="20"/>
                <w:color w:val="auto"/>
              </w:rPr>
            </w:pPr>
            <w:r>
              <w:rPr>
                <w:rFonts w:ascii="Calibri" w:cs="Calibri" w:eastAsia="Calibri" w:hAnsi="Calibri"/>
                <w:sz w:val="16"/>
                <w:szCs w:val="16"/>
                <w:color w:val="auto"/>
              </w:rPr>
              <w:t>Exercised</w:t>
            </w:r>
          </w:p>
        </w:tc>
        <w:tc>
          <w:tcPr>
            <w:tcW w:w="354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57"/>
        </w:trPr>
        <w:tc>
          <w:tcPr>
            <w:tcW w:w="44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Outstanding as at December 31, 2023</w:t>
            </w:r>
          </w:p>
        </w:tc>
        <w:tc>
          <w:tcPr>
            <w:tcW w:w="3540" w:type="dxa"/>
            <w:vAlign w:val="bottom"/>
            <w:tcBorders>
              <w:bottom w:val="single" w:sz="8" w:color="auto"/>
            </w:tcBorders>
          </w:tcPr>
          <w:p>
            <w:pPr>
              <w:jc w:val="right"/>
              <w:ind w:right="139"/>
              <w:spacing w:after="0" w:line="192" w:lineRule="exact"/>
              <w:rPr>
                <w:sz w:val="20"/>
                <w:szCs w:val="20"/>
                <w:color w:val="auto"/>
              </w:rPr>
            </w:pPr>
            <w:r>
              <w:rPr>
                <w:rFonts w:ascii="Calibri" w:cs="Calibri" w:eastAsia="Calibri" w:hAnsi="Calibri"/>
                <w:sz w:val="16"/>
                <w:szCs w:val="16"/>
                <w:b w:val="1"/>
                <w:bCs w:val="1"/>
                <w:color w:val="auto"/>
              </w:rPr>
              <w:t>868,740</w:t>
            </w:r>
          </w:p>
        </w:tc>
        <w:tc>
          <w:tcPr>
            <w:tcW w:w="14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2.25</w:t>
            </w:r>
          </w:p>
        </w:tc>
        <w:tc>
          <w:tcPr>
            <w:tcW w:w="0" w:type="dxa"/>
            <w:vAlign w:val="bottom"/>
          </w:tcPr>
          <w:p>
            <w:pPr>
              <w:spacing w:after="0"/>
              <w:rPr>
                <w:sz w:val="1"/>
                <w:szCs w:val="1"/>
                <w:color w:val="auto"/>
              </w:rPr>
            </w:pPr>
          </w:p>
        </w:tc>
      </w:tr>
      <w:tr>
        <w:trPr>
          <w:trHeight w:val="198"/>
        </w:trPr>
        <w:tc>
          <w:tcPr>
            <w:tcW w:w="440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Exercisable as at December 31, 2023</w:t>
            </w:r>
          </w:p>
        </w:tc>
        <w:tc>
          <w:tcPr>
            <w:tcW w:w="3540" w:type="dxa"/>
            <w:vAlign w:val="bottom"/>
            <w:tcBorders>
              <w:bottom w:val="single" w:sz="8" w:color="auto"/>
            </w:tcBorders>
          </w:tcPr>
          <w:p>
            <w:pPr>
              <w:jc w:val="right"/>
              <w:ind w:right="139"/>
              <w:spacing w:after="0" w:line="193" w:lineRule="exact"/>
              <w:rPr>
                <w:sz w:val="20"/>
                <w:szCs w:val="20"/>
                <w:color w:val="auto"/>
              </w:rPr>
            </w:pPr>
            <w:r>
              <w:rPr>
                <w:rFonts w:ascii="Calibri" w:cs="Calibri" w:eastAsia="Calibri" w:hAnsi="Calibri"/>
                <w:sz w:val="16"/>
                <w:szCs w:val="16"/>
                <w:b w:val="1"/>
                <w:bCs w:val="1"/>
                <w:color w:val="auto"/>
              </w:rPr>
              <w:t>868,740</w:t>
            </w: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2.25</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20" w:firstLine="8"/>
        <w:spacing w:after="0" w:line="233" w:lineRule="auto"/>
        <w:tabs>
          <w:tab w:leader="none" w:pos="363" w:val="left"/>
        </w:tabs>
        <w:numPr>
          <w:ilvl w:val="0"/>
          <w:numId w:val="4"/>
        </w:numPr>
        <w:rPr>
          <w:rFonts w:ascii="Calibri" w:cs="Calibri" w:eastAsia="Calibri" w:hAnsi="Calibri"/>
          <w:sz w:val="18"/>
          <w:szCs w:val="18"/>
          <w:i w:val="1"/>
          <w:iCs w:val="1"/>
          <w:color w:val="auto"/>
          <w:vertAlign w:val="superscript"/>
        </w:rPr>
      </w:pPr>
      <w:r>
        <w:rPr>
          <w:rFonts w:ascii="Calibri" w:cs="Calibri" w:eastAsia="Calibri" w:hAnsi="Calibri"/>
          <w:sz w:val="14"/>
          <w:szCs w:val="14"/>
          <w:i w:val="1"/>
          <w:iCs w:val="1"/>
          <w:color w:val="auto"/>
        </w:rPr>
        <w:t>Each unit consists of one Common Share and one half of one Common Share purchase warrant, with each Common Share purchase warrant being exercisable to acquire one Common Share at an exercise price of $3.25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17 of 32</w:t>
      </w:r>
    </w:p>
    <w:p>
      <w:pPr>
        <w:sectPr>
          <w:pgSz w:w="11900" w:h="16838" w:orient="portrait"/>
          <w:cols w:equalWidth="0" w:num="1">
            <w:col w:w="11180"/>
          </w:cols>
          <w:pgMar w:left="380" w:top="198" w:right="339" w:bottom="1440" w:gutter="0" w:footer="0" w:header="0"/>
        </w:sectPr>
      </w:pPr>
    </w:p>
    <w:bookmarkStart w:id="20" w:name="page21"/>
    <w:bookmarkEnd w:id="20"/>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0154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summarizes informaton about warrants outstanding at December 31, 2023:</w:t>
      </w:r>
    </w:p>
    <w:p>
      <w:pPr>
        <w:spacing w:after="0" w:line="7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w:t>
            </w:r>
          </w:p>
        </w:tc>
      </w:tr>
      <w:tr>
        <w:trPr>
          <w:trHeight w:val="158"/>
        </w:trPr>
        <w:tc>
          <w:tcPr>
            <w:tcW w:w="3680" w:type="dxa"/>
            <w:vAlign w:val="bottom"/>
          </w:tcPr>
          <w:p>
            <w:pPr>
              <w:spacing w:after="0"/>
              <w:rPr>
                <w:sz w:val="13"/>
                <w:szCs w:val="13"/>
                <w:color w:val="auto"/>
              </w:rPr>
            </w:pPr>
          </w:p>
        </w:tc>
        <w:tc>
          <w:tcPr>
            <w:tcW w:w="1700" w:type="dxa"/>
            <w:vAlign w:val="bottom"/>
          </w:tcPr>
          <w:p>
            <w:pPr>
              <w:jc w:val="right"/>
              <w:ind w:right="279"/>
              <w:spacing w:after="0" w:line="158" w:lineRule="exact"/>
              <w:rPr>
                <w:sz w:val="20"/>
                <w:szCs w:val="20"/>
                <w:color w:val="auto"/>
              </w:rPr>
            </w:pPr>
            <w:r>
              <w:rPr>
                <w:rFonts w:ascii="Calibri" w:cs="Calibri" w:eastAsia="Calibri" w:hAnsi="Calibri"/>
                <w:sz w:val="16"/>
                <w:szCs w:val="16"/>
                <w:b w:val="1"/>
                <w:bCs w:val="1"/>
                <w:color w:val="auto"/>
              </w:rPr>
              <w:t>Warrants</w:t>
            </w:r>
          </w:p>
        </w:tc>
        <w:tc>
          <w:tcPr>
            <w:tcW w:w="1100" w:type="dxa"/>
            <w:vAlign w:val="bottom"/>
          </w:tcPr>
          <w:p>
            <w:pPr>
              <w:jc w:val="right"/>
              <w:spacing w:after="0" w:line="158" w:lineRule="exact"/>
              <w:rPr>
                <w:sz w:val="20"/>
                <w:szCs w:val="20"/>
                <w:color w:val="auto"/>
              </w:rPr>
            </w:pPr>
            <w:r>
              <w:rPr>
                <w:rFonts w:ascii="Calibri" w:cs="Calibri" w:eastAsia="Calibri" w:hAnsi="Calibri"/>
                <w:sz w:val="16"/>
                <w:szCs w:val="16"/>
                <w:b w:val="1"/>
                <w:bCs w:val="1"/>
                <w:color w:val="auto"/>
              </w:rPr>
              <w:t>Warrants</w:t>
            </w:r>
          </w:p>
        </w:tc>
        <w:tc>
          <w:tcPr>
            <w:tcW w:w="1580" w:type="dxa"/>
            <w:vAlign w:val="bottom"/>
          </w:tcPr>
          <w:p>
            <w:pPr>
              <w:jc w:val="right"/>
              <w:ind w:right="119"/>
              <w:spacing w:after="0" w:line="158" w:lineRule="exact"/>
              <w:rPr>
                <w:sz w:val="20"/>
                <w:szCs w:val="20"/>
                <w:color w:val="auto"/>
              </w:rPr>
            </w:pPr>
            <w:r>
              <w:rPr>
                <w:rFonts w:ascii="Calibri" w:cs="Calibri" w:eastAsia="Calibri" w:hAnsi="Calibri"/>
                <w:sz w:val="16"/>
                <w:szCs w:val="16"/>
                <w:b w:val="1"/>
                <w:bCs w:val="1"/>
                <w:color w:val="auto"/>
                <w:w w:val="98"/>
              </w:rPr>
              <w:t>Weighted average of</w:t>
            </w:r>
          </w:p>
        </w:tc>
        <w:tc>
          <w:tcPr>
            <w:tcW w:w="1360" w:type="dxa"/>
            <w:vAlign w:val="bottom"/>
          </w:tcPr>
          <w:p>
            <w:pPr>
              <w:jc w:val="right"/>
              <w:ind w:right="79"/>
              <w:spacing w:after="0" w:line="158" w:lineRule="exact"/>
              <w:rPr>
                <w:sz w:val="20"/>
                <w:szCs w:val="20"/>
                <w:color w:val="auto"/>
              </w:rPr>
            </w:pPr>
            <w:r>
              <w:rPr>
                <w:rFonts w:ascii="Calibri" w:cs="Calibri" w:eastAsia="Calibri" w:hAnsi="Calibri"/>
                <w:sz w:val="16"/>
                <w:szCs w:val="16"/>
                <w:b w:val="1"/>
                <w:bCs w:val="1"/>
                <w:color w:val="auto"/>
              </w:rPr>
              <w:t>Estmated grant</w:t>
            </w:r>
          </w:p>
        </w:tc>
        <w:tc>
          <w:tcPr>
            <w:tcW w:w="1340" w:type="dxa"/>
            <w:vAlign w:val="bottom"/>
          </w:tcPr>
          <w:p>
            <w:pPr>
              <w:jc w:val="right"/>
              <w:spacing w:after="0" w:line="158" w:lineRule="exact"/>
              <w:rPr>
                <w:sz w:val="20"/>
                <w:szCs w:val="20"/>
                <w:color w:val="auto"/>
              </w:rPr>
            </w:pPr>
            <w:r>
              <w:rPr>
                <w:rFonts w:ascii="Calibri" w:cs="Calibri" w:eastAsia="Calibri" w:hAnsi="Calibri"/>
                <w:sz w:val="16"/>
                <w:szCs w:val="16"/>
                <w:b w:val="1"/>
                <w:bCs w:val="1"/>
                <w:color w:val="auto"/>
              </w:rPr>
              <w:t>remaining</w:t>
            </w:r>
          </w:p>
        </w:tc>
      </w:tr>
      <w:tr>
        <w:trPr>
          <w:trHeight w:val="230"/>
        </w:trPr>
        <w:tc>
          <w:tcPr>
            <w:tcW w:w="3680" w:type="dxa"/>
            <w:vAlign w:val="bottom"/>
          </w:tcPr>
          <w:p>
            <w:pPr>
              <w:ind w:left="60"/>
              <w:spacing w:after="0"/>
              <w:rPr>
                <w:sz w:val="20"/>
                <w:szCs w:val="20"/>
                <w:color w:val="auto"/>
              </w:rPr>
            </w:pPr>
            <w:r>
              <w:rPr>
                <w:rFonts w:ascii="Calibri" w:cs="Calibri" w:eastAsia="Calibri" w:hAnsi="Calibri"/>
                <w:sz w:val="16"/>
                <w:szCs w:val="16"/>
                <w:b w:val="1"/>
                <w:bCs w:val="1"/>
                <w:color w:val="auto"/>
              </w:rPr>
              <w:t>Date of Expiry</w:t>
            </w:r>
          </w:p>
        </w:tc>
        <w:tc>
          <w:tcPr>
            <w:tcW w:w="170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outstanding</w:t>
            </w:r>
          </w:p>
        </w:tc>
        <w:tc>
          <w:tcPr>
            <w:tcW w:w="1100" w:type="dxa"/>
            <w:vAlign w:val="bottom"/>
          </w:tcPr>
          <w:p>
            <w:pPr>
              <w:jc w:val="right"/>
              <w:spacing w:after="0"/>
              <w:rPr>
                <w:sz w:val="20"/>
                <w:szCs w:val="20"/>
                <w:color w:val="auto"/>
              </w:rPr>
            </w:pPr>
            <w:r>
              <w:rPr>
                <w:rFonts w:ascii="Calibri" w:cs="Calibri" w:eastAsia="Calibri" w:hAnsi="Calibri"/>
                <w:sz w:val="16"/>
                <w:szCs w:val="16"/>
                <w:b w:val="1"/>
                <w:bCs w:val="1"/>
                <w:color w:val="auto"/>
              </w:rPr>
              <w:t>exercisable</w:t>
            </w:r>
          </w:p>
        </w:tc>
        <w:tc>
          <w:tcPr>
            <w:tcW w:w="15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exercisable price</w:t>
            </w:r>
          </w:p>
        </w:tc>
        <w:tc>
          <w:tcPr>
            <w:tcW w:w="136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date fair value</w:t>
            </w: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contractual life</w:t>
            </w:r>
          </w:p>
        </w:tc>
      </w:tr>
      <w:tr>
        <w:trPr>
          <w:trHeight w:val="243"/>
        </w:trPr>
        <w:tc>
          <w:tcPr>
            <w:tcW w:w="3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w:t>
            </w:r>
          </w:p>
        </w:tc>
        <w:tc>
          <w:tcPr>
            <w:tcW w:w="136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$000’s</w:t>
            </w:r>
          </w:p>
        </w:tc>
        <w:tc>
          <w:tcPr>
            <w:tcW w:w="1340" w:type="dxa"/>
            <w:vAlign w:val="bottom"/>
          </w:tcPr>
          <w:p>
            <w:pPr>
              <w:jc w:val="right"/>
              <w:spacing w:after="0"/>
              <w:rPr>
                <w:sz w:val="20"/>
                <w:szCs w:val="20"/>
                <w:color w:val="auto"/>
              </w:rPr>
            </w:pPr>
            <w:r>
              <w:rPr>
                <w:rFonts w:ascii="Calibri" w:cs="Calibri" w:eastAsia="Calibri" w:hAnsi="Calibri"/>
                <w:sz w:val="16"/>
                <w:szCs w:val="16"/>
                <w:b w:val="1"/>
                <w:bCs w:val="1"/>
                <w:color w:val="auto"/>
              </w:rPr>
              <w:t>Years</w:t>
            </w:r>
          </w:p>
        </w:tc>
      </w:tr>
      <w:tr>
        <w:trPr>
          <w:trHeight w:val="57"/>
        </w:trPr>
        <w:tc>
          <w:tcPr>
            <w:tcW w:w="36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185"/>
        </w:trPr>
        <w:tc>
          <w:tcPr>
            <w:tcW w:w="3680" w:type="dxa"/>
            <w:vAlign w:val="bottom"/>
          </w:tcPr>
          <w:p>
            <w:pPr>
              <w:ind w:left="60"/>
              <w:spacing w:after="0" w:line="185" w:lineRule="exact"/>
              <w:rPr>
                <w:sz w:val="20"/>
                <w:szCs w:val="20"/>
                <w:color w:val="auto"/>
              </w:rPr>
            </w:pPr>
            <w:r>
              <w:rPr>
                <w:rFonts w:ascii="Calibri" w:cs="Calibri" w:eastAsia="Calibri" w:hAnsi="Calibri"/>
                <w:sz w:val="16"/>
                <w:szCs w:val="16"/>
                <w:b w:val="1"/>
                <w:bCs w:val="1"/>
                <w:i w:val="1"/>
                <w:iCs w:val="1"/>
                <w:color w:val="auto"/>
              </w:rPr>
              <w:t>Common Share Purchase Warrants</w:t>
            </w: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8"/>
        </w:trPr>
        <w:tc>
          <w:tcPr>
            <w:tcW w:w="3680" w:type="dxa"/>
            <w:vAlign w:val="bottom"/>
          </w:tcPr>
          <w:p>
            <w:pPr>
              <w:ind w:left="20"/>
              <w:spacing w:after="0"/>
              <w:rPr>
                <w:sz w:val="20"/>
                <w:szCs w:val="20"/>
                <w:color w:val="auto"/>
              </w:rPr>
            </w:pPr>
            <w:r>
              <w:rPr>
                <w:rFonts w:ascii="Calibri" w:cs="Calibri" w:eastAsia="Calibri" w:hAnsi="Calibri"/>
                <w:sz w:val="16"/>
                <w:szCs w:val="16"/>
                <w:color w:val="auto"/>
              </w:rPr>
              <w:t>February 4, 2024</w:t>
            </w:r>
          </w:p>
        </w:tc>
        <w:tc>
          <w:tcPr>
            <w:tcW w:w="1700" w:type="dxa"/>
            <w:vAlign w:val="bottom"/>
          </w:tcPr>
          <w:p>
            <w:pPr>
              <w:jc w:val="right"/>
              <w:ind w:right="239"/>
              <w:spacing w:after="0"/>
              <w:rPr>
                <w:sz w:val="20"/>
                <w:szCs w:val="20"/>
                <w:color w:val="auto"/>
              </w:rPr>
            </w:pPr>
            <w:r>
              <w:rPr>
                <w:rFonts w:ascii="Calibri" w:cs="Calibri" w:eastAsia="Calibri" w:hAnsi="Calibri"/>
                <w:sz w:val="16"/>
                <w:szCs w:val="16"/>
                <w:color w:val="auto"/>
              </w:rPr>
              <w:t>7,146,500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7,146,500</w:t>
            </w:r>
          </w:p>
        </w:tc>
        <w:tc>
          <w:tcPr>
            <w:tcW w:w="1580" w:type="dxa"/>
            <w:vAlign w:val="bottom"/>
          </w:tcPr>
          <w:p>
            <w:pPr>
              <w:jc w:val="right"/>
              <w:ind w:right="79"/>
              <w:spacing w:after="0"/>
              <w:rPr>
                <w:sz w:val="20"/>
                <w:szCs w:val="20"/>
                <w:color w:val="auto"/>
              </w:rPr>
            </w:pPr>
            <w:r>
              <w:rPr>
                <w:rFonts w:ascii="Calibri" w:cs="Calibri" w:eastAsia="Calibri" w:hAnsi="Calibri"/>
                <w:sz w:val="16"/>
                <w:szCs w:val="16"/>
                <w:color w:val="auto"/>
              </w:rPr>
              <w:t>3.25</w:t>
            </w:r>
          </w:p>
        </w:tc>
        <w:tc>
          <w:tcPr>
            <w:tcW w:w="1360" w:type="dxa"/>
            <w:vAlign w:val="bottom"/>
          </w:tcPr>
          <w:p>
            <w:pPr>
              <w:jc w:val="right"/>
              <w:ind w:right="39"/>
              <w:spacing w:after="0"/>
              <w:rPr>
                <w:sz w:val="20"/>
                <w:szCs w:val="20"/>
                <w:color w:val="auto"/>
              </w:rPr>
            </w:pPr>
            <w:r>
              <w:rPr>
                <w:rFonts w:ascii="Calibri" w:cs="Calibri" w:eastAsia="Calibri" w:hAnsi="Calibri"/>
                <w:sz w:val="16"/>
                <w:szCs w:val="16"/>
                <w:color w:val="auto"/>
              </w:rPr>
              <w:t>5,530</w:t>
            </w:r>
          </w:p>
        </w:tc>
        <w:tc>
          <w:tcPr>
            <w:tcW w:w="1340" w:type="dxa"/>
            <w:vAlign w:val="bottom"/>
          </w:tcPr>
          <w:p>
            <w:pPr>
              <w:jc w:val="right"/>
              <w:spacing w:after="0"/>
              <w:rPr>
                <w:sz w:val="20"/>
                <w:szCs w:val="20"/>
                <w:color w:val="auto"/>
              </w:rPr>
            </w:pPr>
            <w:r>
              <w:rPr>
                <w:rFonts w:ascii="Calibri" w:cs="Calibri" w:eastAsia="Calibri" w:hAnsi="Calibri"/>
                <w:sz w:val="16"/>
                <w:szCs w:val="16"/>
                <w:color w:val="auto"/>
              </w:rPr>
              <w:t>0.10</w:t>
            </w:r>
          </w:p>
        </w:tc>
      </w:tr>
      <w:tr>
        <w:trPr>
          <w:trHeight w:val="206"/>
        </w:trPr>
        <w:tc>
          <w:tcPr>
            <w:tcW w:w="3680" w:type="dxa"/>
            <w:vAlign w:val="bottom"/>
          </w:tcPr>
          <w:p>
            <w:pPr>
              <w:ind w:left="20"/>
              <w:spacing w:after="0"/>
              <w:rPr>
                <w:sz w:val="20"/>
                <w:szCs w:val="20"/>
                <w:color w:val="auto"/>
              </w:rPr>
            </w:pPr>
            <w:r>
              <w:rPr>
                <w:rFonts w:ascii="Calibri" w:cs="Calibri" w:eastAsia="Calibri" w:hAnsi="Calibri"/>
                <w:sz w:val="16"/>
                <w:szCs w:val="16"/>
                <w:color w:val="auto"/>
              </w:rPr>
              <w:t>June 15, 2025</w:t>
            </w:r>
          </w:p>
        </w:tc>
        <w:tc>
          <w:tcPr>
            <w:tcW w:w="1700" w:type="dxa"/>
            <w:vAlign w:val="bottom"/>
          </w:tcPr>
          <w:p>
            <w:pPr>
              <w:jc w:val="right"/>
              <w:ind w:right="239"/>
              <w:spacing w:after="0"/>
              <w:rPr>
                <w:sz w:val="20"/>
                <w:szCs w:val="20"/>
                <w:color w:val="auto"/>
              </w:rPr>
            </w:pPr>
            <w:r>
              <w:rPr>
                <w:rFonts w:ascii="Calibri" w:cs="Calibri" w:eastAsia="Calibri" w:hAnsi="Calibri"/>
                <w:sz w:val="16"/>
                <w:szCs w:val="16"/>
                <w:color w:val="auto"/>
              </w:rPr>
              <w:t>12,800,000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12,800,000</w:t>
            </w:r>
          </w:p>
        </w:tc>
        <w:tc>
          <w:tcPr>
            <w:tcW w:w="1580" w:type="dxa"/>
            <w:vAlign w:val="bottom"/>
          </w:tcPr>
          <w:p>
            <w:pPr>
              <w:jc w:val="right"/>
              <w:ind w:right="79"/>
              <w:spacing w:after="0"/>
              <w:rPr>
                <w:sz w:val="20"/>
                <w:szCs w:val="20"/>
                <w:color w:val="auto"/>
              </w:rPr>
            </w:pPr>
            <w:r>
              <w:rPr>
                <w:rFonts w:ascii="Calibri" w:cs="Calibri" w:eastAsia="Calibri" w:hAnsi="Calibri"/>
                <w:sz w:val="16"/>
                <w:szCs w:val="16"/>
                <w:color w:val="auto"/>
              </w:rPr>
              <w:t>0.25</w:t>
            </w:r>
          </w:p>
        </w:tc>
        <w:tc>
          <w:tcPr>
            <w:tcW w:w="1360" w:type="dxa"/>
            <w:vAlign w:val="bottom"/>
          </w:tcPr>
          <w:p>
            <w:pPr>
              <w:jc w:val="right"/>
              <w:ind w:right="39"/>
              <w:spacing w:after="0"/>
              <w:rPr>
                <w:sz w:val="20"/>
                <w:szCs w:val="20"/>
                <w:color w:val="auto"/>
              </w:rPr>
            </w:pPr>
            <w:r>
              <w:rPr>
                <w:rFonts w:ascii="Calibri" w:cs="Calibri" w:eastAsia="Calibri" w:hAnsi="Calibri"/>
                <w:sz w:val="16"/>
                <w:szCs w:val="16"/>
                <w:color w:val="auto"/>
              </w:rPr>
              <w:t>2,319</w:t>
            </w:r>
          </w:p>
        </w:tc>
        <w:tc>
          <w:tcPr>
            <w:tcW w:w="1340" w:type="dxa"/>
            <w:vAlign w:val="bottom"/>
          </w:tcPr>
          <w:p>
            <w:pPr>
              <w:jc w:val="right"/>
              <w:spacing w:after="0"/>
              <w:rPr>
                <w:sz w:val="20"/>
                <w:szCs w:val="20"/>
                <w:color w:val="auto"/>
              </w:rPr>
            </w:pPr>
            <w:r>
              <w:rPr>
                <w:rFonts w:ascii="Calibri" w:cs="Calibri" w:eastAsia="Calibri" w:hAnsi="Calibri"/>
                <w:sz w:val="16"/>
                <w:szCs w:val="16"/>
                <w:color w:val="auto"/>
              </w:rPr>
              <w:t>1.46</w:t>
            </w:r>
          </w:p>
        </w:tc>
      </w:tr>
      <w:tr>
        <w:trPr>
          <w:trHeight w:val="206"/>
        </w:trPr>
        <w:tc>
          <w:tcPr>
            <w:tcW w:w="3680" w:type="dxa"/>
            <w:vAlign w:val="bottom"/>
          </w:tcPr>
          <w:p>
            <w:pPr>
              <w:ind w:left="20"/>
              <w:spacing w:after="0"/>
              <w:rPr>
                <w:sz w:val="20"/>
                <w:szCs w:val="20"/>
                <w:color w:val="auto"/>
              </w:rPr>
            </w:pPr>
            <w:r>
              <w:rPr>
                <w:rFonts w:ascii="Calibri" w:cs="Calibri" w:eastAsia="Calibri" w:hAnsi="Calibri"/>
                <w:sz w:val="16"/>
                <w:szCs w:val="16"/>
                <w:color w:val="auto"/>
              </w:rPr>
              <w:t>August 20, 2025</w:t>
            </w:r>
          </w:p>
        </w:tc>
        <w:tc>
          <w:tcPr>
            <w:tcW w:w="1700" w:type="dxa"/>
            <w:vAlign w:val="bottom"/>
          </w:tcPr>
          <w:p>
            <w:pPr>
              <w:jc w:val="right"/>
              <w:ind w:right="239"/>
              <w:spacing w:after="0"/>
              <w:rPr>
                <w:sz w:val="20"/>
                <w:szCs w:val="20"/>
                <w:color w:val="auto"/>
              </w:rPr>
            </w:pPr>
            <w:r>
              <w:rPr>
                <w:rFonts w:ascii="Calibri" w:cs="Calibri" w:eastAsia="Calibri" w:hAnsi="Calibri"/>
                <w:sz w:val="16"/>
                <w:szCs w:val="16"/>
                <w:color w:val="auto"/>
              </w:rPr>
              <w:t>1,475,125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1,475,125</w:t>
            </w:r>
          </w:p>
        </w:tc>
        <w:tc>
          <w:tcPr>
            <w:tcW w:w="1580" w:type="dxa"/>
            <w:vAlign w:val="bottom"/>
          </w:tcPr>
          <w:p>
            <w:pPr>
              <w:jc w:val="right"/>
              <w:ind w:right="79"/>
              <w:spacing w:after="0"/>
              <w:rPr>
                <w:sz w:val="20"/>
                <w:szCs w:val="20"/>
                <w:color w:val="auto"/>
              </w:rPr>
            </w:pPr>
            <w:r>
              <w:rPr>
                <w:rFonts w:ascii="Calibri" w:cs="Calibri" w:eastAsia="Calibri" w:hAnsi="Calibri"/>
                <w:sz w:val="16"/>
                <w:szCs w:val="16"/>
                <w:color w:val="auto"/>
              </w:rPr>
              <w:t>0.64</w:t>
            </w:r>
          </w:p>
        </w:tc>
        <w:tc>
          <w:tcPr>
            <w:tcW w:w="1360" w:type="dxa"/>
            <w:vAlign w:val="bottom"/>
          </w:tcPr>
          <w:p>
            <w:pPr>
              <w:jc w:val="right"/>
              <w:ind w:right="39"/>
              <w:spacing w:after="0"/>
              <w:rPr>
                <w:sz w:val="20"/>
                <w:szCs w:val="20"/>
                <w:color w:val="auto"/>
              </w:rPr>
            </w:pPr>
            <w:r>
              <w:rPr>
                <w:rFonts w:ascii="Calibri" w:cs="Calibri" w:eastAsia="Calibri" w:hAnsi="Calibri"/>
                <w:sz w:val="16"/>
                <w:szCs w:val="16"/>
                <w:color w:val="auto"/>
              </w:rPr>
              <w:t>680</w:t>
            </w:r>
          </w:p>
        </w:tc>
        <w:tc>
          <w:tcPr>
            <w:tcW w:w="1340" w:type="dxa"/>
            <w:vAlign w:val="bottom"/>
          </w:tcPr>
          <w:p>
            <w:pPr>
              <w:jc w:val="right"/>
              <w:spacing w:after="0"/>
              <w:rPr>
                <w:sz w:val="20"/>
                <w:szCs w:val="20"/>
                <w:color w:val="auto"/>
              </w:rPr>
            </w:pPr>
            <w:r>
              <w:rPr>
                <w:rFonts w:ascii="Calibri" w:cs="Calibri" w:eastAsia="Calibri" w:hAnsi="Calibri"/>
                <w:sz w:val="16"/>
                <w:szCs w:val="16"/>
                <w:color w:val="auto"/>
              </w:rPr>
              <w:t>1.64</w:t>
            </w:r>
          </w:p>
        </w:tc>
      </w:tr>
      <w:tr>
        <w:trPr>
          <w:trHeight w:val="206"/>
        </w:trPr>
        <w:tc>
          <w:tcPr>
            <w:tcW w:w="368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1700" w:type="dxa"/>
            <w:vAlign w:val="bottom"/>
          </w:tcPr>
          <w:p>
            <w:pPr>
              <w:jc w:val="right"/>
              <w:ind w:right="239"/>
              <w:spacing w:after="0"/>
              <w:rPr>
                <w:sz w:val="20"/>
                <w:szCs w:val="20"/>
                <w:color w:val="auto"/>
              </w:rPr>
            </w:pPr>
            <w:r>
              <w:rPr>
                <w:rFonts w:ascii="Calibri" w:cs="Calibri" w:eastAsia="Calibri" w:hAnsi="Calibri"/>
                <w:sz w:val="16"/>
                <w:szCs w:val="16"/>
                <w:color w:val="auto"/>
              </w:rPr>
              <w:t>1,150,000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1,150,000</w:t>
            </w:r>
          </w:p>
        </w:tc>
        <w:tc>
          <w:tcPr>
            <w:tcW w:w="1580" w:type="dxa"/>
            <w:vAlign w:val="bottom"/>
          </w:tcPr>
          <w:p>
            <w:pPr>
              <w:jc w:val="right"/>
              <w:ind w:right="79"/>
              <w:spacing w:after="0"/>
              <w:rPr>
                <w:sz w:val="20"/>
                <w:szCs w:val="20"/>
                <w:color w:val="auto"/>
              </w:rPr>
            </w:pPr>
            <w:r>
              <w:rPr>
                <w:rFonts w:ascii="Calibri" w:cs="Calibri" w:eastAsia="Calibri" w:hAnsi="Calibri"/>
                <w:sz w:val="16"/>
                <w:szCs w:val="16"/>
                <w:color w:val="auto"/>
              </w:rPr>
              <w:t>0.25</w:t>
            </w:r>
          </w:p>
        </w:tc>
        <w:tc>
          <w:tcPr>
            <w:tcW w:w="1360" w:type="dxa"/>
            <w:vAlign w:val="bottom"/>
          </w:tcPr>
          <w:p>
            <w:pPr>
              <w:jc w:val="right"/>
              <w:ind w:right="39"/>
              <w:spacing w:after="0"/>
              <w:rPr>
                <w:sz w:val="20"/>
                <w:szCs w:val="20"/>
                <w:color w:val="auto"/>
              </w:rPr>
            </w:pPr>
            <w:r>
              <w:rPr>
                <w:rFonts w:ascii="Calibri" w:cs="Calibri" w:eastAsia="Calibri" w:hAnsi="Calibri"/>
                <w:sz w:val="16"/>
                <w:szCs w:val="16"/>
                <w:color w:val="auto"/>
              </w:rPr>
              <w:t>220</w:t>
            </w:r>
          </w:p>
        </w:tc>
        <w:tc>
          <w:tcPr>
            <w:tcW w:w="1340" w:type="dxa"/>
            <w:vAlign w:val="bottom"/>
          </w:tcPr>
          <w:p>
            <w:pPr>
              <w:jc w:val="right"/>
              <w:spacing w:after="0"/>
              <w:rPr>
                <w:sz w:val="20"/>
                <w:szCs w:val="20"/>
                <w:color w:val="auto"/>
              </w:rPr>
            </w:pPr>
            <w:r>
              <w:rPr>
                <w:rFonts w:ascii="Calibri" w:cs="Calibri" w:eastAsia="Calibri" w:hAnsi="Calibri"/>
                <w:sz w:val="16"/>
                <w:szCs w:val="16"/>
                <w:color w:val="auto"/>
              </w:rPr>
              <w:t>1.88</w:t>
            </w:r>
          </w:p>
        </w:tc>
      </w:tr>
      <w:tr>
        <w:trPr>
          <w:trHeight w:val="298"/>
        </w:trPr>
        <w:tc>
          <w:tcPr>
            <w:tcW w:w="3680" w:type="dxa"/>
            <w:vAlign w:val="bottom"/>
          </w:tcPr>
          <w:p>
            <w:pPr>
              <w:ind w:left="20"/>
              <w:spacing w:after="0"/>
              <w:rPr>
                <w:sz w:val="20"/>
                <w:szCs w:val="20"/>
                <w:color w:val="auto"/>
              </w:rPr>
            </w:pPr>
            <w:r>
              <w:rPr>
                <w:rFonts w:ascii="Calibri" w:cs="Calibri" w:eastAsia="Calibri" w:hAnsi="Calibri"/>
                <w:sz w:val="16"/>
                <w:szCs w:val="16"/>
                <w:color w:val="auto"/>
              </w:rPr>
              <w:t>August 4, 2028</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1700" w:type="dxa"/>
            <w:vAlign w:val="bottom"/>
          </w:tcPr>
          <w:p>
            <w:pPr>
              <w:jc w:val="right"/>
              <w:ind w:right="239"/>
              <w:spacing w:after="0"/>
              <w:rPr>
                <w:sz w:val="20"/>
                <w:szCs w:val="20"/>
                <w:color w:val="auto"/>
              </w:rPr>
            </w:pPr>
            <w:r>
              <w:rPr>
                <w:rFonts w:ascii="Calibri" w:cs="Calibri" w:eastAsia="Calibri" w:hAnsi="Calibri"/>
                <w:sz w:val="16"/>
                <w:szCs w:val="16"/>
                <w:color w:val="auto"/>
              </w:rPr>
              <w:t>24,163,706</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24,163,706</w:t>
            </w:r>
          </w:p>
        </w:tc>
        <w:tc>
          <w:tcPr>
            <w:tcW w:w="1580" w:type="dxa"/>
            <w:vAlign w:val="bottom"/>
          </w:tcPr>
          <w:p>
            <w:pPr>
              <w:jc w:val="right"/>
              <w:ind w:right="79"/>
              <w:spacing w:after="0"/>
              <w:rPr>
                <w:sz w:val="20"/>
                <w:szCs w:val="20"/>
                <w:color w:val="auto"/>
              </w:rPr>
            </w:pPr>
            <w:r>
              <w:rPr>
                <w:rFonts w:ascii="Calibri" w:cs="Calibri" w:eastAsia="Calibri" w:hAnsi="Calibri"/>
                <w:sz w:val="16"/>
                <w:szCs w:val="16"/>
                <w:color w:val="auto"/>
              </w:rPr>
              <w:t>US$0.40</w:t>
            </w:r>
          </w:p>
        </w:tc>
        <w:tc>
          <w:tcPr>
            <w:tcW w:w="1360" w:type="dxa"/>
            <w:vAlign w:val="bottom"/>
          </w:tcPr>
          <w:p>
            <w:pPr>
              <w:jc w:val="right"/>
              <w:ind w:right="39"/>
              <w:spacing w:after="0"/>
              <w:rPr>
                <w:sz w:val="20"/>
                <w:szCs w:val="20"/>
                <w:color w:val="auto"/>
              </w:rPr>
            </w:pPr>
            <w:r>
              <w:rPr>
                <w:rFonts w:ascii="Calibri" w:cs="Calibri" w:eastAsia="Calibri" w:hAnsi="Calibri"/>
                <w:sz w:val="16"/>
                <w:szCs w:val="16"/>
                <w:color w:val="auto"/>
              </w:rPr>
              <w:t>4,578</w:t>
            </w:r>
          </w:p>
        </w:tc>
        <w:tc>
          <w:tcPr>
            <w:tcW w:w="1340" w:type="dxa"/>
            <w:vAlign w:val="bottom"/>
          </w:tcPr>
          <w:p>
            <w:pPr>
              <w:jc w:val="right"/>
              <w:spacing w:after="0"/>
              <w:rPr>
                <w:sz w:val="20"/>
                <w:szCs w:val="20"/>
                <w:color w:val="auto"/>
              </w:rPr>
            </w:pPr>
            <w:r>
              <w:rPr>
                <w:rFonts w:ascii="Calibri" w:cs="Calibri" w:eastAsia="Calibri" w:hAnsi="Calibri"/>
                <w:sz w:val="16"/>
                <w:szCs w:val="16"/>
                <w:color w:val="auto"/>
              </w:rPr>
              <w:t>4.59</w:t>
            </w:r>
          </w:p>
        </w:tc>
      </w:tr>
      <w:tr>
        <w:trPr>
          <w:trHeight w:val="280"/>
        </w:trPr>
        <w:tc>
          <w:tcPr>
            <w:tcW w:w="3680" w:type="dxa"/>
            <w:vAlign w:val="bottom"/>
          </w:tcPr>
          <w:p>
            <w:pPr>
              <w:ind w:left="20"/>
              <w:spacing w:after="0"/>
              <w:rPr>
                <w:sz w:val="20"/>
                <w:szCs w:val="20"/>
                <w:color w:val="auto"/>
              </w:rPr>
            </w:pPr>
            <w:r>
              <w:rPr>
                <w:rFonts w:ascii="Calibri" w:cs="Calibri" w:eastAsia="Calibri" w:hAnsi="Calibri"/>
                <w:sz w:val="16"/>
                <w:szCs w:val="16"/>
                <w:color w:val="auto"/>
              </w:rPr>
              <w:t>May 14, 2029</w:t>
            </w:r>
            <w:r>
              <w:rPr>
                <w:rFonts w:ascii="Calibri" w:cs="Calibri" w:eastAsia="Calibri" w:hAnsi="Calibri"/>
                <w:sz w:val="21"/>
                <w:szCs w:val="21"/>
                <w:color w:val="auto"/>
                <w:vertAlign w:val="superscript"/>
              </w:rPr>
              <w:t>(2)</w:t>
            </w:r>
          </w:p>
        </w:tc>
        <w:tc>
          <w:tcPr>
            <w:tcW w:w="1700" w:type="dxa"/>
            <w:vAlign w:val="bottom"/>
            <w:tcBorders>
              <w:bottom w:val="single" w:sz="8" w:color="auto"/>
            </w:tcBorders>
          </w:tcPr>
          <w:p>
            <w:pPr>
              <w:jc w:val="right"/>
              <w:ind w:right="239"/>
              <w:spacing w:after="0"/>
              <w:rPr>
                <w:sz w:val="20"/>
                <w:szCs w:val="20"/>
                <w:color w:val="auto"/>
              </w:rPr>
            </w:pPr>
            <w:r>
              <w:rPr>
                <w:rFonts w:ascii="Calibri" w:cs="Calibri" w:eastAsia="Calibri" w:hAnsi="Calibri"/>
                <w:sz w:val="16"/>
                <w:szCs w:val="16"/>
                <w:color w:val="auto"/>
              </w:rPr>
              <w:t>66,666,667</w:t>
            </w: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1580" w:type="dxa"/>
            <w:vAlign w:val="bottom"/>
            <w:tcBorders>
              <w:bottom w:val="single" w:sz="8" w:color="auto"/>
            </w:tcBorders>
          </w:tcPr>
          <w:p>
            <w:pPr>
              <w:jc w:val="right"/>
              <w:ind w:right="79"/>
              <w:spacing w:after="0"/>
              <w:rPr>
                <w:sz w:val="20"/>
                <w:szCs w:val="20"/>
                <w:color w:val="auto"/>
              </w:rPr>
            </w:pPr>
            <w:r>
              <w:rPr>
                <w:rFonts w:ascii="Calibri" w:cs="Calibri" w:eastAsia="Calibri" w:hAnsi="Calibri"/>
                <w:sz w:val="16"/>
                <w:szCs w:val="16"/>
                <w:color w:val="auto"/>
              </w:rPr>
              <w:t>US$0.51</w:t>
            </w:r>
          </w:p>
        </w:tc>
        <w:tc>
          <w:tcPr>
            <w:tcW w:w="1360" w:type="dxa"/>
            <w:vAlign w:val="bottom"/>
            <w:tcBorders>
              <w:bottom w:val="single" w:sz="8" w:color="auto"/>
            </w:tcBorders>
          </w:tcPr>
          <w:p>
            <w:pPr>
              <w:jc w:val="right"/>
              <w:ind w:right="39"/>
              <w:spacing w:after="0"/>
              <w:rPr>
                <w:sz w:val="20"/>
                <w:szCs w:val="20"/>
                <w:color w:val="auto"/>
              </w:rPr>
            </w:pPr>
            <w:r>
              <w:rPr>
                <w:rFonts w:ascii="Calibri" w:cs="Calibri" w:eastAsia="Calibri" w:hAnsi="Calibri"/>
                <w:sz w:val="16"/>
                <w:szCs w:val="16"/>
                <w:color w:val="auto"/>
              </w:rPr>
              <w:t>17,842</w:t>
            </w:r>
          </w:p>
        </w:tc>
        <w:tc>
          <w:tcPr>
            <w:tcW w:w="134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5.37</w:t>
            </w:r>
          </w:p>
        </w:tc>
      </w:tr>
      <w:tr>
        <w:trPr>
          <w:trHeight w:val="193"/>
        </w:trPr>
        <w:tc>
          <w:tcPr>
            <w:tcW w:w="3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b w:val="1"/>
                <w:bCs w:val="1"/>
                <w:color w:val="auto"/>
              </w:rPr>
              <w:t>113,401,998</w:t>
            </w:r>
          </w:p>
        </w:tc>
        <w:tc>
          <w:tcPr>
            <w:tcW w:w="11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46,735,331</w:t>
            </w:r>
          </w:p>
        </w:tc>
        <w:tc>
          <w:tcPr>
            <w:tcW w:w="1580" w:type="dxa"/>
            <w:vAlign w:val="bottom"/>
            <w:tcBorders>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color w:val="auto"/>
              </w:rPr>
              <w:t>0.87</w:t>
            </w:r>
          </w:p>
        </w:tc>
        <w:tc>
          <w:tcPr>
            <w:tcW w:w="1360" w:type="dxa"/>
            <w:vAlign w:val="bottom"/>
            <w:tcBorders>
              <w:bottom w:val="single" w:sz="8" w:color="auto"/>
            </w:tcBorders>
          </w:tcPr>
          <w:p>
            <w:pPr>
              <w:jc w:val="right"/>
              <w:ind w:right="39"/>
              <w:spacing w:after="0" w:line="193" w:lineRule="exact"/>
              <w:rPr>
                <w:sz w:val="20"/>
                <w:szCs w:val="20"/>
                <w:color w:val="auto"/>
              </w:rPr>
            </w:pPr>
            <w:r>
              <w:rPr>
                <w:rFonts w:ascii="Calibri" w:cs="Calibri" w:eastAsia="Calibri" w:hAnsi="Calibri"/>
                <w:sz w:val="16"/>
                <w:szCs w:val="16"/>
                <w:b w:val="1"/>
                <w:bCs w:val="1"/>
                <w:color w:val="auto"/>
              </w:rPr>
              <w:t>31,169</w:t>
            </w:r>
          </w:p>
        </w:tc>
        <w:tc>
          <w:tcPr>
            <w:tcW w:w="13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4.34</w:t>
            </w:r>
          </w:p>
        </w:tc>
      </w:tr>
      <w:tr>
        <w:trPr>
          <w:trHeight w:val="343"/>
        </w:trPr>
        <w:tc>
          <w:tcPr>
            <w:tcW w:w="3680" w:type="dxa"/>
            <w:vAlign w:val="bottom"/>
          </w:tcPr>
          <w:p>
            <w:pPr>
              <w:ind w:left="20"/>
              <w:spacing w:after="0"/>
              <w:rPr>
                <w:sz w:val="20"/>
                <w:szCs w:val="20"/>
                <w:color w:val="auto"/>
              </w:rPr>
            </w:pPr>
            <w:r>
              <w:rPr>
                <w:rFonts w:ascii="Calibri" w:cs="Calibri" w:eastAsia="Calibri" w:hAnsi="Calibri"/>
                <w:sz w:val="16"/>
                <w:szCs w:val="16"/>
                <w:b w:val="1"/>
                <w:bCs w:val="1"/>
                <w:i w:val="1"/>
                <w:iCs w:val="1"/>
                <w:color w:val="auto"/>
              </w:rPr>
              <w:t xml:space="preserve">Unit Purchase Warrants </w:t>
            </w:r>
            <w:r>
              <w:rPr>
                <w:rFonts w:ascii="Calibri" w:cs="Calibri" w:eastAsia="Calibri" w:hAnsi="Calibri"/>
                <w:sz w:val="21"/>
                <w:szCs w:val="21"/>
                <w:b w:val="1"/>
                <w:bCs w:val="1"/>
                <w:i w:val="1"/>
                <w:iCs w:val="1"/>
                <w:color w:val="auto"/>
                <w:vertAlign w:val="superscript"/>
              </w:rPr>
              <w:t>(3)</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3"/>
        </w:trPr>
        <w:tc>
          <w:tcPr>
            <w:tcW w:w="3680" w:type="dxa"/>
            <w:vAlign w:val="bottom"/>
          </w:tcPr>
          <w:p>
            <w:pPr>
              <w:ind w:left="20"/>
              <w:spacing w:after="0" w:line="193" w:lineRule="exact"/>
              <w:rPr>
                <w:sz w:val="20"/>
                <w:szCs w:val="20"/>
                <w:color w:val="auto"/>
              </w:rPr>
            </w:pPr>
            <w:r>
              <w:rPr>
                <w:rFonts w:ascii="Calibri" w:cs="Calibri" w:eastAsia="Calibri" w:hAnsi="Calibri"/>
                <w:sz w:val="16"/>
                <w:szCs w:val="16"/>
                <w:color w:val="auto"/>
              </w:rPr>
              <w:t>February 4, 2024</w:t>
            </w:r>
          </w:p>
        </w:tc>
        <w:tc>
          <w:tcPr>
            <w:tcW w:w="1700" w:type="dxa"/>
            <w:vAlign w:val="bottom"/>
          </w:tcPr>
          <w:p>
            <w:pPr>
              <w:jc w:val="right"/>
              <w:ind w:right="239"/>
              <w:spacing w:after="0" w:line="193" w:lineRule="exact"/>
              <w:rPr>
                <w:sz w:val="20"/>
                <w:szCs w:val="20"/>
                <w:color w:val="auto"/>
              </w:rPr>
            </w:pPr>
            <w:r>
              <w:rPr>
                <w:rFonts w:ascii="Calibri" w:cs="Calibri" w:eastAsia="Calibri" w:hAnsi="Calibri"/>
                <w:sz w:val="16"/>
                <w:szCs w:val="16"/>
                <w:color w:val="auto"/>
              </w:rPr>
              <w:t>868,740</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868,740</w:t>
            </w:r>
          </w:p>
        </w:tc>
        <w:tc>
          <w:tcPr>
            <w:tcW w:w="158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2.25</w:t>
            </w:r>
          </w:p>
        </w:tc>
        <w:tc>
          <w:tcPr>
            <w:tcW w:w="13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970</w:t>
            </w: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0.10</w:t>
            </w: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3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39"/>
              <w:spacing w:after="0" w:line="192" w:lineRule="exact"/>
              <w:rPr>
                <w:sz w:val="20"/>
                <w:szCs w:val="20"/>
                <w:color w:val="auto"/>
              </w:rPr>
            </w:pPr>
            <w:r>
              <w:rPr>
                <w:rFonts w:ascii="Calibri" w:cs="Calibri" w:eastAsia="Calibri" w:hAnsi="Calibri"/>
                <w:sz w:val="16"/>
                <w:szCs w:val="16"/>
                <w:b w:val="1"/>
                <w:bCs w:val="1"/>
                <w:color w:val="auto"/>
              </w:rPr>
              <w:t>868,740</w:t>
            </w:r>
          </w:p>
        </w:tc>
        <w:tc>
          <w:tcPr>
            <w:tcW w:w="11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868,740</w:t>
            </w:r>
          </w:p>
        </w:tc>
        <w:tc>
          <w:tcPr>
            <w:tcW w:w="158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b w:val="1"/>
                <w:bCs w:val="1"/>
                <w:color w:val="auto"/>
              </w:rPr>
              <w:t>2.25</w:t>
            </w:r>
          </w:p>
        </w:tc>
        <w:tc>
          <w:tcPr>
            <w:tcW w:w="136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970</w:t>
            </w:r>
          </w:p>
        </w:tc>
        <w:tc>
          <w:tcPr>
            <w:tcW w:w="13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138430</wp:posOffset>
            </wp:positionV>
            <wp:extent cx="68306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0695" cy="7620"/>
                    </a:xfrm>
                    <a:prstGeom prst="rect">
                      <a:avLst/>
                    </a:prstGeom>
                    <a:noFill/>
                  </pic:spPr>
                </pic:pic>
              </a:graphicData>
            </a:graphic>
          </wp:anchor>
        </w:drawing>
      </w:r>
    </w:p>
    <w:p>
      <w:pPr>
        <w:spacing w:after="0" w:line="233" w:lineRule="exact"/>
        <w:rPr>
          <w:sz w:val="20"/>
          <w:szCs w:val="20"/>
          <w:color w:val="auto"/>
        </w:rPr>
      </w:pPr>
    </w:p>
    <w:p>
      <w:pPr>
        <w:ind w:left="360" w:hanging="102"/>
        <w:spacing w:after="0"/>
        <w:tabs>
          <w:tab w:leader="none" w:pos="360" w:val="left"/>
        </w:tabs>
        <w:numPr>
          <w:ilvl w:val="1"/>
          <w:numId w:val="5"/>
        </w:numPr>
        <w:rPr>
          <w:rFonts w:ascii="Calibri" w:cs="Calibri" w:eastAsia="Calibri" w:hAnsi="Calibri"/>
          <w:sz w:val="18"/>
          <w:szCs w:val="18"/>
          <w:i w:val="1"/>
          <w:iCs w:val="1"/>
          <w:color w:val="auto"/>
          <w:vertAlign w:val="superscript"/>
        </w:rPr>
      </w:pPr>
      <w:r>
        <w:rPr>
          <w:rFonts w:ascii="Calibri" w:cs="Calibri" w:eastAsia="Calibri" w:hAnsi="Calibri"/>
          <w:sz w:val="14"/>
          <w:szCs w:val="14"/>
          <w:i w:val="1"/>
          <w:iCs w:val="1"/>
          <w:color w:val="auto"/>
        </w:rPr>
        <w:t>On August 4, 2023, the August 2023 Warrants were issued at UD$0.40 which was equivalent to $0.53.</w:t>
      </w:r>
    </w:p>
    <w:p>
      <w:pPr>
        <w:spacing w:after="0" w:line="43" w:lineRule="exact"/>
        <w:rPr>
          <w:rFonts w:ascii="Calibri" w:cs="Calibri" w:eastAsia="Calibri" w:hAnsi="Calibri"/>
          <w:sz w:val="18"/>
          <w:szCs w:val="18"/>
          <w:i w:val="1"/>
          <w:iCs w:val="1"/>
          <w:color w:val="auto"/>
          <w:vertAlign w:val="superscript"/>
        </w:rPr>
      </w:pPr>
    </w:p>
    <w:p>
      <w:pPr>
        <w:ind w:left="360" w:hanging="132"/>
        <w:spacing w:after="0" w:line="187" w:lineRule="auto"/>
        <w:tabs>
          <w:tab w:leader="none" w:pos="360" w:val="left"/>
        </w:tabs>
        <w:numPr>
          <w:ilvl w:val="0"/>
          <w:numId w:val="6"/>
        </w:numPr>
        <w:rPr>
          <w:rFonts w:ascii="Calibri" w:cs="Calibri" w:eastAsia="Calibri" w:hAnsi="Calibri"/>
          <w:sz w:val="17"/>
          <w:szCs w:val="17"/>
          <w:i w:val="1"/>
          <w:iCs w:val="1"/>
          <w:color w:val="auto"/>
          <w:vertAlign w:val="superscript"/>
        </w:rPr>
      </w:pPr>
      <w:r>
        <w:rPr>
          <w:rFonts w:ascii="Calibri" w:cs="Calibri" w:eastAsia="Calibri" w:hAnsi="Calibri"/>
          <w:sz w:val="13"/>
          <w:szCs w:val="13"/>
          <w:i w:val="1"/>
          <w:iCs w:val="1"/>
          <w:color w:val="auto"/>
        </w:rPr>
        <w:t>On November 14, 2023, the November 2023 Warrants were issued at US$0.51 which was equivalent to $0.70.</w:t>
      </w:r>
    </w:p>
    <w:p>
      <w:pPr>
        <w:spacing w:after="0" w:line="44" w:lineRule="exact"/>
        <w:rPr>
          <w:rFonts w:ascii="Calibri" w:cs="Calibri" w:eastAsia="Calibri" w:hAnsi="Calibri"/>
          <w:sz w:val="17"/>
          <w:szCs w:val="17"/>
          <w:i w:val="1"/>
          <w:iCs w:val="1"/>
          <w:color w:val="auto"/>
          <w:vertAlign w:val="superscript"/>
        </w:rPr>
      </w:pPr>
    </w:p>
    <w:p>
      <w:pPr>
        <w:ind w:left="220" w:right="20" w:firstLine="8"/>
        <w:spacing w:after="0" w:line="218" w:lineRule="auto"/>
        <w:tabs>
          <w:tab w:leader="none" w:pos="363" w:val="left"/>
        </w:tabs>
        <w:numPr>
          <w:ilvl w:val="0"/>
          <w:numId w:val="6"/>
        </w:numPr>
        <w:rPr>
          <w:rFonts w:ascii="Calibri" w:cs="Calibri" w:eastAsia="Calibri" w:hAnsi="Calibri"/>
          <w:sz w:val="18"/>
          <w:szCs w:val="18"/>
          <w:i w:val="1"/>
          <w:iCs w:val="1"/>
          <w:color w:val="auto"/>
          <w:vertAlign w:val="superscript"/>
        </w:rPr>
      </w:pPr>
      <w:r>
        <w:rPr>
          <w:rFonts w:ascii="Calibri" w:cs="Calibri" w:eastAsia="Calibri" w:hAnsi="Calibri"/>
          <w:sz w:val="14"/>
          <w:szCs w:val="14"/>
          <w:i w:val="1"/>
          <w:iCs w:val="1"/>
          <w:color w:val="auto"/>
        </w:rPr>
        <w:t>Each unit consists of one Common Share and one half of one Common Share purchase warrant, with each Common Share purchase warrant being exercisable to acquire one Common Share at an exercise price of $3.25 per Common Share.</w:t>
      </w:r>
    </w:p>
    <w:p>
      <w:pPr>
        <w:spacing w:after="0" w:line="186" w:lineRule="exact"/>
        <w:rPr>
          <w:sz w:val="20"/>
          <w:szCs w:val="20"/>
          <w:color w:val="auto"/>
        </w:rPr>
      </w:pPr>
    </w:p>
    <w:p>
      <w:pPr>
        <w:ind w:left="220"/>
        <w:spacing w:after="0"/>
        <w:tabs>
          <w:tab w:leader="none" w:pos="480" w:val="left"/>
        </w:tabs>
        <w:rPr>
          <w:sz w:val="20"/>
          <w:szCs w:val="20"/>
          <w:color w:val="auto"/>
        </w:rPr>
      </w:pPr>
      <w:r>
        <w:rPr>
          <w:rFonts w:ascii="Calibri" w:cs="Calibri" w:eastAsia="Calibri" w:hAnsi="Calibri"/>
          <w:sz w:val="16"/>
          <w:szCs w:val="16"/>
          <w:b w:val="1"/>
          <w:bCs w:val="1"/>
          <w:u w:val="single" w:color="auto"/>
          <w:color w:val="auto"/>
        </w:rPr>
        <w:t>d)</w:t>
        <w:tab/>
        <w:t>Stock optons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-101600</wp:posOffset>
            </wp:positionV>
            <wp:extent cx="654685" cy="100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4685" cy="100330"/>
                    </a:xfrm>
                    <a:prstGeom prst="rect">
                      <a:avLst/>
                    </a:prstGeom>
                    <a:noFill/>
                  </pic:spPr>
                </pic:pic>
              </a:graphicData>
            </a:graphic>
          </wp:anchor>
        </w:drawing>
      </w:r>
    </w:p>
    <w:p>
      <w:pPr>
        <w:spacing w:after="0" w:line="175" w:lineRule="exact"/>
        <w:rPr>
          <w:sz w:val="20"/>
          <w:szCs w:val="20"/>
          <w:color w:val="auto"/>
        </w:rPr>
      </w:pPr>
    </w:p>
    <w:p>
      <w:pPr>
        <w:jc w:val="both"/>
        <w:ind w:left="220"/>
        <w:spacing w:after="0" w:line="277" w:lineRule="auto"/>
        <w:rPr>
          <w:sz w:val="20"/>
          <w:szCs w:val="20"/>
          <w:color w:val="auto"/>
        </w:rPr>
      </w:pPr>
      <w:r>
        <w:rPr>
          <w:rFonts w:ascii="Calibri" w:cs="Calibri" w:eastAsia="Calibri" w:hAnsi="Calibri"/>
          <w:sz w:val="16"/>
          <w:szCs w:val="16"/>
          <w:color w:val="auto"/>
        </w:rPr>
        <w:t>On November 5, 2020, Cybin adopted an equity incentve plan. Under the plan, the board of directors may grant share-based awards to acquire such number of Common Shares as is equal to up to 20% of the total number of issued and outstanding Common Shares at the tme such awards are granted. Optons granted under the plan vest over a period of tme at the discreton of the board of directors. On August 16, 2021, the board of directors and the shareholders approved an amendment to the equity incentve plan to modify certain provisions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18 of 32</w:t>
      </w:r>
    </w:p>
    <w:p>
      <w:pPr>
        <w:sectPr>
          <w:pgSz w:w="11900" w:h="16838" w:orient="portrait"/>
          <w:cols w:equalWidth="0" w:num="1">
            <w:col w:w="11200"/>
          </w:cols>
          <w:pgMar w:left="380" w:top="198" w:right="319" w:bottom="1440" w:gutter="0" w:footer="0" w:header="0"/>
        </w:sectPr>
      </w:pPr>
    </w:p>
    <w:bookmarkStart w:id="21" w:name="page22"/>
    <w:bookmarkEnd w:id="21"/>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01548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220" w:right="20"/>
        <w:spacing w:after="0" w:line="280" w:lineRule="auto"/>
        <w:rPr>
          <w:sz w:val="20"/>
          <w:szCs w:val="20"/>
          <w:color w:val="auto"/>
        </w:rPr>
      </w:pPr>
      <w:r>
        <w:rPr>
          <w:rFonts w:ascii="Calibri" w:cs="Calibri" w:eastAsia="Calibri" w:hAnsi="Calibri"/>
          <w:sz w:val="16"/>
          <w:szCs w:val="16"/>
          <w:color w:val="auto"/>
        </w:rPr>
        <w:t>awards granted to residents of the United States, to increase the fxed number of Incentve Stock Optons (as defned in the plan) and certain other housekeeping amendments.</w:t>
      </w:r>
    </w:p>
    <w:p>
      <w:pPr>
        <w:spacing w:after="0" w:line="161"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changes in optons for the nine-month period ended December 31,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136525</wp:posOffset>
            </wp:positionV>
            <wp:extent cx="65608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60820" cy="7620"/>
                    </a:xfrm>
                    <a:prstGeom prst="rect">
                      <a:avLst/>
                    </a:prstGeom>
                    <a:noFill/>
                  </pic:spPr>
                </pic:pic>
              </a:graphicData>
            </a:graphic>
          </wp:anchor>
        </w:drawing>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alibri" w:cs="Calibri" w:eastAsia="Calibri" w:hAnsi="Calibri"/>
                <w:sz w:val="16"/>
                <w:szCs w:val="16"/>
                <w:b w:val="1"/>
                <w:bCs w:val="1"/>
                <w:color w:val="auto"/>
                <w:w w:val="97"/>
              </w:rPr>
              <w:t>Weighted average exercise</w:t>
            </w:r>
          </w:p>
        </w:tc>
      </w:tr>
      <w:tr>
        <w:trPr>
          <w:trHeight w:val="193"/>
        </w:trPr>
        <w:tc>
          <w:tcPr>
            <w:tcW w:w="4820" w:type="dxa"/>
            <w:vAlign w:val="bottom"/>
          </w:tcPr>
          <w:p>
            <w:pPr>
              <w:spacing w:after="0"/>
              <w:rPr>
                <w:sz w:val="16"/>
                <w:szCs w:val="16"/>
                <w:color w:val="auto"/>
              </w:rPr>
            </w:pPr>
          </w:p>
        </w:tc>
        <w:tc>
          <w:tcPr>
            <w:tcW w:w="370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Number of Optons</w:t>
            </w:r>
          </w:p>
        </w:tc>
        <w:tc>
          <w:tcPr>
            <w:tcW w:w="182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price</w:t>
            </w:r>
          </w:p>
        </w:tc>
      </w:tr>
      <w:tr>
        <w:trPr>
          <w:trHeight w:val="45"/>
        </w:trPr>
        <w:tc>
          <w:tcPr>
            <w:tcW w:w="482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14"/>
        </w:trPr>
        <w:tc>
          <w:tcPr>
            <w:tcW w:w="4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45"/>
        </w:trPr>
        <w:tc>
          <w:tcPr>
            <w:tcW w:w="482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185"/>
        </w:trPr>
        <w:tc>
          <w:tcPr>
            <w:tcW w:w="4820" w:type="dxa"/>
            <w:vAlign w:val="bottom"/>
          </w:tcPr>
          <w:p>
            <w:pPr>
              <w:ind w:left="20"/>
              <w:spacing w:after="0" w:line="185" w:lineRule="exact"/>
              <w:rPr>
                <w:sz w:val="20"/>
                <w:szCs w:val="20"/>
                <w:color w:val="auto"/>
              </w:rPr>
            </w:pPr>
            <w:r>
              <w:rPr>
                <w:rFonts w:ascii="Calibri" w:cs="Calibri" w:eastAsia="Calibri" w:hAnsi="Calibri"/>
                <w:sz w:val="16"/>
                <w:szCs w:val="16"/>
                <w:color w:val="auto"/>
              </w:rPr>
              <w:t>As at March 31, 2023</w:t>
            </w:r>
          </w:p>
        </w:tc>
        <w:tc>
          <w:tcPr>
            <w:tcW w:w="3700" w:type="dxa"/>
            <w:vAlign w:val="bottom"/>
          </w:tcPr>
          <w:p>
            <w:pPr>
              <w:jc w:val="right"/>
              <w:spacing w:after="0" w:line="185" w:lineRule="exact"/>
              <w:rPr>
                <w:sz w:val="20"/>
                <w:szCs w:val="20"/>
                <w:color w:val="auto"/>
              </w:rPr>
            </w:pPr>
            <w:r>
              <w:rPr>
                <w:rFonts w:ascii="Calibri" w:cs="Calibri" w:eastAsia="Calibri" w:hAnsi="Calibri"/>
                <w:sz w:val="16"/>
                <w:szCs w:val="16"/>
                <w:color w:val="auto"/>
              </w:rPr>
              <w:t>29,569,800</w:t>
            </w:r>
          </w:p>
        </w:tc>
        <w:tc>
          <w:tcPr>
            <w:tcW w:w="1820" w:type="dxa"/>
            <w:vAlign w:val="bottom"/>
          </w:tcPr>
          <w:p>
            <w:pPr>
              <w:jc w:val="right"/>
              <w:spacing w:after="0" w:line="185" w:lineRule="exact"/>
              <w:rPr>
                <w:sz w:val="20"/>
                <w:szCs w:val="20"/>
                <w:color w:val="auto"/>
              </w:rPr>
            </w:pPr>
            <w:r>
              <w:rPr>
                <w:rFonts w:ascii="Calibri" w:cs="Calibri" w:eastAsia="Calibri" w:hAnsi="Calibri"/>
                <w:sz w:val="16"/>
                <w:szCs w:val="16"/>
                <w:color w:val="auto"/>
              </w:rPr>
              <w:t>1.36</w:t>
            </w:r>
          </w:p>
        </w:tc>
      </w:tr>
      <w:tr>
        <w:trPr>
          <w:trHeight w:val="198"/>
        </w:trPr>
        <w:tc>
          <w:tcPr>
            <w:tcW w:w="4820" w:type="dxa"/>
            <w:vAlign w:val="bottom"/>
          </w:tcPr>
          <w:p>
            <w:pPr>
              <w:ind w:left="20"/>
              <w:spacing w:after="0"/>
              <w:rPr>
                <w:sz w:val="20"/>
                <w:szCs w:val="20"/>
                <w:color w:val="auto"/>
              </w:rPr>
            </w:pPr>
            <w:r>
              <w:rPr>
                <w:rFonts w:ascii="Calibri" w:cs="Calibri" w:eastAsia="Calibri" w:hAnsi="Calibri"/>
                <w:sz w:val="16"/>
                <w:szCs w:val="16"/>
                <w:color w:val="auto"/>
              </w:rPr>
              <w:t>Granted</w:t>
            </w:r>
          </w:p>
        </w:tc>
        <w:tc>
          <w:tcPr>
            <w:tcW w:w="3700" w:type="dxa"/>
            <w:vAlign w:val="bottom"/>
          </w:tcPr>
          <w:p>
            <w:pPr>
              <w:jc w:val="right"/>
              <w:spacing w:after="0"/>
              <w:rPr>
                <w:sz w:val="20"/>
                <w:szCs w:val="20"/>
                <w:color w:val="auto"/>
              </w:rPr>
            </w:pPr>
            <w:r>
              <w:rPr>
                <w:rFonts w:ascii="Calibri" w:cs="Calibri" w:eastAsia="Calibri" w:hAnsi="Calibri"/>
                <w:sz w:val="16"/>
                <w:szCs w:val="16"/>
                <w:color w:val="auto"/>
              </w:rPr>
              <w:t>38,425,000</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0.67</w:t>
            </w:r>
          </w:p>
        </w:tc>
      </w:tr>
      <w:tr>
        <w:trPr>
          <w:trHeight w:val="206"/>
        </w:trPr>
        <w:tc>
          <w:tcPr>
            <w:tcW w:w="4820" w:type="dxa"/>
            <w:vAlign w:val="bottom"/>
          </w:tcPr>
          <w:p>
            <w:pPr>
              <w:ind w:left="20"/>
              <w:spacing w:after="0"/>
              <w:rPr>
                <w:sz w:val="20"/>
                <w:szCs w:val="20"/>
                <w:color w:val="auto"/>
              </w:rPr>
            </w:pPr>
            <w:r>
              <w:rPr>
                <w:rFonts w:ascii="Calibri" w:cs="Calibri" w:eastAsia="Calibri" w:hAnsi="Calibri"/>
                <w:sz w:val="16"/>
                <w:szCs w:val="16"/>
                <w:color w:val="auto"/>
              </w:rPr>
              <w:t>Forfeited/Expired</w:t>
            </w:r>
          </w:p>
        </w:tc>
        <w:tc>
          <w:tcPr>
            <w:tcW w:w="3700" w:type="dxa"/>
            <w:vAlign w:val="bottom"/>
          </w:tcPr>
          <w:p>
            <w:pPr>
              <w:jc w:val="right"/>
              <w:spacing w:after="0"/>
              <w:rPr>
                <w:sz w:val="20"/>
                <w:szCs w:val="20"/>
                <w:color w:val="auto"/>
              </w:rPr>
            </w:pPr>
            <w:r>
              <w:rPr>
                <w:rFonts w:ascii="Calibri" w:cs="Calibri" w:eastAsia="Calibri" w:hAnsi="Calibri"/>
                <w:sz w:val="16"/>
                <w:szCs w:val="16"/>
                <w:color w:val="auto"/>
              </w:rPr>
              <w:t>(900,000)</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1.37</w:t>
            </w:r>
          </w:p>
        </w:tc>
      </w:tr>
      <w:tr>
        <w:trPr>
          <w:trHeight w:val="21"/>
        </w:trPr>
        <w:tc>
          <w:tcPr>
            <w:tcW w:w="48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2"/>
        </w:trPr>
        <w:tc>
          <w:tcPr>
            <w:tcW w:w="48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Outstanding as at December 31, 2023</w:t>
            </w:r>
          </w:p>
        </w:tc>
        <w:tc>
          <w:tcPr>
            <w:tcW w:w="37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67,094,800</w:t>
            </w:r>
          </w:p>
        </w:tc>
        <w:tc>
          <w:tcPr>
            <w:tcW w:w="1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0.94</w:t>
            </w:r>
          </w:p>
        </w:tc>
      </w:tr>
      <w:tr>
        <w:trPr>
          <w:trHeight w:val="198"/>
        </w:trPr>
        <w:tc>
          <w:tcPr>
            <w:tcW w:w="48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Exercisable as at December 31, 2023</w:t>
            </w:r>
          </w:p>
        </w:tc>
        <w:tc>
          <w:tcPr>
            <w:tcW w:w="37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54,787,300</w:t>
            </w:r>
          </w:p>
        </w:tc>
        <w:tc>
          <w:tcPr>
            <w:tcW w:w="18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1.01</w:t>
            </w:r>
          </w:p>
        </w:tc>
      </w:tr>
    </w:tbl>
    <w:p>
      <w:pPr>
        <w:spacing w:after="0" w:line="233"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During the nine- month period ended December 31, 2023, the Company completed the following opton issuances:</w:t>
      </w:r>
    </w:p>
    <w:p>
      <w:pPr>
        <w:spacing w:after="0" w:line="255" w:lineRule="exact"/>
        <w:rPr>
          <w:sz w:val="20"/>
          <w:szCs w:val="20"/>
          <w:color w:val="auto"/>
        </w:rPr>
      </w:pPr>
    </w:p>
    <w:p>
      <w:pPr>
        <w:jc w:val="both"/>
        <w:ind w:left="220"/>
        <w:spacing w:after="0" w:line="275" w:lineRule="auto"/>
        <w:rPr>
          <w:sz w:val="20"/>
          <w:szCs w:val="20"/>
          <w:color w:val="auto"/>
        </w:rPr>
      </w:pPr>
      <w:r>
        <w:rPr>
          <w:rFonts w:ascii="Calibri" w:cs="Calibri" w:eastAsia="Calibri" w:hAnsi="Calibri"/>
          <w:sz w:val="16"/>
          <w:szCs w:val="16"/>
          <w:color w:val="auto"/>
        </w:rPr>
        <w:t>On June 29, 2023, the Company granted optons to purchase up to 11,615,000 Common Shares, of which 3,991,000 were granted to employees, 3,763,000 were granted to ofcers of the Company, 3,076,000 were granted to consultants, and 785,000 were granted to directors of the Company. The granted optons have an exercise price of $0.44 per Common Share and expire on June 30, 2028. The granted optons have diferent vestng schedules; 1,500,000 optons vested immediately, 700,000 optons vest over three months, 100,000 optons vest over one year, and 9,315,000 optons vest over two years. The aggregate estmated grant date fair value was determined to be $4,080, calculated using the Black-Scholes opton pricing model with the following assumptons: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58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gridSpan w:val="2"/>
          </w:tcPr>
          <w:p>
            <w:pPr>
              <w:jc w:val="right"/>
              <w:spacing w:after="0"/>
              <w:rPr>
                <w:sz w:val="20"/>
                <w:szCs w:val="20"/>
                <w:color w:val="auto"/>
              </w:rPr>
            </w:pPr>
            <w:r>
              <w:rPr>
                <w:rFonts w:ascii="Calibri" w:cs="Calibri" w:eastAsia="Calibri" w:hAnsi="Calibri"/>
                <w:sz w:val="16"/>
                <w:szCs w:val="16"/>
                <w:color w:val="auto"/>
              </w:rPr>
              <w:t>3.78</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58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gridSpan w:val="2"/>
          </w:tcPr>
          <w:p>
            <w:pPr>
              <w:jc w:val="right"/>
              <w:spacing w:after="0"/>
              <w:rPr>
                <w:sz w:val="20"/>
                <w:szCs w:val="20"/>
                <w:color w:val="auto"/>
              </w:rPr>
            </w:pPr>
            <w:r>
              <w:rPr>
                <w:rFonts w:ascii="Calibri" w:cs="Calibri" w:eastAsia="Calibri" w:hAnsi="Calibri"/>
                <w:sz w:val="16"/>
                <w:szCs w:val="16"/>
                <w:color w:val="auto"/>
              </w:rPr>
              <w:t>95.00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58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29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5.00</w:t>
            </w:r>
          </w:p>
        </w:tc>
      </w:tr>
      <w:tr>
        <w:trPr>
          <w:trHeight w:val="206"/>
        </w:trPr>
        <w:tc>
          <w:tcPr>
            <w:tcW w:w="658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gridSpan w:val="2"/>
          </w:tcPr>
          <w:p>
            <w:pPr>
              <w:jc w:val="right"/>
              <w:spacing w:after="0"/>
              <w:rPr>
                <w:sz w:val="20"/>
                <w:szCs w:val="20"/>
                <w:color w:val="auto"/>
              </w:rPr>
            </w:pPr>
            <w:r>
              <w:rPr>
                <w:rFonts w:ascii="Calibri" w:cs="Calibri" w:eastAsia="Calibri" w:hAnsi="Calibri"/>
                <w:sz w:val="16"/>
                <w:szCs w:val="16"/>
                <w:color w:val="auto"/>
              </w:rPr>
              <w:t>0.00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58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2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0.47</w:t>
            </w:r>
          </w:p>
        </w:tc>
      </w:tr>
      <w:tr>
        <w:trPr>
          <w:trHeight w:val="206"/>
        </w:trPr>
        <w:tc>
          <w:tcPr>
            <w:tcW w:w="658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2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0.44</w:t>
            </w:r>
          </w:p>
        </w:tc>
      </w:tr>
      <w:tr>
        <w:trPr>
          <w:trHeight w:val="21"/>
        </w:trPr>
        <w:tc>
          <w:tcPr>
            <w:tcW w:w="65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220" w:right="120"/>
        <w:spacing w:after="0" w:line="257" w:lineRule="auto"/>
        <w:rPr>
          <w:sz w:val="20"/>
          <w:szCs w:val="20"/>
          <w:color w:val="auto"/>
        </w:rPr>
      </w:pPr>
      <w:r>
        <w:rPr>
          <w:rFonts w:ascii="Calibri" w:cs="Calibri" w:eastAsia="Calibri" w:hAnsi="Calibri"/>
          <w:sz w:val="16"/>
          <w:szCs w:val="16"/>
          <w:color w:val="auto"/>
        </w:rPr>
        <w:t>On September 26, 2023, the Company granted optons to purchase up to 1,210,000 Common Shares, of which 135,000 were granted to an employee and, 1,075,000 were granted to consultants. The granted optons have an exercise price of $0.79 per Common Share, and 975,000 optons expire on September 26, 2026 and the remaining 235,000 optons expire on September 26, 2028. The granted optons have diferent vestng schedules. 375,000 optons vest over three months, 200,000 optons vest over six months, 400,000 optons vest over one year, 100,000 optons vest over ffeen months, and 135,000 optons vest over 18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19 of 32</w:t>
      </w:r>
    </w:p>
    <w:p>
      <w:pPr>
        <w:sectPr>
          <w:pgSz w:w="11900" w:h="16838" w:orient="portrait"/>
          <w:cols w:equalWidth="0" w:num="1">
            <w:col w:w="11200"/>
          </w:cols>
          <w:pgMar w:left="380" w:top="198" w:right="319" w:bottom="1440" w:gutter="0" w:footer="0" w:header="0"/>
        </w:sectPr>
      </w:pPr>
    </w:p>
    <w:bookmarkStart w:id="22" w:name="page23"/>
    <w:bookmarkEnd w:id="2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32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0154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aggregate estmated grant date fair value was determined to be $577, calculated using the Black-Scholes opton pricing model with the following assumptons:</w:t>
      </w:r>
    </w:p>
    <w:p>
      <w:pPr>
        <w:spacing w:after="0" w:line="1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Optons granted on September 26, 2023 and expiring on September 26, 2026.</w:t>
      </w:r>
    </w:p>
    <w:p>
      <w:pPr>
        <w:spacing w:after="0" w:line="217"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67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300" w:type="dxa"/>
            <w:vAlign w:val="bottom"/>
            <w:gridSpan w:val="2"/>
          </w:tcPr>
          <w:p>
            <w:pPr>
              <w:jc w:val="right"/>
              <w:spacing w:after="0"/>
              <w:rPr>
                <w:sz w:val="20"/>
                <w:szCs w:val="20"/>
                <w:color w:val="auto"/>
              </w:rPr>
            </w:pPr>
            <w:r>
              <w:rPr>
                <w:rFonts w:ascii="Calibri" w:cs="Calibri" w:eastAsia="Calibri" w:hAnsi="Calibri"/>
                <w:sz w:val="16"/>
                <w:szCs w:val="16"/>
                <w:color w:val="auto"/>
              </w:rPr>
              <w:t>4.68</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300" w:type="dxa"/>
            <w:vAlign w:val="bottom"/>
            <w:gridSpan w:val="2"/>
          </w:tcPr>
          <w:p>
            <w:pPr>
              <w:jc w:val="right"/>
              <w:spacing w:after="0"/>
              <w:rPr>
                <w:sz w:val="20"/>
                <w:szCs w:val="20"/>
                <w:color w:val="auto"/>
              </w:rPr>
            </w:pPr>
            <w:r>
              <w:rPr>
                <w:rFonts w:ascii="Calibri" w:cs="Calibri" w:eastAsia="Calibri" w:hAnsi="Calibri"/>
                <w:sz w:val="16"/>
                <w:szCs w:val="16"/>
                <w:color w:val="auto"/>
              </w:rPr>
              <w:t>85.00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3.00</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300" w:type="dxa"/>
            <w:vAlign w:val="bottom"/>
            <w:gridSpan w:val="2"/>
          </w:tcPr>
          <w:p>
            <w:pPr>
              <w:jc w:val="right"/>
              <w:spacing w:after="0"/>
              <w:rPr>
                <w:sz w:val="20"/>
                <w:szCs w:val="20"/>
                <w:color w:val="auto"/>
              </w:rPr>
            </w:pPr>
            <w:r>
              <w:rPr>
                <w:rFonts w:ascii="Calibri" w:cs="Calibri" w:eastAsia="Calibri" w:hAnsi="Calibri"/>
                <w:sz w:val="16"/>
                <w:szCs w:val="16"/>
                <w:color w:val="auto"/>
              </w:rPr>
              <w:t>0.00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0.79</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0.79</w:t>
            </w:r>
          </w:p>
        </w:tc>
      </w:tr>
      <w:tr>
        <w:trPr>
          <w:trHeight w:val="21"/>
        </w:trPr>
        <w:tc>
          <w:tcPr>
            <w:tcW w:w="67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ind w:left="280"/>
              <w:spacing w:after="0"/>
              <w:rPr>
                <w:sz w:val="20"/>
                <w:szCs w:val="20"/>
                <w:color w:val="auto"/>
              </w:rPr>
            </w:pPr>
            <w:r>
              <w:rPr>
                <w:rFonts w:ascii="Calibri" w:cs="Calibri" w:eastAsia="Calibri" w:hAnsi="Calibri"/>
                <w:sz w:val="16"/>
                <w:szCs w:val="16"/>
                <w:color w:val="auto"/>
              </w:rPr>
              <w:t>Optons granted on September 26, 2023 and expiring on September 26, 2028.</w:t>
            </w: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79"/>
        </w:trPr>
        <w:tc>
          <w:tcPr>
            <w:tcW w:w="7840" w:type="dxa"/>
            <w:vAlign w:val="bottom"/>
          </w:tcPr>
          <w:p>
            <w:pPr>
              <w:ind w:left="280"/>
              <w:spacing w:after="0"/>
              <w:rPr>
                <w:sz w:val="20"/>
                <w:szCs w:val="20"/>
                <w:color w:val="auto"/>
              </w:rPr>
            </w:pPr>
            <w:r>
              <w:rPr>
                <w:rFonts w:ascii="Calibri" w:cs="Calibri" w:eastAsia="Calibri" w:hAnsi="Calibri"/>
                <w:sz w:val="16"/>
                <w:szCs w:val="16"/>
                <w:color w:val="auto"/>
              </w:rPr>
              <w:t>Risk-free interest rate</w:t>
            </w:r>
          </w:p>
        </w:tc>
        <w:tc>
          <w:tcPr>
            <w:tcW w:w="3020" w:type="dxa"/>
            <w:vAlign w:val="bottom"/>
            <w:gridSpan w:val="2"/>
          </w:tcPr>
          <w:p>
            <w:pPr>
              <w:jc w:val="right"/>
              <w:spacing w:after="0"/>
              <w:rPr>
                <w:sz w:val="20"/>
                <w:szCs w:val="20"/>
                <w:color w:val="auto"/>
              </w:rPr>
            </w:pPr>
            <w:r>
              <w:rPr>
                <w:rFonts w:ascii="Calibri" w:cs="Calibri" w:eastAsia="Calibri" w:hAnsi="Calibri"/>
                <w:sz w:val="16"/>
                <w:szCs w:val="16"/>
                <w:color w:val="auto"/>
              </w:rPr>
              <w:t>4.28</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67"/>
        </w:trPr>
        <w:tc>
          <w:tcPr>
            <w:tcW w:w="7840" w:type="dxa"/>
            <w:vAlign w:val="bottom"/>
          </w:tcPr>
          <w:p>
            <w:pPr>
              <w:ind w:left="280"/>
              <w:spacing w:after="0"/>
              <w:rPr>
                <w:sz w:val="20"/>
                <w:szCs w:val="20"/>
                <w:color w:val="auto"/>
              </w:rPr>
            </w:pPr>
            <w:r>
              <w:rPr>
                <w:rFonts w:ascii="Calibri" w:cs="Calibri" w:eastAsia="Calibri" w:hAnsi="Calibri"/>
                <w:sz w:val="16"/>
                <w:szCs w:val="16"/>
                <w:color w:val="auto"/>
              </w:rPr>
              <w:t>Expected annual volatlity, based on comparable companies</w:t>
            </w:r>
          </w:p>
        </w:tc>
        <w:tc>
          <w:tcPr>
            <w:tcW w:w="3020" w:type="dxa"/>
            <w:vAlign w:val="bottom"/>
            <w:gridSpan w:val="2"/>
          </w:tcPr>
          <w:p>
            <w:pPr>
              <w:jc w:val="right"/>
              <w:spacing w:after="0"/>
              <w:rPr>
                <w:sz w:val="20"/>
                <w:szCs w:val="20"/>
                <w:color w:val="auto"/>
              </w:rPr>
            </w:pPr>
            <w:r>
              <w:rPr>
                <w:rFonts w:ascii="Calibri" w:cs="Calibri" w:eastAsia="Calibri" w:hAnsi="Calibri"/>
                <w:sz w:val="16"/>
                <w:szCs w:val="16"/>
                <w:color w:val="auto"/>
              </w:rPr>
              <w:t>95.00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67"/>
        </w:trPr>
        <w:tc>
          <w:tcPr>
            <w:tcW w:w="7840" w:type="dxa"/>
            <w:vAlign w:val="bottom"/>
          </w:tcPr>
          <w:p>
            <w:pPr>
              <w:ind w:left="280"/>
              <w:spacing w:after="0"/>
              <w:rPr>
                <w:sz w:val="20"/>
                <w:szCs w:val="20"/>
                <w:color w:val="auto"/>
              </w:rPr>
            </w:pPr>
            <w:r>
              <w:rPr>
                <w:rFonts w:ascii="Calibri" w:cs="Calibri" w:eastAsia="Calibri" w:hAnsi="Calibri"/>
                <w:sz w:val="16"/>
                <w:szCs w:val="16"/>
                <w:color w:val="auto"/>
              </w:rPr>
              <w:t>Expected life (in years)</w:t>
            </w:r>
          </w:p>
        </w:tc>
        <w:tc>
          <w:tcPr>
            <w:tcW w:w="284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5.00</w:t>
            </w:r>
          </w:p>
        </w:tc>
      </w:tr>
      <w:tr>
        <w:trPr>
          <w:trHeight w:val="267"/>
        </w:trPr>
        <w:tc>
          <w:tcPr>
            <w:tcW w:w="7840" w:type="dxa"/>
            <w:vAlign w:val="bottom"/>
          </w:tcPr>
          <w:p>
            <w:pPr>
              <w:ind w:left="280"/>
              <w:spacing w:after="0"/>
              <w:rPr>
                <w:sz w:val="20"/>
                <w:szCs w:val="20"/>
                <w:color w:val="auto"/>
              </w:rPr>
            </w:pPr>
            <w:r>
              <w:rPr>
                <w:rFonts w:ascii="Calibri" w:cs="Calibri" w:eastAsia="Calibri" w:hAnsi="Calibri"/>
                <w:sz w:val="16"/>
                <w:szCs w:val="16"/>
                <w:color w:val="auto"/>
              </w:rPr>
              <w:t>Expected dividend yield</w:t>
            </w:r>
          </w:p>
        </w:tc>
        <w:tc>
          <w:tcPr>
            <w:tcW w:w="3020" w:type="dxa"/>
            <w:vAlign w:val="bottom"/>
            <w:gridSpan w:val="2"/>
          </w:tcPr>
          <w:p>
            <w:pPr>
              <w:jc w:val="right"/>
              <w:spacing w:after="0"/>
              <w:rPr>
                <w:sz w:val="20"/>
                <w:szCs w:val="20"/>
                <w:color w:val="auto"/>
              </w:rPr>
            </w:pPr>
            <w:r>
              <w:rPr>
                <w:rFonts w:ascii="Calibri" w:cs="Calibri" w:eastAsia="Calibri" w:hAnsi="Calibri"/>
                <w:sz w:val="16"/>
                <w:szCs w:val="16"/>
                <w:color w:val="auto"/>
              </w:rPr>
              <w:t>0.00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67"/>
        </w:trPr>
        <w:tc>
          <w:tcPr>
            <w:tcW w:w="7840" w:type="dxa"/>
            <w:vAlign w:val="bottom"/>
          </w:tcPr>
          <w:p>
            <w:pPr>
              <w:ind w:left="280"/>
              <w:spacing w:after="0"/>
              <w:rPr>
                <w:sz w:val="20"/>
                <w:szCs w:val="20"/>
                <w:color w:val="auto"/>
              </w:rPr>
            </w:pPr>
            <w:r>
              <w:rPr>
                <w:rFonts w:ascii="Calibri" w:cs="Calibri" w:eastAsia="Calibri" w:hAnsi="Calibri"/>
                <w:sz w:val="16"/>
                <w:szCs w:val="16"/>
                <w:color w:val="auto"/>
              </w:rPr>
              <w:t>Share price</w:t>
            </w:r>
          </w:p>
        </w:tc>
        <w:tc>
          <w:tcPr>
            <w:tcW w:w="2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0.79</w:t>
            </w:r>
          </w:p>
        </w:tc>
      </w:tr>
      <w:tr>
        <w:trPr>
          <w:trHeight w:val="267"/>
        </w:trPr>
        <w:tc>
          <w:tcPr>
            <w:tcW w:w="7840" w:type="dxa"/>
            <w:vAlign w:val="bottom"/>
          </w:tcPr>
          <w:p>
            <w:pPr>
              <w:ind w:left="280"/>
              <w:spacing w:after="0"/>
              <w:rPr>
                <w:sz w:val="20"/>
                <w:szCs w:val="20"/>
                <w:color w:val="auto"/>
              </w:rPr>
            </w:pPr>
            <w:r>
              <w:rPr>
                <w:rFonts w:ascii="Calibri" w:cs="Calibri" w:eastAsia="Calibri" w:hAnsi="Calibri"/>
                <w:sz w:val="16"/>
                <w:szCs w:val="16"/>
                <w:color w:val="auto"/>
              </w:rPr>
              <w:t>Exercise price</w:t>
            </w:r>
          </w:p>
        </w:tc>
        <w:tc>
          <w:tcPr>
            <w:tcW w:w="2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0.79</w:t>
            </w:r>
          </w:p>
        </w:tc>
      </w:tr>
      <w:tr>
        <w:trPr>
          <w:trHeight w:val="57"/>
        </w:trPr>
        <w:tc>
          <w:tcPr>
            <w:tcW w:w="78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302" w:lineRule="exact"/>
        <w:rPr>
          <w:sz w:val="20"/>
          <w:szCs w:val="20"/>
          <w:color w:val="auto"/>
        </w:rPr>
      </w:pPr>
    </w:p>
    <w:p>
      <w:pPr>
        <w:ind w:left="280" w:right="100"/>
        <w:spacing w:after="0" w:line="257" w:lineRule="auto"/>
        <w:rPr>
          <w:sz w:val="20"/>
          <w:szCs w:val="20"/>
          <w:color w:val="auto"/>
        </w:rPr>
      </w:pPr>
      <w:r>
        <w:rPr>
          <w:rFonts w:ascii="Calibri" w:cs="Calibri" w:eastAsia="Calibri" w:hAnsi="Calibri"/>
          <w:sz w:val="16"/>
          <w:szCs w:val="16"/>
          <w:color w:val="auto"/>
        </w:rPr>
        <w:t>On November 16, 2023, the Company granted optons to purchase up to 25,600,000 Common Shares, of which 22,200,000 were granted to ofcers, 1,600,000 were granted to directors, 1,300,000 were granted to employees and 500,000 were granted to a consultant. The granted optons have an exercise price of CAD$0.715 per Common Share, 500,000 optons expire on November 16, 2026 and the remaining 25,100,000 optons expire on November 16, 2028. The granted optons have diferent vestng schedules. 18,850,00 optons vest immediately and 6,750,000 optons vest over two years.</w:t>
      </w:r>
    </w:p>
    <w:p>
      <w:pPr>
        <w:spacing w:after="0" w:line="10"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aggregate estmated grant date fair value was determined to be $10,907, calculated using the Black-Scholes opton pricing model with the following assumptons:</w:t>
      </w:r>
    </w:p>
    <w:p>
      <w:pPr>
        <w:spacing w:after="0" w:line="11" w:lineRule="exact"/>
        <w:rPr>
          <w:sz w:val="20"/>
          <w:szCs w:val="20"/>
          <w:color w:val="auto"/>
        </w:rPr>
      </w:pPr>
    </w:p>
    <w:p>
      <w:pPr>
        <w:spacing w:after="0"/>
        <w:rPr>
          <w:sz w:val="20"/>
          <w:szCs w:val="20"/>
          <w:color w:val="auto"/>
        </w:rPr>
      </w:pPr>
      <w:r>
        <w:rPr>
          <w:rFonts w:ascii="Calibri" w:cs="Calibri" w:eastAsia="Calibri" w:hAnsi="Calibri"/>
          <w:sz w:val="16"/>
          <w:szCs w:val="16"/>
          <w:color w:val="auto"/>
        </w:rPr>
        <w:t>Optons granted on November 16, 2023 and expiring on November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Calibri" w:cs="Calibri" w:eastAsia="Calibri" w:hAnsi="Calibri"/>
          <w:sz w:val="16"/>
          <w:szCs w:val="16"/>
          <w:b w:val="1"/>
          <w:bCs w:val="1"/>
          <w:color w:val="auto"/>
        </w:rPr>
        <w:t>Page 20 of 32</w:t>
      </w:r>
    </w:p>
    <w:p>
      <w:pPr>
        <w:sectPr>
          <w:pgSz w:w="11900" w:h="16838" w:orient="portrait"/>
          <w:cols w:equalWidth="0" w:num="1">
            <w:col w:w="11100"/>
          </w:cols>
          <w:pgMar w:left="320" w:top="198" w:right="479" w:bottom="1440" w:gutter="0" w:footer="0" w:header="0"/>
        </w:sectPr>
      </w:pPr>
    </w:p>
    <w:bookmarkStart w:id="23" w:name="page24"/>
    <w:bookmarkEnd w:id="23"/>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4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0154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00" w:type="dxa"/>
            <w:vAlign w:val="bottom"/>
            <w:gridSpan w:val="2"/>
          </w:tcPr>
          <w:p>
            <w:pPr>
              <w:jc w:val="right"/>
              <w:ind w:right="19"/>
              <w:spacing w:after="0"/>
              <w:rPr>
                <w:sz w:val="20"/>
                <w:szCs w:val="20"/>
                <w:color w:val="auto"/>
              </w:rPr>
            </w:pPr>
            <w:r>
              <w:rPr>
                <w:rFonts w:ascii="Calibri" w:cs="Calibri" w:eastAsia="Calibri" w:hAnsi="Calibri"/>
                <w:sz w:val="16"/>
                <w:szCs w:val="16"/>
                <w:color w:val="auto"/>
              </w:rPr>
              <w:t>4.28</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6"/>
                <w:szCs w:val="16"/>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00" w:type="dxa"/>
            <w:vAlign w:val="bottom"/>
            <w:gridSpan w:val="2"/>
          </w:tcPr>
          <w:p>
            <w:pPr>
              <w:jc w:val="right"/>
              <w:ind w:right="19"/>
              <w:spacing w:after="0"/>
              <w:rPr>
                <w:sz w:val="20"/>
                <w:szCs w:val="20"/>
                <w:color w:val="auto"/>
              </w:rPr>
            </w:pPr>
            <w:r>
              <w:rPr>
                <w:rFonts w:ascii="Calibri" w:cs="Calibri" w:eastAsia="Calibri" w:hAnsi="Calibri"/>
                <w:sz w:val="16"/>
                <w:szCs w:val="16"/>
                <w:color w:val="auto"/>
              </w:rPr>
              <w:t>85.00</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29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3.00</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00" w:type="dxa"/>
            <w:vAlign w:val="bottom"/>
            <w:gridSpan w:val="2"/>
          </w:tcPr>
          <w:p>
            <w:pPr>
              <w:jc w:val="right"/>
              <w:ind w:right="19"/>
              <w:spacing w:after="0"/>
              <w:rPr>
                <w:sz w:val="20"/>
                <w:szCs w:val="20"/>
                <w:color w:val="auto"/>
              </w:rPr>
            </w:pPr>
            <w:r>
              <w:rPr>
                <w:rFonts w:ascii="Calibri" w:cs="Calibri" w:eastAsia="Calibri" w:hAnsi="Calibri"/>
                <w:sz w:val="16"/>
                <w:szCs w:val="16"/>
                <w:color w:val="auto"/>
              </w:rPr>
              <w:t>0.00</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29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0.60</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29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0.72</w:t>
            </w:r>
          </w:p>
        </w:tc>
        <w:tc>
          <w:tcPr>
            <w:tcW w:w="20" w:type="dxa"/>
            <w:vAlign w:val="bottom"/>
          </w:tcPr>
          <w:p>
            <w:pPr>
              <w:spacing w:after="0"/>
              <w:rPr>
                <w:sz w:val="17"/>
                <w:szCs w:val="17"/>
                <w:color w:val="auto"/>
              </w:rPr>
            </w:pPr>
          </w:p>
        </w:tc>
      </w:tr>
      <w:tr>
        <w:trPr>
          <w:trHeight w:val="21"/>
        </w:trPr>
        <w:tc>
          <w:tcPr>
            <w:tcW w:w="78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7"/>
        </w:trPr>
        <w:tc>
          <w:tcPr>
            <w:tcW w:w="7820" w:type="dxa"/>
            <w:vAlign w:val="bottom"/>
          </w:tcPr>
          <w:p>
            <w:pPr>
              <w:ind w:left="280"/>
              <w:spacing w:after="0"/>
              <w:rPr>
                <w:sz w:val="20"/>
                <w:szCs w:val="20"/>
                <w:color w:val="auto"/>
              </w:rPr>
            </w:pPr>
            <w:r>
              <w:rPr>
                <w:rFonts w:ascii="Calibri" w:cs="Calibri" w:eastAsia="Calibri" w:hAnsi="Calibri"/>
                <w:sz w:val="16"/>
                <w:szCs w:val="16"/>
                <w:color w:val="auto"/>
              </w:rPr>
              <w:t>Optons granted on November 16, 2023 and expiring on November 16, 2028.</w:t>
            </w:r>
          </w:p>
        </w:tc>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782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00" w:type="dxa"/>
            <w:vAlign w:val="bottom"/>
            <w:gridSpan w:val="2"/>
          </w:tcPr>
          <w:p>
            <w:pPr>
              <w:jc w:val="right"/>
              <w:spacing w:after="0"/>
              <w:rPr>
                <w:sz w:val="20"/>
                <w:szCs w:val="20"/>
                <w:color w:val="auto"/>
              </w:rPr>
            </w:pPr>
            <w:r>
              <w:rPr>
                <w:rFonts w:ascii="Calibri" w:cs="Calibri" w:eastAsia="Calibri" w:hAnsi="Calibri"/>
                <w:sz w:val="16"/>
                <w:szCs w:val="16"/>
                <w:color w:val="auto"/>
              </w:rPr>
              <w:t>4.28</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4"/>
                <w:szCs w:val="24"/>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00" w:type="dxa"/>
            <w:vAlign w:val="bottom"/>
            <w:gridSpan w:val="2"/>
          </w:tcPr>
          <w:p>
            <w:pPr>
              <w:jc w:val="right"/>
              <w:spacing w:after="0"/>
              <w:rPr>
                <w:sz w:val="20"/>
                <w:szCs w:val="20"/>
                <w:color w:val="auto"/>
              </w:rPr>
            </w:pPr>
            <w:r>
              <w:rPr>
                <w:rFonts w:ascii="Calibri" w:cs="Calibri" w:eastAsia="Calibri" w:hAnsi="Calibri"/>
                <w:sz w:val="16"/>
                <w:szCs w:val="16"/>
                <w:color w:val="auto"/>
              </w:rPr>
              <w:t>95.00</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29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5.00</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00" w:type="dxa"/>
            <w:vAlign w:val="bottom"/>
            <w:gridSpan w:val="2"/>
          </w:tcPr>
          <w:p>
            <w:pPr>
              <w:jc w:val="right"/>
              <w:spacing w:after="0"/>
              <w:rPr>
                <w:sz w:val="20"/>
                <w:szCs w:val="20"/>
                <w:color w:val="auto"/>
              </w:rPr>
            </w:pPr>
            <w:r>
              <w:rPr>
                <w:rFonts w:ascii="Calibri" w:cs="Calibri" w:eastAsia="Calibri" w:hAnsi="Calibri"/>
                <w:sz w:val="16"/>
                <w:szCs w:val="16"/>
                <w:color w:val="auto"/>
              </w:rPr>
              <w:t>0.00</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29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0.60</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29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0.72</w:t>
            </w:r>
          </w:p>
        </w:tc>
        <w:tc>
          <w:tcPr>
            <w:tcW w:w="20" w:type="dxa"/>
            <w:vAlign w:val="bottom"/>
          </w:tcPr>
          <w:p>
            <w:pPr>
              <w:spacing w:after="0"/>
              <w:rPr>
                <w:sz w:val="17"/>
                <w:szCs w:val="17"/>
                <w:color w:val="auto"/>
              </w:rPr>
            </w:pPr>
          </w:p>
        </w:tc>
      </w:tr>
      <w:tr>
        <w:trPr>
          <w:trHeight w:val="21"/>
        </w:trPr>
        <w:tc>
          <w:tcPr>
            <w:tcW w:w="78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80"/>
        <w:spacing w:after="0" w:line="280" w:lineRule="auto"/>
        <w:rPr>
          <w:sz w:val="20"/>
          <w:szCs w:val="20"/>
          <w:color w:val="auto"/>
        </w:rPr>
      </w:pPr>
      <w:r>
        <w:rPr>
          <w:rFonts w:ascii="Calibri" w:cs="Calibri" w:eastAsia="Calibri" w:hAnsi="Calibri"/>
          <w:sz w:val="16"/>
          <w:szCs w:val="16"/>
          <w:color w:val="auto"/>
        </w:rPr>
        <w:t>During the nine-month period ended December 31, 2023, the Company amended the expiry dates of certain optons with former employees and consultants of the Company.</w:t>
      </w:r>
    </w:p>
    <w:p>
      <w:pPr>
        <w:spacing w:after="0" w:line="149"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following summarizes informaton about stock optons outstanding on December 31, 2023:</w:t>
      </w: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Number of</w:t>
            </w:r>
          </w:p>
        </w:tc>
        <w:tc>
          <w:tcPr>
            <w:tcW w:w="150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Number of</w:t>
            </w:r>
          </w:p>
        </w:tc>
        <w:tc>
          <w:tcPr>
            <w:tcW w:w="158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Weighted</w:t>
            </w:r>
          </w:p>
        </w:tc>
        <w:tc>
          <w:tcPr>
            <w:tcW w:w="1420" w:type="dxa"/>
            <w:vAlign w:val="bottom"/>
          </w:tcPr>
          <w:p>
            <w:pPr>
              <w:jc w:val="right"/>
              <w:spacing w:after="0"/>
              <w:rPr>
                <w:sz w:val="20"/>
                <w:szCs w:val="20"/>
                <w:color w:val="auto"/>
              </w:rPr>
            </w:pPr>
            <w:r>
              <w:rPr>
                <w:rFonts w:ascii="Calibri" w:cs="Calibri" w:eastAsia="Calibri" w:hAnsi="Calibri"/>
                <w:sz w:val="16"/>
                <w:szCs w:val="16"/>
                <w:b w:val="1"/>
                <w:bCs w:val="1"/>
                <w:color w:val="auto"/>
              </w:rPr>
              <w:t>Recognized</w:t>
            </w:r>
          </w:p>
        </w:tc>
      </w:tr>
      <w:tr>
        <w:trPr>
          <w:trHeight w:val="158"/>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20" w:type="dxa"/>
            <w:vAlign w:val="bottom"/>
          </w:tcPr>
          <w:p>
            <w:pPr>
              <w:jc w:val="right"/>
              <w:ind w:right="359"/>
              <w:spacing w:after="0" w:line="158" w:lineRule="exact"/>
              <w:rPr>
                <w:sz w:val="20"/>
                <w:szCs w:val="20"/>
                <w:color w:val="auto"/>
              </w:rPr>
            </w:pPr>
            <w:r>
              <w:rPr>
                <w:rFonts w:ascii="Calibri" w:cs="Calibri" w:eastAsia="Calibri" w:hAnsi="Calibri"/>
                <w:sz w:val="16"/>
                <w:szCs w:val="16"/>
                <w:b w:val="1"/>
                <w:bCs w:val="1"/>
                <w:color w:val="auto"/>
              </w:rPr>
              <w:t>optons</w:t>
            </w:r>
          </w:p>
        </w:tc>
        <w:tc>
          <w:tcPr>
            <w:tcW w:w="1500" w:type="dxa"/>
            <w:vAlign w:val="bottom"/>
          </w:tcPr>
          <w:p>
            <w:pPr>
              <w:jc w:val="right"/>
              <w:ind w:right="279"/>
              <w:spacing w:after="0" w:line="158" w:lineRule="exact"/>
              <w:rPr>
                <w:sz w:val="20"/>
                <w:szCs w:val="20"/>
                <w:color w:val="auto"/>
              </w:rPr>
            </w:pPr>
            <w:r>
              <w:rPr>
                <w:rFonts w:ascii="Calibri" w:cs="Calibri" w:eastAsia="Calibri" w:hAnsi="Calibri"/>
                <w:sz w:val="16"/>
                <w:szCs w:val="16"/>
                <w:b w:val="1"/>
                <w:bCs w:val="1"/>
                <w:color w:val="auto"/>
              </w:rPr>
              <w:t>optons</w:t>
            </w:r>
          </w:p>
        </w:tc>
        <w:tc>
          <w:tcPr>
            <w:tcW w:w="1580" w:type="dxa"/>
            <w:vAlign w:val="bottom"/>
          </w:tcPr>
          <w:p>
            <w:pPr>
              <w:jc w:val="right"/>
              <w:ind w:right="279"/>
              <w:spacing w:after="0" w:line="158" w:lineRule="exact"/>
              <w:rPr>
                <w:sz w:val="20"/>
                <w:szCs w:val="20"/>
                <w:color w:val="auto"/>
              </w:rPr>
            </w:pPr>
            <w:r>
              <w:rPr>
                <w:rFonts w:ascii="Calibri" w:cs="Calibri" w:eastAsia="Calibri" w:hAnsi="Calibri"/>
                <w:sz w:val="16"/>
                <w:szCs w:val="16"/>
                <w:b w:val="1"/>
                <w:bCs w:val="1"/>
                <w:color w:val="auto"/>
              </w:rPr>
              <w:t>average</w:t>
            </w:r>
          </w:p>
        </w:tc>
        <w:tc>
          <w:tcPr>
            <w:tcW w:w="1420" w:type="dxa"/>
            <w:vAlign w:val="bottom"/>
          </w:tcPr>
          <w:p>
            <w:pPr>
              <w:jc w:val="right"/>
              <w:spacing w:after="0" w:line="158" w:lineRule="exact"/>
              <w:rPr>
                <w:sz w:val="20"/>
                <w:szCs w:val="20"/>
                <w:color w:val="auto"/>
              </w:rPr>
            </w:pPr>
            <w:r>
              <w:rPr>
                <w:rFonts w:ascii="Calibri" w:cs="Calibri" w:eastAsia="Calibri" w:hAnsi="Calibri"/>
                <w:sz w:val="16"/>
                <w:szCs w:val="16"/>
                <w:b w:val="1"/>
                <w:bCs w:val="1"/>
                <w:color w:val="auto"/>
              </w:rPr>
              <w:t>estmated grant</w:t>
            </w:r>
          </w:p>
        </w:tc>
      </w:tr>
      <w:tr>
        <w:trPr>
          <w:trHeight w:val="205"/>
        </w:trPr>
        <w:tc>
          <w:tcPr>
            <w:tcW w:w="2280" w:type="dxa"/>
            <w:vAlign w:val="bottom"/>
          </w:tcPr>
          <w:p>
            <w:pPr>
              <w:spacing w:after="0"/>
              <w:rPr>
                <w:sz w:val="17"/>
                <w:szCs w:val="17"/>
                <w:color w:val="auto"/>
              </w:rPr>
            </w:pPr>
          </w:p>
        </w:tc>
        <w:tc>
          <w:tcPr>
            <w:tcW w:w="15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Exercise Price</w:t>
            </w:r>
          </w:p>
        </w:tc>
        <w:tc>
          <w:tcPr>
            <w:tcW w:w="1620" w:type="dxa"/>
            <w:vAlign w:val="bottom"/>
          </w:tcPr>
          <w:p>
            <w:pPr>
              <w:jc w:val="right"/>
              <w:ind w:right="359"/>
              <w:spacing w:after="0" w:line="193" w:lineRule="exact"/>
              <w:rPr>
                <w:sz w:val="20"/>
                <w:szCs w:val="20"/>
                <w:color w:val="auto"/>
              </w:rPr>
            </w:pPr>
            <w:r>
              <w:rPr>
                <w:rFonts w:ascii="Calibri" w:cs="Calibri" w:eastAsia="Calibri" w:hAnsi="Calibri"/>
                <w:sz w:val="16"/>
                <w:szCs w:val="16"/>
                <w:b w:val="1"/>
                <w:bCs w:val="1"/>
                <w:color w:val="auto"/>
              </w:rPr>
              <w:t>outstanding</w:t>
            </w:r>
          </w:p>
        </w:tc>
        <w:tc>
          <w:tcPr>
            <w:tcW w:w="1500" w:type="dxa"/>
            <w:vAlign w:val="bottom"/>
          </w:tcPr>
          <w:p>
            <w:pPr>
              <w:jc w:val="right"/>
              <w:ind w:right="279"/>
              <w:spacing w:after="0" w:line="193" w:lineRule="exact"/>
              <w:rPr>
                <w:sz w:val="20"/>
                <w:szCs w:val="20"/>
                <w:color w:val="auto"/>
              </w:rPr>
            </w:pPr>
            <w:r>
              <w:rPr>
                <w:rFonts w:ascii="Calibri" w:cs="Calibri" w:eastAsia="Calibri" w:hAnsi="Calibri"/>
                <w:sz w:val="16"/>
                <w:szCs w:val="16"/>
                <w:b w:val="1"/>
                <w:bCs w:val="1"/>
                <w:color w:val="auto"/>
              </w:rPr>
              <w:t>exercisable</w:t>
            </w:r>
          </w:p>
        </w:tc>
        <w:tc>
          <w:tcPr>
            <w:tcW w:w="1580" w:type="dxa"/>
            <w:vAlign w:val="bottom"/>
          </w:tcPr>
          <w:p>
            <w:pPr>
              <w:jc w:val="right"/>
              <w:ind w:right="279"/>
              <w:spacing w:after="0" w:line="193" w:lineRule="exact"/>
              <w:rPr>
                <w:sz w:val="20"/>
                <w:szCs w:val="20"/>
                <w:color w:val="auto"/>
              </w:rPr>
            </w:pPr>
            <w:r>
              <w:rPr>
                <w:rFonts w:ascii="Calibri" w:cs="Calibri" w:eastAsia="Calibri" w:hAnsi="Calibri"/>
                <w:sz w:val="16"/>
                <w:szCs w:val="16"/>
                <w:b w:val="1"/>
                <w:bCs w:val="1"/>
                <w:color w:val="auto"/>
              </w:rPr>
              <w:t>remaining life</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date fair value</w:t>
            </w:r>
          </w:p>
        </w:tc>
      </w:tr>
      <w:tr>
        <w:trPr>
          <w:trHeight w:val="45"/>
        </w:trPr>
        <w:tc>
          <w:tcPr>
            <w:tcW w:w="22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2"/>
        </w:trPr>
        <w:tc>
          <w:tcPr>
            <w:tcW w:w="2280" w:type="dxa"/>
            <w:vAlign w:val="bottom"/>
          </w:tcPr>
          <w:p>
            <w:pPr>
              <w:jc w:val="right"/>
              <w:ind w:right="1399"/>
              <w:spacing w:after="0" w:line="193" w:lineRule="exact"/>
              <w:rPr>
                <w:sz w:val="20"/>
                <w:szCs w:val="20"/>
                <w:color w:val="auto"/>
              </w:rPr>
            </w:pPr>
            <w:r>
              <w:rPr>
                <w:rFonts w:ascii="Calibri" w:cs="Calibri" w:eastAsia="Calibri" w:hAnsi="Calibri"/>
                <w:sz w:val="16"/>
                <w:szCs w:val="16"/>
                <w:b w:val="1"/>
                <w:bCs w:val="1"/>
                <w:color w:val="auto"/>
              </w:rPr>
              <w:t>Expiry date</w:t>
            </w:r>
          </w:p>
        </w:tc>
        <w:tc>
          <w:tcPr>
            <w:tcW w:w="15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w:t>
            </w:r>
          </w:p>
        </w:tc>
        <w:tc>
          <w:tcPr>
            <w:tcW w:w="1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Years</w:t>
            </w:r>
          </w:p>
        </w:tc>
        <w:tc>
          <w:tcPr>
            <w:tcW w:w="142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r>
      <w:tr>
        <w:trPr>
          <w:trHeight w:val="57"/>
        </w:trPr>
        <w:tc>
          <w:tcPr>
            <w:tcW w:w="22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38"/>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February 8,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0.44</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33,750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33,750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0.11</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12</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February 8,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2.90</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20,000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20,000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0.11</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42</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February 29,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1.39</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46,300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46,300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0.16</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46</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February 29,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1.74</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570,000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570,000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0.16</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709</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March 31,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1.35</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56,250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56,250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0.25</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55</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March 31,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1.39</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25,000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25,000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0.25</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25</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March 31,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1.74</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100,000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100,000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0.25</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124</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June 15,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0.25</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2,350,000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2,350,000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1.46</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420</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June 30,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0.90</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500,000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500,000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1.50</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183</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August 14,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1.00</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800,000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700,000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1.62</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421</w:t>
            </w:r>
          </w:p>
        </w:tc>
      </w:tr>
      <w:tr>
        <w:trPr>
          <w:trHeight w:val="206"/>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September 30,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0.75</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270,000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251,250</w:t>
            </w:r>
          </w:p>
        </w:tc>
        <w:tc>
          <w:tcPr>
            <w:tcW w:w="1580" w:type="dxa"/>
            <w:vAlign w:val="bottom"/>
          </w:tcPr>
          <w:p>
            <w:pPr>
              <w:jc w:val="right"/>
              <w:ind w:right="239"/>
              <w:spacing w:after="0"/>
              <w:rPr>
                <w:sz w:val="20"/>
                <w:szCs w:val="20"/>
                <w:color w:val="auto"/>
              </w:rPr>
            </w:pPr>
            <w:r>
              <w:rPr>
                <w:rFonts w:ascii="Calibri" w:cs="Calibri" w:eastAsia="Calibri" w:hAnsi="Calibri"/>
                <w:sz w:val="16"/>
                <w:szCs w:val="16"/>
                <w:color w:val="auto"/>
              </w:rPr>
              <w:t>1.75</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96</w:t>
            </w:r>
          </w:p>
        </w:tc>
      </w:tr>
      <w:tr>
        <w:trPr>
          <w:trHeight w:val="206"/>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October 12,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0.75</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3,000,000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3,000,000</w:t>
            </w:r>
          </w:p>
        </w:tc>
        <w:tc>
          <w:tcPr>
            <w:tcW w:w="1580" w:type="dxa"/>
            <w:vAlign w:val="bottom"/>
          </w:tcPr>
          <w:p>
            <w:pPr>
              <w:jc w:val="right"/>
              <w:ind w:right="239"/>
              <w:spacing w:after="0"/>
              <w:rPr>
                <w:sz w:val="20"/>
                <w:szCs w:val="20"/>
                <w:color w:val="auto"/>
              </w:rPr>
            </w:pPr>
            <w:r>
              <w:rPr>
                <w:rFonts w:ascii="Calibri" w:cs="Calibri" w:eastAsia="Calibri" w:hAnsi="Calibri"/>
                <w:sz w:val="16"/>
                <w:szCs w:val="16"/>
                <w:color w:val="auto"/>
              </w:rPr>
              <w:t>1.78</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1,607</w:t>
            </w:r>
          </w:p>
        </w:tc>
      </w:tr>
      <w:tr>
        <w:trPr>
          <w:trHeight w:val="206"/>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November 4,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0.75</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5,700,000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5,700,000</w:t>
            </w:r>
          </w:p>
        </w:tc>
        <w:tc>
          <w:tcPr>
            <w:tcW w:w="1580" w:type="dxa"/>
            <w:vAlign w:val="bottom"/>
          </w:tcPr>
          <w:p>
            <w:pPr>
              <w:jc w:val="right"/>
              <w:ind w:right="239"/>
              <w:spacing w:after="0"/>
              <w:rPr>
                <w:sz w:val="20"/>
                <w:szCs w:val="20"/>
                <w:color w:val="auto"/>
              </w:rPr>
            </w:pPr>
            <w:r>
              <w:rPr>
                <w:rFonts w:ascii="Calibri" w:cs="Calibri" w:eastAsia="Calibri" w:hAnsi="Calibri"/>
                <w:sz w:val="16"/>
                <w:szCs w:val="16"/>
                <w:color w:val="auto"/>
              </w:rPr>
              <w:t>1.85</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3,057</w:t>
            </w:r>
          </w:p>
        </w:tc>
      </w:tr>
      <w:tr>
        <w:trPr>
          <w:trHeight w:val="206"/>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November 13,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0.88</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500,000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500,000</w:t>
            </w:r>
          </w:p>
        </w:tc>
        <w:tc>
          <w:tcPr>
            <w:tcW w:w="1580" w:type="dxa"/>
            <w:vAlign w:val="bottom"/>
          </w:tcPr>
          <w:p>
            <w:pPr>
              <w:jc w:val="right"/>
              <w:ind w:right="239"/>
              <w:spacing w:after="0"/>
              <w:rPr>
                <w:sz w:val="20"/>
                <w:szCs w:val="20"/>
                <w:color w:val="auto"/>
              </w:rPr>
            </w:pPr>
            <w:r>
              <w:rPr>
                <w:rFonts w:ascii="Calibri" w:cs="Calibri" w:eastAsia="Calibri" w:hAnsi="Calibri"/>
                <w:sz w:val="16"/>
                <w:szCs w:val="16"/>
                <w:color w:val="auto"/>
              </w:rPr>
              <w:t>1.87</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315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21 of 32</w:t>
      </w:r>
    </w:p>
    <w:p>
      <w:pPr>
        <w:sectPr>
          <w:pgSz w:w="11900" w:h="16838" w:orient="portrait"/>
          <w:cols w:equalWidth="0" w:num="1">
            <w:col w:w="11240"/>
          </w:cols>
          <w:pgMar w:left="320" w:top="198" w:right="339" w:bottom="1440" w:gutter="0" w:footer="0" w:header="0"/>
        </w:sectPr>
      </w:pPr>
    </w:p>
    <w:bookmarkStart w:id="24" w:name="page25"/>
    <w:bookmarkEnd w:id="24"/>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0154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November 15, 2025</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0.75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375,000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375,000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1.88</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110</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November 15, 2025</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0.91</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200,000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1.88</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53</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December 11, 2025</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1.48</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700,000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700,000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1.95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740</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December 14, 2025</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1.74</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1,589,100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1,589,100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1.95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1,971</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December 28, 2025</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1.89</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760,000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760,000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1.99</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1,027</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January 2,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1.89</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225,000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225,000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2.01</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304</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February 15,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2.03</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150,000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150,000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2.13</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218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February 16,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2.03</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150,000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150,000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2.13</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218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10,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1.39</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1,186,300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1,186,300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2.19</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1,185</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15,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1.55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300,000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300,000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2.20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360</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28,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1.36</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1,575,000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1,575,000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2.24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1,540</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29,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1.32</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37,500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37,500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2.24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36</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31,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1.35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250,000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250,000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2.25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243</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June 28,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2.90</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3,160,000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3,160,000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2.49</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6,589</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August 16,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2.48</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215,000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215,000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2.63</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383</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August 18,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2.48</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300,000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300,000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2.63</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519</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September 26,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0.79</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975,000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575,000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2.74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368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September 27,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2.87</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195,000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195,000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2.74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403</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September 27,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3.15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545,000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545,000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2.74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1,105</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November 15,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0.715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500,000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62,500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2.87</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40</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December 31,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1.50</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1,250,000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1,250,000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3.00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1,351</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December 31,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3.15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20,000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3.00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4,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1.13</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1,075,600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1,075,600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3.17</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878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4,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3.15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40,000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40,000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3.17</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25</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8,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1.02</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400,000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400,000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3.18</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295</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June 30,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1.00</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65,000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56,875</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3.50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32</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August 14,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1.00</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17,500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3.62</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14</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September 30,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1.00</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220,000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163,750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3.75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89</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June 30, 2028</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0.44</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11,310,000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5,653,750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4.5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2,868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September 26, 2028</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0.79</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235,000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75,625</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4.74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72</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November 15, 2028</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0.715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25,100,000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19,631,250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4.88</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8,756</w:t>
            </w: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25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0.94</w:t>
            </w:r>
          </w:p>
        </w:tc>
        <w:tc>
          <w:tcPr>
            <w:tcW w:w="158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67,094,800</w:t>
            </w:r>
          </w:p>
        </w:tc>
        <w:tc>
          <w:tcPr>
            <w:tcW w:w="1820" w:type="dxa"/>
            <w:vAlign w:val="bottom"/>
            <w:tcBorders>
              <w:bottom w:val="single" w:sz="8" w:color="auto"/>
            </w:tcBorders>
          </w:tcPr>
          <w:p>
            <w:pPr>
              <w:jc w:val="right"/>
              <w:ind w:right="579"/>
              <w:spacing w:after="0" w:line="192" w:lineRule="exact"/>
              <w:rPr>
                <w:sz w:val="20"/>
                <w:szCs w:val="20"/>
                <w:color w:val="auto"/>
              </w:rPr>
            </w:pPr>
            <w:r>
              <w:rPr>
                <w:rFonts w:ascii="Calibri" w:cs="Calibri" w:eastAsia="Calibri" w:hAnsi="Calibri"/>
                <w:sz w:val="16"/>
                <w:szCs w:val="16"/>
                <w:b w:val="1"/>
                <w:bCs w:val="1"/>
                <w:color w:val="auto"/>
              </w:rPr>
              <w:t>54,787,300</w:t>
            </w:r>
          </w:p>
        </w:tc>
        <w:tc>
          <w:tcPr>
            <w:tcW w:w="156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2.21</w:t>
            </w:r>
          </w:p>
        </w:tc>
        <w:tc>
          <w:tcPr>
            <w:tcW w:w="11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38,922</w:t>
            </w:r>
          </w:p>
        </w:tc>
      </w:tr>
    </w:tbl>
    <w:p>
      <w:pPr>
        <w:spacing w:after="0" w:line="235" w:lineRule="exact"/>
        <w:rPr>
          <w:sz w:val="20"/>
          <w:szCs w:val="20"/>
          <w:color w:val="auto"/>
        </w:rPr>
      </w:pPr>
    </w:p>
    <w:p>
      <w:pPr>
        <w:ind w:left="220"/>
        <w:spacing w:after="0" w:line="265" w:lineRule="auto"/>
        <w:rPr>
          <w:sz w:val="20"/>
          <w:szCs w:val="20"/>
          <w:color w:val="auto"/>
        </w:rPr>
      </w:pPr>
      <w:r>
        <w:rPr>
          <w:rFonts w:ascii="Calibri" w:cs="Calibri" w:eastAsia="Calibri" w:hAnsi="Calibri"/>
          <w:sz w:val="16"/>
          <w:szCs w:val="16"/>
          <w:color w:val="auto"/>
        </w:rPr>
        <w:t>The Company recognized share-based payments expense related to the issuance of stock optons for the three and nine months ended December 31, 2023 of $9,928 and $12,617 (2022 - $978 and $4,205), respectvely.</w:t>
      </w:r>
    </w:p>
    <w:p>
      <w:pPr>
        <w:spacing w:after="0" w:line="175" w:lineRule="exact"/>
        <w:rPr>
          <w:sz w:val="20"/>
          <w:szCs w:val="20"/>
          <w:color w:val="auto"/>
        </w:rPr>
      </w:pPr>
    </w:p>
    <w:p>
      <w:pPr>
        <w:ind w:left="220" w:right="20"/>
        <w:spacing w:after="0" w:line="280" w:lineRule="auto"/>
        <w:rPr>
          <w:sz w:val="20"/>
          <w:szCs w:val="20"/>
          <w:color w:val="auto"/>
        </w:rPr>
      </w:pPr>
      <w:r>
        <w:rPr>
          <w:rFonts w:ascii="Calibri" w:cs="Calibri" w:eastAsia="Calibri" w:hAnsi="Calibri"/>
          <w:sz w:val="16"/>
          <w:szCs w:val="16"/>
          <w:color w:val="auto"/>
        </w:rPr>
        <w:t>The outstanding optons and warrants disclosed above were ant-dilutve for the three and nine months ended December 31, 2023 and did not impact the calculaton of the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22 of 32</w:t>
      </w:r>
    </w:p>
    <w:p>
      <w:pPr>
        <w:sectPr>
          <w:pgSz w:w="11900" w:h="16838" w:orient="portrait"/>
          <w:cols w:equalWidth="0" w:num="1">
            <w:col w:w="11200"/>
          </w:cols>
          <w:pgMar w:left="380" w:top="198" w:right="319" w:bottom="1440" w:gutter="0" w:footer="0" w:header="0"/>
        </w:sectPr>
      </w:pPr>
    </w:p>
    <w:bookmarkStart w:id="25" w:name="page26"/>
    <w:bookmarkEnd w:id="25"/>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01548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9.</w:t>
      </w:r>
      <w:r>
        <w:rPr>
          <w:sz w:val="20"/>
          <w:szCs w:val="20"/>
          <w:color w:val="auto"/>
        </w:rPr>
        <w:tab/>
      </w:r>
      <w:r>
        <w:rPr>
          <w:rFonts w:ascii="Calibri" w:cs="Calibri" w:eastAsia="Calibri" w:hAnsi="Calibri"/>
          <w:sz w:val="15"/>
          <w:szCs w:val="15"/>
          <w:b w:val="1"/>
          <w:bCs w:val="1"/>
          <w:color w:val="2D5F91"/>
        </w:rPr>
        <w:t>RELATED PARTY TRANSACTIONS AND BALANCES</w:t>
      </w:r>
    </w:p>
    <w:p>
      <w:pPr>
        <w:spacing w:after="0" w:line="195" w:lineRule="exact"/>
        <w:rPr>
          <w:sz w:val="20"/>
          <w:szCs w:val="20"/>
          <w:color w:val="auto"/>
        </w:rPr>
      </w:pPr>
    </w:p>
    <w:p>
      <w:pPr>
        <w:ind w:left="280"/>
        <w:spacing w:after="0" w:line="280" w:lineRule="auto"/>
        <w:rPr>
          <w:sz w:val="20"/>
          <w:szCs w:val="20"/>
          <w:color w:val="auto"/>
        </w:rPr>
      </w:pPr>
      <w:r>
        <w:rPr>
          <w:rFonts w:ascii="Calibri" w:cs="Calibri" w:eastAsia="Calibri" w:hAnsi="Calibri"/>
          <w:sz w:val="16"/>
          <w:szCs w:val="16"/>
          <w:color w:val="auto"/>
        </w:rPr>
        <w:t>Key management personnel include persons having the authority and responsibility for planning, directng, and controlling the actvites of the Company as a whole. The Company has determined its key management personnel to be executve ofcers and directors of the Company.</w:t>
      </w:r>
    </w:p>
    <w:p>
      <w:pPr>
        <w:spacing w:after="0" w:line="149"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remuneraton of key management personnel for the three and nine-month periods ended December 31, 2023 and 2022 are as follows:</w:t>
      </w:r>
    </w:p>
    <w:p>
      <w:pPr>
        <w:spacing w:after="0" w:line="96"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60" w:type="dxa"/>
            <w:vAlign w:val="bottom"/>
          </w:tcPr>
          <w:p>
            <w:pPr>
              <w:jc w:val="right"/>
              <w:ind w:right="919"/>
              <w:spacing w:after="0"/>
              <w:rPr>
                <w:sz w:val="20"/>
                <w:szCs w:val="20"/>
                <w:color w:val="auto"/>
              </w:rPr>
            </w:pPr>
            <w:r>
              <w:rPr>
                <w:rFonts w:ascii="Calibri" w:cs="Calibri" w:eastAsia="Calibri" w:hAnsi="Calibri"/>
                <w:sz w:val="16"/>
                <w:szCs w:val="16"/>
                <w:b w:val="1"/>
                <w:bCs w:val="1"/>
                <w:color w:val="auto"/>
              </w:rPr>
              <w:t>Three-months ended</w:t>
            </w:r>
          </w:p>
        </w:tc>
        <w:tc>
          <w:tcPr>
            <w:tcW w:w="15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Nine-months ended</w:t>
            </w:r>
          </w:p>
        </w:tc>
      </w:tr>
      <w:tr>
        <w:trPr>
          <w:trHeight w:val="279"/>
        </w:trPr>
        <w:tc>
          <w:tcPr>
            <w:tcW w:w="3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60" w:type="dxa"/>
            <w:vAlign w:val="bottom"/>
          </w:tcPr>
          <w:p>
            <w:pPr>
              <w:jc w:val="right"/>
              <w:ind w:right="919"/>
              <w:spacing w:after="0"/>
              <w:rPr>
                <w:sz w:val="20"/>
                <w:szCs w:val="20"/>
                <w:color w:val="auto"/>
              </w:rPr>
            </w:pPr>
            <w:r>
              <w:rPr>
                <w:rFonts w:ascii="Calibri" w:cs="Calibri" w:eastAsia="Calibri" w:hAnsi="Calibri"/>
                <w:sz w:val="16"/>
                <w:szCs w:val="16"/>
                <w:b w:val="1"/>
                <w:bCs w:val="1"/>
                <w:color w:val="auto"/>
              </w:rPr>
              <w:t>December 31,</w:t>
            </w:r>
          </w:p>
        </w:tc>
        <w:tc>
          <w:tcPr>
            <w:tcW w:w="1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December 31,</w:t>
            </w:r>
          </w:p>
        </w:tc>
      </w:tr>
      <w:tr>
        <w:trPr>
          <w:trHeight w:val="315"/>
        </w:trPr>
        <w:tc>
          <w:tcPr>
            <w:tcW w:w="36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c>
          <w:tcPr>
            <w:tcW w:w="2460" w:type="dxa"/>
            <w:vAlign w:val="bottom"/>
          </w:tcPr>
          <w:p>
            <w:pPr>
              <w:jc w:val="right"/>
              <w:ind w:right="919"/>
              <w:spacing w:after="0"/>
              <w:rPr>
                <w:sz w:val="20"/>
                <w:szCs w:val="20"/>
                <w:color w:val="auto"/>
              </w:rPr>
            </w:pPr>
            <w:r>
              <w:rPr>
                <w:rFonts w:ascii="Calibri" w:cs="Calibri" w:eastAsia="Calibri" w:hAnsi="Calibri"/>
                <w:sz w:val="16"/>
                <w:szCs w:val="16"/>
                <w:b w:val="1"/>
                <w:bCs w:val="1"/>
                <w:color w:val="auto"/>
              </w:rPr>
              <w:t>2022</w:t>
            </w:r>
          </w:p>
        </w:tc>
        <w:tc>
          <w:tcPr>
            <w:tcW w:w="15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2023</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2022</w:t>
            </w:r>
          </w:p>
        </w:tc>
      </w:tr>
      <w:tr>
        <w:trPr>
          <w:trHeight w:val="243"/>
        </w:trPr>
        <w:tc>
          <w:tcPr>
            <w:tcW w:w="3640" w:type="dxa"/>
            <w:vAlign w:val="bottom"/>
          </w:tcPr>
          <w:p>
            <w:pPr>
              <w:spacing w:after="0"/>
              <w:rPr>
                <w:sz w:val="21"/>
                <w:szCs w:val="21"/>
                <w:color w:val="auto"/>
              </w:rPr>
            </w:pPr>
          </w:p>
        </w:tc>
        <w:tc>
          <w:tcPr>
            <w:tcW w:w="188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w:t>
            </w:r>
          </w:p>
        </w:tc>
        <w:tc>
          <w:tcPr>
            <w:tcW w:w="2460" w:type="dxa"/>
            <w:vAlign w:val="bottom"/>
          </w:tcPr>
          <w:p>
            <w:pPr>
              <w:jc w:val="right"/>
              <w:ind w:right="919"/>
              <w:spacing w:after="0"/>
              <w:rPr>
                <w:sz w:val="20"/>
                <w:szCs w:val="20"/>
                <w:color w:val="auto"/>
              </w:rPr>
            </w:pPr>
            <w:r>
              <w:rPr>
                <w:rFonts w:ascii="Calibri" w:cs="Calibri" w:eastAsia="Calibri" w:hAnsi="Calibri"/>
                <w:sz w:val="16"/>
                <w:szCs w:val="16"/>
                <w:b w:val="1"/>
                <w:bCs w:val="1"/>
                <w:color w:val="auto"/>
              </w:rPr>
              <w:t>$</w:t>
            </w:r>
          </w:p>
        </w:tc>
        <w:tc>
          <w:tcPr>
            <w:tcW w:w="15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36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5"/>
        </w:trPr>
        <w:tc>
          <w:tcPr>
            <w:tcW w:w="3640" w:type="dxa"/>
            <w:vAlign w:val="bottom"/>
          </w:tcPr>
          <w:p>
            <w:pPr>
              <w:ind w:left="60"/>
              <w:spacing w:after="0" w:line="245" w:lineRule="exact"/>
              <w:rPr>
                <w:sz w:val="20"/>
                <w:szCs w:val="20"/>
                <w:color w:val="auto"/>
              </w:rPr>
            </w:pPr>
            <w:r>
              <w:rPr>
                <w:rFonts w:ascii="Calibri" w:cs="Calibri" w:eastAsia="Calibri" w:hAnsi="Calibri"/>
                <w:sz w:val="16"/>
                <w:szCs w:val="16"/>
                <w:color w:val="auto"/>
              </w:rPr>
              <w:t xml:space="preserve">Payroll, consultng and benefts </w:t>
            </w:r>
            <w:r>
              <w:rPr>
                <w:rFonts w:ascii="Calibri" w:cs="Calibri" w:eastAsia="Calibri" w:hAnsi="Calibri"/>
                <w:sz w:val="21"/>
                <w:szCs w:val="21"/>
                <w:color w:val="auto"/>
                <w:vertAlign w:val="superscript"/>
              </w:rPr>
              <w:t>(1)</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1,029</w:t>
            </w:r>
          </w:p>
        </w:tc>
        <w:tc>
          <w:tcPr>
            <w:tcW w:w="2460" w:type="dxa"/>
            <w:vAlign w:val="bottom"/>
          </w:tcPr>
          <w:p>
            <w:pPr>
              <w:jc w:val="right"/>
              <w:ind w:right="879"/>
              <w:spacing w:after="0"/>
              <w:rPr>
                <w:sz w:val="20"/>
                <w:szCs w:val="20"/>
                <w:color w:val="auto"/>
              </w:rPr>
            </w:pPr>
            <w:r>
              <w:rPr>
                <w:rFonts w:ascii="Calibri" w:cs="Calibri" w:eastAsia="Calibri" w:hAnsi="Calibri"/>
                <w:sz w:val="16"/>
                <w:szCs w:val="16"/>
                <w:color w:val="auto"/>
              </w:rPr>
              <w:t>1,436</w:t>
            </w:r>
          </w:p>
        </w:tc>
        <w:tc>
          <w:tcPr>
            <w:tcW w:w="1500" w:type="dxa"/>
            <w:vAlign w:val="bottom"/>
          </w:tcPr>
          <w:p>
            <w:pPr>
              <w:jc w:val="right"/>
              <w:ind w:right="39"/>
              <w:spacing w:after="0"/>
              <w:rPr>
                <w:sz w:val="20"/>
                <w:szCs w:val="20"/>
                <w:color w:val="auto"/>
              </w:rPr>
            </w:pPr>
            <w:r>
              <w:rPr>
                <w:rFonts w:ascii="Calibri" w:cs="Calibri" w:eastAsia="Calibri" w:hAnsi="Calibri"/>
                <w:sz w:val="16"/>
                <w:szCs w:val="16"/>
                <w:color w:val="auto"/>
              </w:rPr>
              <w:t>3,342</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4,216</w:t>
            </w:r>
          </w:p>
        </w:tc>
      </w:tr>
      <w:tr>
        <w:trPr>
          <w:trHeight w:val="199"/>
        </w:trPr>
        <w:tc>
          <w:tcPr>
            <w:tcW w:w="3640" w:type="dxa"/>
            <w:vAlign w:val="bottom"/>
          </w:tcPr>
          <w:p>
            <w:pPr>
              <w:ind w:left="60"/>
              <w:spacing w:after="0"/>
              <w:rPr>
                <w:sz w:val="20"/>
                <w:szCs w:val="20"/>
                <w:color w:val="auto"/>
              </w:rPr>
            </w:pPr>
            <w:r>
              <w:rPr>
                <w:rFonts w:ascii="Calibri" w:cs="Calibri" w:eastAsia="Calibri" w:hAnsi="Calibri"/>
                <w:sz w:val="16"/>
                <w:szCs w:val="16"/>
                <w:color w:val="auto"/>
              </w:rPr>
              <w:t>Share-based compensaton</w:t>
            </w:r>
          </w:p>
        </w:tc>
        <w:tc>
          <w:tcPr>
            <w:tcW w:w="1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3640" w:type="dxa"/>
            <w:vAlign w:val="bottom"/>
          </w:tcPr>
          <w:p>
            <w:pPr>
              <w:ind w:left="260"/>
              <w:spacing w:after="0"/>
              <w:rPr>
                <w:sz w:val="20"/>
                <w:szCs w:val="20"/>
                <w:color w:val="auto"/>
              </w:rPr>
            </w:pPr>
            <w:r>
              <w:rPr>
                <w:rFonts w:ascii="Calibri" w:cs="Calibri" w:eastAsia="Calibri" w:hAnsi="Calibri"/>
                <w:sz w:val="16"/>
                <w:szCs w:val="16"/>
                <w:color w:val="auto"/>
              </w:rPr>
              <w:t>Optons</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7,864</w:t>
            </w:r>
          </w:p>
        </w:tc>
        <w:tc>
          <w:tcPr>
            <w:tcW w:w="2460" w:type="dxa"/>
            <w:vAlign w:val="bottom"/>
          </w:tcPr>
          <w:p>
            <w:pPr>
              <w:jc w:val="right"/>
              <w:ind w:right="879"/>
              <w:spacing w:after="0"/>
              <w:rPr>
                <w:sz w:val="20"/>
                <w:szCs w:val="20"/>
                <w:color w:val="auto"/>
              </w:rPr>
            </w:pPr>
            <w:r>
              <w:rPr>
                <w:rFonts w:ascii="Calibri" w:cs="Calibri" w:eastAsia="Calibri" w:hAnsi="Calibri"/>
                <w:sz w:val="16"/>
                <w:szCs w:val="16"/>
                <w:color w:val="auto"/>
              </w:rPr>
              <w:t>379</w:t>
            </w:r>
          </w:p>
        </w:tc>
        <w:tc>
          <w:tcPr>
            <w:tcW w:w="1500" w:type="dxa"/>
            <w:vAlign w:val="bottom"/>
          </w:tcPr>
          <w:p>
            <w:pPr>
              <w:jc w:val="right"/>
              <w:ind w:right="39"/>
              <w:spacing w:after="0"/>
              <w:rPr>
                <w:sz w:val="20"/>
                <w:szCs w:val="20"/>
                <w:color w:val="auto"/>
              </w:rPr>
            </w:pPr>
            <w:r>
              <w:rPr>
                <w:rFonts w:ascii="Calibri" w:cs="Calibri" w:eastAsia="Calibri" w:hAnsi="Calibri"/>
                <w:sz w:val="16"/>
                <w:szCs w:val="16"/>
                <w:color w:val="auto"/>
              </w:rPr>
              <w:t>8,169</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2,143</w:t>
            </w:r>
          </w:p>
        </w:tc>
      </w:tr>
      <w:tr>
        <w:trPr>
          <w:trHeight w:val="206"/>
        </w:trPr>
        <w:tc>
          <w:tcPr>
            <w:tcW w:w="3640" w:type="dxa"/>
            <w:vAlign w:val="bottom"/>
          </w:tcPr>
          <w:p>
            <w:pPr>
              <w:ind w:left="260"/>
              <w:spacing w:after="0"/>
              <w:rPr>
                <w:sz w:val="20"/>
                <w:szCs w:val="20"/>
                <w:color w:val="auto"/>
              </w:rPr>
            </w:pPr>
            <w:r>
              <w:rPr>
                <w:rFonts w:ascii="Calibri" w:cs="Calibri" w:eastAsia="Calibri" w:hAnsi="Calibri"/>
                <w:sz w:val="16"/>
                <w:szCs w:val="16"/>
                <w:color w:val="auto"/>
              </w:rPr>
              <w:t>Warrants</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460" w:type="dxa"/>
            <w:vAlign w:val="bottom"/>
          </w:tcPr>
          <w:p>
            <w:pPr>
              <w:jc w:val="right"/>
              <w:ind w:right="879"/>
              <w:spacing w:after="0"/>
              <w:rPr>
                <w:sz w:val="20"/>
                <w:szCs w:val="20"/>
                <w:color w:val="auto"/>
              </w:rPr>
            </w:pPr>
            <w:r>
              <w:rPr>
                <w:rFonts w:ascii="Calibri" w:cs="Calibri" w:eastAsia="Calibri" w:hAnsi="Calibri"/>
                <w:sz w:val="16"/>
                <w:szCs w:val="16"/>
                <w:color w:val="auto"/>
              </w:rPr>
              <w:t>—</w:t>
            </w:r>
          </w:p>
        </w:tc>
        <w:tc>
          <w:tcPr>
            <w:tcW w:w="1500" w:type="dxa"/>
            <w:vAlign w:val="bottom"/>
          </w:tcPr>
          <w:p>
            <w:pPr>
              <w:jc w:val="right"/>
              <w:ind w:right="39"/>
              <w:spacing w:after="0"/>
              <w:rPr>
                <w:sz w:val="20"/>
                <w:szCs w:val="20"/>
                <w:color w:val="auto"/>
              </w:rPr>
            </w:pPr>
            <w:r>
              <w:rPr>
                <w:rFonts w:ascii="Calibri" w:cs="Calibri" w:eastAsia="Calibri" w:hAnsi="Calibri"/>
                <w:sz w:val="16"/>
                <w:szCs w:val="16"/>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2"/>
        </w:trPr>
        <w:tc>
          <w:tcPr>
            <w:tcW w:w="364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18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8,893</w:t>
            </w:r>
          </w:p>
        </w:tc>
        <w:tc>
          <w:tcPr>
            <w:tcW w:w="2460" w:type="dxa"/>
            <w:vAlign w:val="bottom"/>
            <w:tcBorders>
              <w:bottom w:val="single" w:sz="8" w:color="auto"/>
            </w:tcBorders>
          </w:tcPr>
          <w:p>
            <w:pPr>
              <w:jc w:val="right"/>
              <w:ind w:right="879"/>
              <w:spacing w:after="0" w:line="192" w:lineRule="exact"/>
              <w:rPr>
                <w:sz w:val="20"/>
                <w:szCs w:val="20"/>
                <w:color w:val="auto"/>
              </w:rPr>
            </w:pPr>
            <w:r>
              <w:rPr>
                <w:rFonts w:ascii="Calibri" w:cs="Calibri" w:eastAsia="Calibri" w:hAnsi="Calibri"/>
                <w:sz w:val="16"/>
                <w:szCs w:val="16"/>
                <w:color w:val="auto"/>
              </w:rPr>
              <w:t>1,815</w:t>
            </w:r>
          </w:p>
        </w:tc>
        <w:tc>
          <w:tcPr>
            <w:tcW w:w="150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11,511</w:t>
            </w:r>
          </w:p>
        </w:tc>
        <w:tc>
          <w:tcPr>
            <w:tcW w:w="15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6,362</w:t>
            </w:r>
          </w:p>
        </w:tc>
      </w:tr>
    </w:tbl>
    <w:p>
      <w:pPr>
        <w:spacing w:after="0" w:line="81" w:lineRule="exact"/>
        <w:rPr>
          <w:sz w:val="20"/>
          <w:szCs w:val="20"/>
          <w:color w:val="auto"/>
        </w:rPr>
      </w:pPr>
    </w:p>
    <w:p>
      <w:pPr>
        <w:jc w:val="both"/>
        <w:ind w:left="280" w:right="20" w:firstLine="8"/>
        <w:spacing w:after="0" w:line="230" w:lineRule="auto"/>
        <w:tabs>
          <w:tab w:leader="none" w:pos="430" w:val="left"/>
        </w:tabs>
        <w:numPr>
          <w:ilvl w:val="0"/>
          <w:numId w:val="7"/>
        </w:numPr>
        <w:rPr>
          <w:rFonts w:ascii="Calibri" w:cs="Calibri" w:eastAsia="Calibri" w:hAnsi="Calibri"/>
          <w:sz w:val="19"/>
          <w:szCs w:val="19"/>
          <w:i w:val="1"/>
          <w:iCs w:val="1"/>
          <w:color w:val="auto"/>
          <w:vertAlign w:val="superscript"/>
        </w:rPr>
      </w:pPr>
      <w:r>
        <w:rPr>
          <w:rFonts w:ascii="Calibri" w:cs="Calibri" w:eastAsia="Calibri" w:hAnsi="Calibri"/>
          <w:sz w:val="15"/>
          <w:szCs w:val="15"/>
          <w:i w:val="1"/>
          <w:iCs w:val="1"/>
          <w:color w:val="auto"/>
        </w:rPr>
        <w:t>For the three months ended December 31, 2023 includes $833 presented in the statement of loss and comprehensive loss as a part of “General and administratve costs” and $196 presented in the statement of loss and comprehensive loss as a part of “Research”. For the nine months ended December 31, 2023, includes $2,495 presented in the statement of loss and comprehensive loss as a part of “General and administratve costs” and $847 presented in the statement of loss and comprehensive loss as a part of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23 of 32</w:t>
      </w:r>
    </w:p>
    <w:p>
      <w:pPr>
        <w:sectPr>
          <w:pgSz w:w="11900" w:h="16838" w:orient="portrait"/>
          <w:cols w:equalWidth="0" w:num="1">
            <w:col w:w="11260"/>
          </w:cols>
          <w:pgMar w:left="320" w:top="198" w:right="319" w:bottom="1440" w:gutter="0" w:footer="0" w:header="0"/>
        </w:sectPr>
      </w:pPr>
    </w:p>
    <w:bookmarkStart w:id="26" w:name="page27"/>
    <w:bookmarkEnd w:id="26"/>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4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gridSpan w:val="2"/>
          </w:tcPr>
          <w:p>
            <w:pPr>
              <w:spacing w:after="0"/>
              <w:rPr>
                <w:sz w:val="20"/>
                <w:szCs w:val="20"/>
                <w:color w:val="auto"/>
              </w:rPr>
            </w:pPr>
            <w:r>
              <w:rPr>
                <w:rFonts w:ascii="Calibri" w:cs="Calibri" w:eastAsia="Calibri" w:hAnsi="Calibri"/>
                <w:sz w:val="16"/>
                <w:szCs w:val="16"/>
                <w:b w:val="1"/>
                <w:bCs w:val="1"/>
                <w:color w:val="2D5F91"/>
              </w:rPr>
              <w:t>10.  RESEARCH EXPENSES</w:t>
            </w:r>
          </w:p>
        </w:tc>
        <w:tc>
          <w:tcPr>
            <w:tcW w:w="20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509"/>
        </w:trPr>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Three-months ended</w:t>
            </w:r>
          </w:p>
        </w:tc>
        <w:tc>
          <w:tcPr>
            <w:tcW w:w="1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Nine-months ended</w:t>
            </w:r>
          </w:p>
        </w:tc>
      </w:tr>
      <w:tr>
        <w:trPr>
          <w:trHeight w:val="279"/>
        </w:trPr>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December 31,</w:t>
            </w:r>
          </w:p>
        </w:tc>
        <w:tc>
          <w:tcPr>
            <w:tcW w:w="1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December 31,</w:t>
            </w:r>
          </w:p>
        </w:tc>
      </w:tr>
      <w:tr>
        <w:trPr>
          <w:trHeight w:val="279"/>
        </w:trPr>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2023</w:t>
            </w: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2022</w:t>
            </w:r>
          </w:p>
        </w:tc>
        <w:tc>
          <w:tcPr>
            <w:tcW w:w="12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2023</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2022</w:t>
            </w:r>
          </w:p>
        </w:tc>
      </w:tr>
      <w:tr>
        <w:trPr>
          <w:trHeight w:val="279"/>
        </w:trPr>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w:t>
            </w: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22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185"/>
        </w:trPr>
        <w:tc>
          <w:tcPr>
            <w:tcW w:w="220" w:type="dxa"/>
            <w:vAlign w:val="bottom"/>
          </w:tcPr>
          <w:p>
            <w:pPr>
              <w:spacing w:after="0"/>
              <w:rPr>
                <w:sz w:val="16"/>
                <w:szCs w:val="16"/>
                <w:color w:val="auto"/>
              </w:rPr>
            </w:pPr>
          </w:p>
        </w:tc>
        <w:tc>
          <w:tcPr>
            <w:tcW w:w="4080" w:type="dxa"/>
            <w:vAlign w:val="bottom"/>
          </w:tcPr>
          <w:p>
            <w:pPr>
              <w:ind w:left="20"/>
              <w:spacing w:after="0" w:line="185" w:lineRule="exact"/>
              <w:rPr>
                <w:sz w:val="20"/>
                <w:szCs w:val="20"/>
                <w:color w:val="auto"/>
              </w:rPr>
            </w:pPr>
            <w:r>
              <w:rPr>
                <w:rFonts w:ascii="Calibri" w:cs="Calibri" w:eastAsia="Calibri" w:hAnsi="Calibri"/>
                <w:sz w:val="16"/>
                <w:szCs w:val="16"/>
                <w:color w:val="auto"/>
              </w:rPr>
              <w:t>Advancement of development programs</w:t>
            </w:r>
          </w:p>
        </w:tc>
        <w:tc>
          <w:tcPr>
            <w:tcW w:w="2000" w:type="dxa"/>
            <w:vAlign w:val="bottom"/>
          </w:tcPr>
          <w:p>
            <w:pPr>
              <w:jc w:val="right"/>
              <w:ind w:right="19"/>
              <w:spacing w:after="0" w:line="185" w:lineRule="exact"/>
              <w:rPr>
                <w:sz w:val="20"/>
                <w:szCs w:val="20"/>
                <w:color w:val="auto"/>
              </w:rPr>
            </w:pPr>
            <w:r>
              <w:rPr>
                <w:rFonts w:ascii="Calibri" w:cs="Calibri" w:eastAsia="Calibri" w:hAnsi="Calibri"/>
                <w:sz w:val="16"/>
                <w:szCs w:val="16"/>
                <w:b w:val="1"/>
                <w:bCs w:val="1"/>
                <w:color w:val="auto"/>
              </w:rPr>
              <w:t>5,232</w:t>
            </w:r>
          </w:p>
        </w:tc>
        <w:tc>
          <w:tcPr>
            <w:tcW w:w="2160" w:type="dxa"/>
            <w:vAlign w:val="bottom"/>
          </w:tcPr>
          <w:p>
            <w:pPr>
              <w:jc w:val="right"/>
              <w:ind w:right="539"/>
              <w:spacing w:after="0" w:line="185" w:lineRule="exact"/>
              <w:rPr>
                <w:sz w:val="20"/>
                <w:szCs w:val="20"/>
                <w:color w:val="auto"/>
              </w:rPr>
            </w:pPr>
            <w:r>
              <w:rPr>
                <w:rFonts w:ascii="Calibri" w:cs="Calibri" w:eastAsia="Calibri" w:hAnsi="Calibri"/>
                <w:sz w:val="16"/>
                <w:szCs w:val="16"/>
                <w:color w:val="auto"/>
              </w:rPr>
              <w:t>3,398</w:t>
            </w:r>
          </w:p>
        </w:tc>
        <w:tc>
          <w:tcPr>
            <w:tcW w:w="1280" w:type="dxa"/>
            <w:vAlign w:val="bottom"/>
          </w:tcPr>
          <w:p>
            <w:pPr>
              <w:jc w:val="right"/>
              <w:ind w:right="59"/>
              <w:spacing w:after="0" w:line="185" w:lineRule="exact"/>
              <w:rPr>
                <w:sz w:val="20"/>
                <w:szCs w:val="20"/>
                <w:color w:val="auto"/>
              </w:rPr>
            </w:pPr>
            <w:r>
              <w:rPr>
                <w:rFonts w:ascii="Calibri" w:cs="Calibri" w:eastAsia="Calibri" w:hAnsi="Calibri"/>
                <w:sz w:val="16"/>
                <w:szCs w:val="16"/>
                <w:b w:val="1"/>
                <w:bCs w:val="1"/>
                <w:color w:val="auto"/>
              </w:rPr>
              <w:t>14,590</w:t>
            </w:r>
          </w:p>
        </w:tc>
        <w:tc>
          <w:tcPr>
            <w:tcW w:w="1500" w:type="dxa"/>
            <w:vAlign w:val="bottom"/>
          </w:tcPr>
          <w:p>
            <w:pPr>
              <w:jc w:val="right"/>
              <w:spacing w:after="0" w:line="185" w:lineRule="exact"/>
              <w:rPr>
                <w:sz w:val="20"/>
                <w:szCs w:val="20"/>
                <w:color w:val="auto"/>
              </w:rPr>
            </w:pPr>
            <w:r>
              <w:rPr>
                <w:rFonts w:ascii="Calibri" w:cs="Calibri" w:eastAsia="Calibri" w:hAnsi="Calibri"/>
                <w:sz w:val="16"/>
                <w:szCs w:val="16"/>
                <w:color w:val="auto"/>
              </w:rPr>
              <w:t>9,390</w:t>
            </w:r>
          </w:p>
        </w:tc>
      </w:tr>
      <w:tr>
        <w:trPr>
          <w:trHeight w:val="198"/>
        </w:trPr>
        <w:tc>
          <w:tcPr>
            <w:tcW w:w="22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Calibri" w:cs="Calibri" w:eastAsia="Calibri" w:hAnsi="Calibri"/>
                <w:sz w:val="16"/>
                <w:szCs w:val="16"/>
                <w:color w:val="auto"/>
              </w:rPr>
              <w:t>Payroll and benefts</w:t>
            </w:r>
          </w:p>
        </w:tc>
        <w:tc>
          <w:tcPr>
            <w:tcW w:w="20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1,794</w:t>
            </w:r>
          </w:p>
        </w:tc>
        <w:tc>
          <w:tcPr>
            <w:tcW w:w="2160" w:type="dxa"/>
            <w:vAlign w:val="bottom"/>
          </w:tcPr>
          <w:p>
            <w:pPr>
              <w:jc w:val="right"/>
              <w:ind w:right="539"/>
              <w:spacing w:after="0"/>
              <w:rPr>
                <w:sz w:val="20"/>
                <w:szCs w:val="20"/>
                <w:color w:val="auto"/>
              </w:rPr>
            </w:pPr>
            <w:r>
              <w:rPr>
                <w:rFonts w:ascii="Calibri" w:cs="Calibri" w:eastAsia="Calibri" w:hAnsi="Calibri"/>
                <w:sz w:val="16"/>
                <w:szCs w:val="16"/>
                <w:color w:val="auto"/>
              </w:rPr>
              <w:t>2,163</w:t>
            </w:r>
          </w:p>
        </w:tc>
        <w:tc>
          <w:tcPr>
            <w:tcW w:w="128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5,003</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6,279</w:t>
            </w:r>
          </w:p>
        </w:tc>
      </w:tr>
      <w:tr>
        <w:trPr>
          <w:trHeight w:val="206"/>
        </w:trPr>
        <w:tc>
          <w:tcPr>
            <w:tcW w:w="22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Calibri" w:cs="Calibri" w:eastAsia="Calibri" w:hAnsi="Calibri"/>
                <w:sz w:val="16"/>
                <w:szCs w:val="16"/>
                <w:color w:val="auto"/>
              </w:rPr>
              <w:t>Lab and administraton</w:t>
            </w:r>
          </w:p>
        </w:tc>
        <w:tc>
          <w:tcPr>
            <w:tcW w:w="20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373</w:t>
            </w:r>
          </w:p>
        </w:tc>
        <w:tc>
          <w:tcPr>
            <w:tcW w:w="2160" w:type="dxa"/>
            <w:vAlign w:val="bottom"/>
          </w:tcPr>
          <w:p>
            <w:pPr>
              <w:jc w:val="right"/>
              <w:ind w:right="539"/>
              <w:spacing w:after="0"/>
              <w:rPr>
                <w:sz w:val="20"/>
                <w:szCs w:val="20"/>
                <w:color w:val="auto"/>
              </w:rPr>
            </w:pPr>
            <w:r>
              <w:rPr>
                <w:rFonts w:ascii="Calibri" w:cs="Calibri" w:eastAsia="Calibri" w:hAnsi="Calibri"/>
                <w:sz w:val="16"/>
                <w:szCs w:val="16"/>
                <w:color w:val="auto"/>
              </w:rPr>
              <w:t>279</w:t>
            </w:r>
          </w:p>
        </w:tc>
        <w:tc>
          <w:tcPr>
            <w:tcW w:w="128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778</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849</w:t>
            </w:r>
          </w:p>
        </w:tc>
      </w:tr>
      <w:tr>
        <w:trPr>
          <w:trHeight w:val="206"/>
        </w:trPr>
        <w:tc>
          <w:tcPr>
            <w:tcW w:w="22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20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40</w:t>
            </w:r>
          </w:p>
        </w:tc>
        <w:tc>
          <w:tcPr>
            <w:tcW w:w="2160" w:type="dxa"/>
            <w:vAlign w:val="bottom"/>
          </w:tcPr>
          <w:p>
            <w:pPr>
              <w:jc w:val="right"/>
              <w:ind w:right="539"/>
              <w:spacing w:after="0"/>
              <w:rPr>
                <w:sz w:val="20"/>
                <w:szCs w:val="20"/>
                <w:color w:val="auto"/>
              </w:rPr>
            </w:pPr>
            <w:r>
              <w:rPr>
                <w:rFonts w:ascii="Calibri" w:cs="Calibri" w:eastAsia="Calibri" w:hAnsi="Calibri"/>
                <w:sz w:val="16"/>
                <w:szCs w:val="16"/>
                <w:color w:val="auto"/>
              </w:rPr>
              <w:t>416</w:t>
            </w:r>
          </w:p>
        </w:tc>
        <w:tc>
          <w:tcPr>
            <w:tcW w:w="128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148</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927</w:t>
            </w:r>
          </w:p>
        </w:tc>
      </w:tr>
      <w:tr>
        <w:trPr>
          <w:trHeight w:val="21"/>
        </w:trPr>
        <w:tc>
          <w:tcPr>
            <w:tcW w:w="2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2"/>
        </w:trPr>
        <w:tc>
          <w:tcPr>
            <w:tcW w:w="220" w:type="dxa"/>
            <w:vAlign w:val="bottom"/>
          </w:tcPr>
          <w:p>
            <w:pPr>
              <w:spacing w:after="0"/>
              <w:rPr>
                <w:sz w:val="17"/>
                <w:szCs w:val="17"/>
                <w:color w:val="auto"/>
              </w:rPr>
            </w:pPr>
          </w:p>
        </w:tc>
        <w:tc>
          <w:tcPr>
            <w:tcW w:w="4080" w:type="dxa"/>
            <w:vAlign w:val="bottom"/>
          </w:tcPr>
          <w:p>
            <w:pPr>
              <w:ind w:left="80"/>
              <w:spacing w:after="0" w:line="193" w:lineRule="exact"/>
              <w:rPr>
                <w:sz w:val="20"/>
                <w:szCs w:val="20"/>
                <w:color w:val="auto"/>
              </w:rPr>
            </w:pPr>
            <w:r>
              <w:rPr>
                <w:rFonts w:ascii="Calibri" w:cs="Calibri" w:eastAsia="Calibri" w:hAnsi="Calibri"/>
                <w:sz w:val="16"/>
                <w:szCs w:val="16"/>
                <w:b w:val="1"/>
                <w:bCs w:val="1"/>
                <w:color w:val="auto"/>
              </w:rPr>
              <w:t>Total</w:t>
            </w:r>
          </w:p>
        </w:tc>
        <w:tc>
          <w:tcPr>
            <w:tcW w:w="200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7,439</w:t>
            </w:r>
          </w:p>
        </w:tc>
        <w:tc>
          <w:tcPr>
            <w:tcW w:w="2160" w:type="dxa"/>
            <w:vAlign w:val="bottom"/>
          </w:tcPr>
          <w:p>
            <w:pPr>
              <w:jc w:val="right"/>
              <w:ind w:right="599"/>
              <w:spacing w:after="0"/>
              <w:rPr>
                <w:sz w:val="20"/>
                <w:szCs w:val="20"/>
                <w:color w:val="auto"/>
              </w:rPr>
            </w:pPr>
            <w:r>
              <w:rPr>
                <w:rFonts w:ascii="Calibri" w:cs="Calibri" w:eastAsia="Calibri" w:hAnsi="Calibri"/>
                <w:sz w:val="16"/>
                <w:szCs w:val="16"/>
                <w:color w:val="auto"/>
              </w:rPr>
              <w:t>6,256</w:t>
            </w:r>
          </w:p>
        </w:tc>
        <w:tc>
          <w:tcPr>
            <w:tcW w:w="12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20,519</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17,445</w:t>
            </w:r>
          </w:p>
        </w:tc>
      </w:tr>
      <w:tr>
        <w:trPr>
          <w:trHeight w:val="57"/>
        </w:trPr>
        <w:tc>
          <w:tcPr>
            <w:tcW w:w="22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b w:val="1"/>
          <w:bCs w:val="1"/>
          <w:color w:val="auto"/>
        </w:rPr>
        <w:t>Page 24 of 32</w:t>
      </w:r>
    </w:p>
    <w:p>
      <w:pPr>
        <w:sectPr>
          <w:pgSz w:w="11900" w:h="16838" w:orient="portrait"/>
          <w:cols w:equalWidth="0" w:num="1">
            <w:col w:w="11240"/>
          </w:cols>
          <w:pgMar w:left="320" w:top="198" w:right="339" w:bottom="1440" w:gutter="0" w:footer="0" w:header="0"/>
        </w:sectPr>
      </w:pPr>
    </w:p>
    <w:bookmarkStart w:id="27" w:name="page28"/>
    <w:bookmarkEnd w:id="27"/>
    <w:p>
      <w:pPr>
        <w:ind w:left="60"/>
        <w:spacing w:after="0"/>
        <w:rPr>
          <w:sz w:val="20"/>
          <w:szCs w:val="20"/>
          <w:color w:val="auto"/>
        </w:rPr>
      </w:pPr>
      <w:r>
        <w:rPr>
          <w:rFonts w:ascii="Calibri" w:cs="Calibri" w:eastAsia="Calibri" w:hAnsi="Calibri"/>
          <w:sz w:val="19"/>
          <w:szCs w:val="19"/>
          <w:b w:val="1"/>
          <w:bCs w:val="1"/>
          <w:color w:val="auto"/>
        </w:rPr>
        <w:t>CYBIN INC.</w:t>
      </w:r>
    </w:p>
    <w:p>
      <w:pPr>
        <w:spacing w:after="0" w:line="35"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35"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auto"/>
        </w:rPr>
        <w:t>December 31, 2023</w:t>
      </w:r>
    </w:p>
    <w:p>
      <w:pPr>
        <w:spacing w:after="0" w:line="27" w:lineRule="exact"/>
        <w:rPr>
          <w:sz w:val="20"/>
          <w:szCs w:val="20"/>
          <w:color w:val="auto"/>
        </w:rPr>
      </w:pPr>
    </w:p>
    <w:p>
      <w:pPr>
        <w:ind w:left="60" w:right="60"/>
        <w:spacing w:after="0" w:line="26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37"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14629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gridSpan w:val="2"/>
          </w:tcPr>
          <w:p>
            <w:pPr>
              <w:spacing w:after="0"/>
              <w:rPr>
                <w:sz w:val="20"/>
                <w:szCs w:val="20"/>
                <w:color w:val="auto"/>
              </w:rPr>
            </w:pPr>
            <w:r>
              <w:rPr>
                <w:rFonts w:ascii="Calibri" w:cs="Calibri" w:eastAsia="Calibri" w:hAnsi="Calibri"/>
                <w:sz w:val="16"/>
                <w:szCs w:val="16"/>
                <w:b w:val="1"/>
                <w:bCs w:val="1"/>
                <w:color w:val="2D5F91"/>
              </w:rPr>
              <w:t>11.  GENERAL AND ADMINISTRATIVE EXPENSES</w:t>
            </w:r>
          </w:p>
        </w:tc>
        <w:tc>
          <w:tcPr>
            <w:tcW w:w="1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50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Three-months ended</w:t>
            </w:r>
          </w:p>
        </w:tc>
        <w:tc>
          <w:tcPr>
            <w:tcW w:w="1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Nine-months ended</w:t>
            </w: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December 31,</w:t>
            </w:r>
          </w:p>
        </w:tc>
        <w:tc>
          <w:tcPr>
            <w:tcW w:w="1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December 31,</w:t>
            </w: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2023</w:t>
            </w: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2022</w:t>
            </w:r>
          </w:p>
        </w:tc>
        <w:tc>
          <w:tcPr>
            <w:tcW w:w="12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2023</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2022</w:t>
            </w: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w:t>
            </w: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w:t>
            </w:r>
          </w:p>
        </w:tc>
        <w:tc>
          <w:tcPr>
            <w:tcW w:w="12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2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185"/>
        </w:trPr>
        <w:tc>
          <w:tcPr>
            <w:tcW w:w="220" w:type="dxa"/>
            <w:vAlign w:val="bottom"/>
          </w:tcPr>
          <w:p>
            <w:pPr>
              <w:spacing w:after="0"/>
              <w:rPr>
                <w:sz w:val="16"/>
                <w:szCs w:val="16"/>
                <w:color w:val="auto"/>
              </w:rPr>
            </w:pPr>
          </w:p>
        </w:tc>
        <w:tc>
          <w:tcPr>
            <w:tcW w:w="4200" w:type="dxa"/>
            <w:vAlign w:val="bottom"/>
          </w:tcPr>
          <w:p>
            <w:pPr>
              <w:ind w:left="20"/>
              <w:spacing w:after="0" w:line="185" w:lineRule="exact"/>
              <w:rPr>
                <w:sz w:val="20"/>
                <w:szCs w:val="20"/>
                <w:color w:val="auto"/>
              </w:rPr>
            </w:pPr>
            <w:r>
              <w:rPr>
                <w:rFonts w:ascii="Calibri" w:cs="Calibri" w:eastAsia="Calibri" w:hAnsi="Calibri"/>
                <w:sz w:val="16"/>
                <w:szCs w:val="16"/>
                <w:color w:val="auto"/>
              </w:rPr>
              <w:t>Capital market</w:t>
            </w:r>
          </w:p>
        </w:tc>
        <w:tc>
          <w:tcPr>
            <w:tcW w:w="1800" w:type="dxa"/>
            <w:vAlign w:val="bottom"/>
          </w:tcPr>
          <w:p>
            <w:pPr>
              <w:jc w:val="right"/>
              <w:ind w:right="39"/>
              <w:spacing w:after="0" w:line="185" w:lineRule="exact"/>
              <w:rPr>
                <w:sz w:val="20"/>
                <w:szCs w:val="20"/>
                <w:color w:val="auto"/>
              </w:rPr>
            </w:pPr>
            <w:r>
              <w:rPr>
                <w:rFonts w:ascii="Calibri" w:cs="Calibri" w:eastAsia="Calibri" w:hAnsi="Calibri"/>
                <w:sz w:val="16"/>
                <w:szCs w:val="16"/>
                <w:b w:val="1"/>
                <w:bCs w:val="1"/>
                <w:color w:val="auto"/>
              </w:rPr>
              <w:t>3,377</w:t>
            </w:r>
          </w:p>
        </w:tc>
        <w:tc>
          <w:tcPr>
            <w:tcW w:w="2160" w:type="dxa"/>
            <w:vAlign w:val="bottom"/>
          </w:tcPr>
          <w:p>
            <w:pPr>
              <w:jc w:val="right"/>
              <w:ind w:right="559"/>
              <w:spacing w:after="0" w:line="185" w:lineRule="exact"/>
              <w:rPr>
                <w:sz w:val="20"/>
                <w:szCs w:val="20"/>
                <w:color w:val="auto"/>
              </w:rPr>
            </w:pPr>
            <w:r>
              <w:rPr>
                <w:rFonts w:ascii="Calibri" w:cs="Calibri" w:eastAsia="Calibri" w:hAnsi="Calibri"/>
                <w:sz w:val="16"/>
                <w:szCs w:val="16"/>
                <w:color w:val="auto"/>
              </w:rPr>
              <w:t>1,788</w:t>
            </w:r>
          </w:p>
        </w:tc>
        <w:tc>
          <w:tcPr>
            <w:tcW w:w="1260" w:type="dxa"/>
            <w:vAlign w:val="bottom"/>
          </w:tcPr>
          <w:p>
            <w:pPr>
              <w:jc w:val="right"/>
              <w:ind w:right="59"/>
              <w:spacing w:after="0" w:line="185" w:lineRule="exact"/>
              <w:rPr>
                <w:sz w:val="20"/>
                <w:szCs w:val="20"/>
                <w:color w:val="auto"/>
              </w:rPr>
            </w:pPr>
            <w:r>
              <w:rPr>
                <w:rFonts w:ascii="Calibri" w:cs="Calibri" w:eastAsia="Calibri" w:hAnsi="Calibri"/>
                <w:sz w:val="16"/>
                <w:szCs w:val="16"/>
                <w:b w:val="1"/>
                <w:bCs w:val="1"/>
                <w:color w:val="auto"/>
              </w:rPr>
              <w:t>7,600</w:t>
            </w:r>
          </w:p>
        </w:tc>
        <w:tc>
          <w:tcPr>
            <w:tcW w:w="1520" w:type="dxa"/>
            <w:vAlign w:val="bottom"/>
          </w:tcPr>
          <w:p>
            <w:pPr>
              <w:jc w:val="right"/>
              <w:spacing w:after="0" w:line="185" w:lineRule="exact"/>
              <w:rPr>
                <w:sz w:val="20"/>
                <w:szCs w:val="20"/>
                <w:color w:val="auto"/>
              </w:rPr>
            </w:pPr>
            <w:r>
              <w:rPr>
                <w:rFonts w:ascii="Calibri" w:cs="Calibri" w:eastAsia="Calibri" w:hAnsi="Calibri"/>
                <w:sz w:val="16"/>
                <w:szCs w:val="16"/>
                <w:color w:val="auto"/>
              </w:rPr>
              <w:t>4,052</w:t>
            </w:r>
          </w:p>
        </w:tc>
      </w:tr>
      <w:tr>
        <w:trPr>
          <w:trHeight w:val="198"/>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Payroll, consultng and benefts</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1,597</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1,419</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4,388</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4,664</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Ofce and administraton</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883</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896</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2,102</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3,046</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1,574</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257</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3,080</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1,908</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Business development</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203</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71</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692</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609</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Investor relatons</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1,934</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290</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2,375</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713</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Listng fees</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66</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72</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218</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304</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Marketng media</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23</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66</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50</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869</w:t>
            </w:r>
          </w:p>
        </w:tc>
      </w:tr>
      <w:tr>
        <w:trPr>
          <w:trHeight w:val="21"/>
        </w:trPr>
        <w:tc>
          <w:tcPr>
            <w:tcW w:w="2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2"/>
        </w:trPr>
        <w:tc>
          <w:tcPr>
            <w:tcW w:w="220" w:type="dxa"/>
            <w:vAlign w:val="bottom"/>
          </w:tcPr>
          <w:p>
            <w:pPr>
              <w:spacing w:after="0"/>
              <w:rPr>
                <w:sz w:val="17"/>
                <w:szCs w:val="17"/>
                <w:color w:val="auto"/>
              </w:rPr>
            </w:pPr>
          </w:p>
        </w:tc>
        <w:tc>
          <w:tcPr>
            <w:tcW w:w="4200" w:type="dxa"/>
            <w:vAlign w:val="bottom"/>
          </w:tcPr>
          <w:p>
            <w:pPr>
              <w:ind w:left="80"/>
              <w:spacing w:after="0" w:line="193" w:lineRule="exact"/>
              <w:rPr>
                <w:sz w:val="20"/>
                <w:szCs w:val="20"/>
                <w:color w:val="auto"/>
              </w:rPr>
            </w:pPr>
            <w:r>
              <w:rPr>
                <w:rFonts w:ascii="Calibri" w:cs="Calibri" w:eastAsia="Calibri" w:hAnsi="Calibri"/>
                <w:sz w:val="16"/>
                <w:szCs w:val="16"/>
                <w:b w:val="1"/>
                <w:bCs w:val="1"/>
                <w:color w:val="auto"/>
              </w:rPr>
              <w:t>Total</w:t>
            </w:r>
          </w:p>
        </w:tc>
        <w:tc>
          <w:tcPr>
            <w:tcW w:w="18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9,657</w:t>
            </w:r>
          </w:p>
        </w:tc>
        <w:tc>
          <w:tcPr>
            <w:tcW w:w="2160" w:type="dxa"/>
            <w:vAlign w:val="bottom"/>
          </w:tcPr>
          <w:p>
            <w:pPr>
              <w:jc w:val="right"/>
              <w:ind w:right="599"/>
              <w:spacing w:after="0"/>
              <w:rPr>
                <w:sz w:val="20"/>
                <w:szCs w:val="20"/>
                <w:color w:val="auto"/>
              </w:rPr>
            </w:pPr>
            <w:r>
              <w:rPr>
                <w:rFonts w:ascii="Calibri" w:cs="Calibri" w:eastAsia="Calibri" w:hAnsi="Calibri"/>
                <w:sz w:val="16"/>
                <w:szCs w:val="16"/>
                <w:color w:val="auto"/>
              </w:rPr>
              <w:t>4,859</w:t>
            </w:r>
          </w:p>
        </w:tc>
        <w:tc>
          <w:tcPr>
            <w:tcW w:w="12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20,505</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16,165</w:t>
            </w:r>
          </w:p>
        </w:tc>
      </w:tr>
      <w:tr>
        <w:trPr>
          <w:trHeight w:val="57"/>
        </w:trPr>
        <w:tc>
          <w:tcPr>
            <w:tcW w:w="2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Calibri" w:cs="Calibri" w:eastAsia="Calibri" w:hAnsi="Calibri"/>
          <w:sz w:val="16"/>
          <w:szCs w:val="16"/>
          <w:b w:val="1"/>
          <w:bCs w:val="1"/>
          <w:color w:val="auto"/>
        </w:rPr>
        <w:t>Page 25 of 32</w:t>
      </w:r>
    </w:p>
    <w:p>
      <w:pPr>
        <w:sectPr>
          <w:pgSz w:w="11900" w:h="16838" w:orient="portrait"/>
          <w:cols w:equalWidth="0" w:num="1">
            <w:col w:w="11160"/>
          </w:cols>
          <w:pgMar w:left="320" w:top="234" w:right="419" w:bottom="1440" w:gutter="0" w:footer="0" w:header="0"/>
        </w:sectPr>
      </w:pPr>
    </w:p>
    <w:bookmarkStart w:id="28" w:name="page29"/>
    <w:bookmarkEnd w:id="28"/>
    <w:p>
      <w:pPr>
        <w:ind w:left="60"/>
        <w:spacing w:after="0"/>
        <w:rPr>
          <w:sz w:val="20"/>
          <w:szCs w:val="20"/>
          <w:color w:val="auto"/>
        </w:rPr>
      </w:pPr>
      <w:r>
        <w:rPr>
          <w:rFonts w:ascii="Calibri" w:cs="Calibri" w:eastAsia="Calibri" w:hAnsi="Calibri"/>
          <w:sz w:val="19"/>
          <w:szCs w:val="19"/>
          <w:b w:val="1"/>
          <w:bCs w:val="1"/>
          <w:color w:val="auto"/>
        </w:rPr>
        <w:t>CYBIN INC.</w:t>
      </w:r>
    </w:p>
    <w:p>
      <w:pPr>
        <w:spacing w:after="0" w:line="35"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35"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auto"/>
        </w:rPr>
        <w:t>December 31, 2023</w:t>
      </w:r>
    </w:p>
    <w:p>
      <w:pPr>
        <w:spacing w:after="0" w:line="27" w:lineRule="exact"/>
        <w:rPr>
          <w:sz w:val="20"/>
          <w:szCs w:val="20"/>
          <w:color w:val="auto"/>
        </w:rPr>
      </w:pPr>
    </w:p>
    <w:p>
      <w:pPr>
        <w:ind w:left="60" w:right="160"/>
        <w:spacing w:after="0" w:line="26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37"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14629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12.</w:t>
      </w:r>
      <w:r>
        <w:rPr>
          <w:sz w:val="20"/>
          <w:szCs w:val="20"/>
          <w:color w:val="auto"/>
        </w:rPr>
        <w:tab/>
      </w:r>
      <w:r>
        <w:rPr>
          <w:rFonts w:ascii="Calibri" w:cs="Calibri" w:eastAsia="Calibri" w:hAnsi="Calibri"/>
          <w:sz w:val="15"/>
          <w:szCs w:val="15"/>
          <w:b w:val="1"/>
          <w:bCs w:val="1"/>
          <w:color w:val="2D5F91"/>
        </w:rPr>
        <w:t>CONTRACTS, COMMITMENTS AND CONTINGENCIES</w:t>
      </w:r>
    </w:p>
    <w:p>
      <w:pPr>
        <w:spacing w:after="0" w:line="195" w:lineRule="exact"/>
        <w:rPr>
          <w:sz w:val="20"/>
          <w:szCs w:val="20"/>
          <w:color w:val="auto"/>
        </w:rPr>
      </w:pPr>
    </w:p>
    <w:p>
      <w:pPr>
        <w:jc w:val="both"/>
        <w:ind w:left="280"/>
        <w:spacing w:after="0" w:line="277" w:lineRule="auto"/>
        <w:rPr>
          <w:sz w:val="20"/>
          <w:szCs w:val="20"/>
          <w:color w:val="auto"/>
        </w:rPr>
      </w:pPr>
      <w:r>
        <w:rPr>
          <w:rFonts w:ascii="Calibri" w:cs="Calibri" w:eastAsia="Calibri" w:hAnsi="Calibri"/>
          <w:sz w:val="16"/>
          <w:szCs w:val="16"/>
          <w:color w:val="auto"/>
        </w:rPr>
        <w:t>As at December 31, 2023, the Company had entered into agreements for various studies which may require the Company to spend up to an additonal $8,684. The Company expects to pay this amount within the 12 months ending December 31, 2024, however the tming and certainty of the payments are contngent on availability of materials and successful completon of certain milestones. The Company has the right to cancel the studies at its discreton, in which case a cancellaton fee may apply, however the Company is not liable to pay the full amount of the studies.</w:t>
      </w:r>
    </w:p>
    <w:p>
      <w:pPr>
        <w:spacing w:after="0" w:line="153" w:lineRule="exact"/>
        <w:rPr>
          <w:sz w:val="20"/>
          <w:szCs w:val="20"/>
          <w:color w:val="auto"/>
        </w:rPr>
      </w:pPr>
    </w:p>
    <w:p>
      <w:pPr>
        <w:jc w:val="both"/>
        <w:ind w:left="280" w:right="20"/>
        <w:spacing w:after="0" w:line="277" w:lineRule="auto"/>
        <w:rPr>
          <w:sz w:val="20"/>
          <w:szCs w:val="20"/>
          <w:color w:val="auto"/>
        </w:rPr>
      </w:pPr>
      <w:r>
        <w:rPr>
          <w:rFonts w:ascii="Calibri" w:cs="Calibri" w:eastAsia="Calibri" w:hAnsi="Calibri"/>
          <w:sz w:val="16"/>
          <w:szCs w:val="16"/>
          <w:color w:val="auto"/>
        </w:rPr>
        <w:t>In additon to the above, during the year ended March 31, 2022, the Company entered into an exclusive license agreement with Mindset Pharma Inc. to acquire access to a number of classes of tryptamine-based molecules to support Company’s early-stage research programs and a fully-paid, perpetual non-exclusive license to a separate class of tryptamine-based molecules. Upon the successful completon of certain milestones contemplated in the exclusive license, the Company may have to pay additonal consideraton of up to $12,844 (US$9,500). At the sole discreton of Cybin, the milestones may be paid in cash or in Common Shares, or a combinaton thereof, subject to the approval of the Cboe Canada Exchange Inc. Due to the nature of the arrangement, the tming and probability of future potental payments cannot be determined at this tme, and no accrual has been recorded. Further, there is no assurance that the aforementoned milestones will be met at all. The agreement also contemplates a sales royalty of approximately 2% for all commercialized licensed products within the scope of the agreement.</w:t>
      </w:r>
    </w:p>
    <w:p>
      <w:pPr>
        <w:spacing w:after="0" w:line="168" w:lineRule="exact"/>
        <w:rPr>
          <w:sz w:val="20"/>
          <w:szCs w:val="20"/>
          <w:color w:val="auto"/>
        </w:rPr>
      </w:pPr>
    </w:p>
    <w:p>
      <w:pPr>
        <w:jc w:val="both"/>
        <w:ind w:left="280"/>
        <w:spacing w:after="0" w:line="274" w:lineRule="auto"/>
        <w:rPr>
          <w:sz w:val="20"/>
          <w:szCs w:val="20"/>
          <w:color w:val="auto"/>
        </w:rPr>
      </w:pPr>
      <w:r>
        <w:rPr>
          <w:rFonts w:ascii="Calibri" w:cs="Calibri" w:eastAsia="Calibri" w:hAnsi="Calibri"/>
          <w:sz w:val="16"/>
          <w:szCs w:val="16"/>
          <w:color w:val="auto"/>
        </w:rPr>
        <w:t>The Company is party to certain employee and management contracts that contain severance obligatons. These contracts contain clauses requiring additonal payments to be made upon the occurrence of involuntary terminaton. As the likelihood of these events taking place is not determinable, no contngent liabilites have been recorded in the consolidated fnancial statements.</w:t>
      </w:r>
    </w:p>
    <w:p>
      <w:pPr>
        <w:spacing w:after="0" w:line="156"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In the normal course of business, the Company may be subject to legal proceedings and claims. As at December 31, 2023, there was no ongoing litgaton and therefore no contngent liabilites have been recorded.</w:t>
      </w:r>
    </w:p>
    <w:p>
      <w:pPr>
        <w:spacing w:after="0" w:line="161"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13.</w:t>
      </w:r>
      <w:r>
        <w:rPr>
          <w:sz w:val="20"/>
          <w:szCs w:val="20"/>
          <w:color w:val="auto"/>
        </w:rPr>
        <w:tab/>
      </w:r>
      <w:r>
        <w:rPr>
          <w:rFonts w:ascii="Calibri" w:cs="Calibri" w:eastAsia="Calibri" w:hAnsi="Calibri"/>
          <w:sz w:val="15"/>
          <w:szCs w:val="15"/>
          <w:b w:val="1"/>
          <w:bCs w:val="1"/>
          <w:color w:val="2D5F91"/>
        </w:rPr>
        <w:t>CAPITAL MANAGEMENT</w:t>
      </w:r>
    </w:p>
    <w:p>
      <w:pPr>
        <w:spacing w:after="0" w:line="195" w:lineRule="exact"/>
        <w:rPr>
          <w:sz w:val="20"/>
          <w:szCs w:val="20"/>
          <w:color w:val="auto"/>
        </w:rPr>
      </w:pPr>
    </w:p>
    <w:p>
      <w:pPr>
        <w:jc w:val="both"/>
        <w:ind w:left="280"/>
        <w:spacing w:after="0" w:line="297" w:lineRule="auto"/>
        <w:rPr>
          <w:sz w:val="20"/>
          <w:szCs w:val="20"/>
          <w:color w:val="auto"/>
        </w:rPr>
      </w:pPr>
      <w:r>
        <w:rPr>
          <w:rFonts w:ascii="Calibri" w:cs="Calibri" w:eastAsia="Calibri" w:hAnsi="Calibri"/>
          <w:sz w:val="15"/>
          <w:szCs w:val="15"/>
          <w:color w:val="auto"/>
        </w:rPr>
        <w:t>The Company’s objectves when managing capital are to safeguard the Company’s ability to contnue as a going concern in order to pursue business opportunites and to maintain a fexible capital structure that optmizes the costs of capital at an acceptable risk. The Company’s intentons are to (i) provide fnancial capacity and fexibility in order to preserve its ability to meet its strategic objectves and fnancial obligatons; (ii) maintain a capital structure which allows the Company to respond to changes in economic and marketplace conditons and afords the Company the ability to partcipate in new investments; (iii) optmize the use of its capital to provide an appropriate investment return to its shareholders equal with the level of risk; and (iv) maintain a fexible capital structure which optmizes the cost of capital at acceptable levels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26 of 32</w:t>
      </w:r>
    </w:p>
    <w:p>
      <w:pPr>
        <w:sectPr>
          <w:pgSz w:w="11900" w:h="16838" w:orient="portrait"/>
          <w:cols w:equalWidth="0" w:num="1">
            <w:col w:w="11260"/>
          </w:cols>
          <w:pgMar w:left="320" w:top="234" w:right="319" w:bottom="1440" w:gutter="0" w:footer="0" w:header="0"/>
        </w:sectPr>
      </w:pPr>
    </w:p>
    <w:bookmarkStart w:id="29" w:name="page30"/>
    <w:bookmarkEnd w:id="29"/>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4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280"/>
        <w:spacing w:after="0" w:line="277" w:lineRule="auto"/>
        <w:rPr>
          <w:sz w:val="20"/>
          <w:szCs w:val="20"/>
          <w:color w:val="auto"/>
        </w:rPr>
      </w:pPr>
      <w:r>
        <w:rPr>
          <w:rFonts w:ascii="Calibri" w:cs="Calibri" w:eastAsia="Calibri" w:hAnsi="Calibri"/>
          <w:sz w:val="16"/>
          <w:szCs w:val="16"/>
          <w:color w:val="auto"/>
        </w:rPr>
        <w:t>The Company’s fnancial strategy is formulated and adapted according to market conditons in order to maintain a fexible capital structure that is consistent with its objectves and the risk characteristcs of its underlying assets. The Company manages its capital structure and makes adjustments to it in light of changes in economic conditons and the risk characteristcs of its underlying assets. The Company maintains or adjusts its capital level to enable it to meet its objectves by raising capital through the issuance of securites.</w:t>
      </w:r>
    </w:p>
    <w:p>
      <w:pPr>
        <w:spacing w:after="0" w:line="163"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capital management objectves, policies and processes generally remained unchanged during the nine- month period ended December 31, 2023.</w:t>
      </w:r>
    </w:p>
    <w:p>
      <w:pPr>
        <w:spacing w:after="0" w:line="183" w:lineRule="exact"/>
        <w:rPr>
          <w:sz w:val="20"/>
          <w:szCs w:val="20"/>
          <w:color w:val="auto"/>
        </w:rPr>
      </w:pPr>
    </w:p>
    <w:p>
      <w:pPr>
        <w:jc w:val="both"/>
        <w:ind w:left="280"/>
        <w:spacing w:after="0" w:line="280" w:lineRule="auto"/>
        <w:rPr>
          <w:sz w:val="20"/>
          <w:szCs w:val="20"/>
          <w:color w:val="auto"/>
        </w:rPr>
      </w:pPr>
      <w:r>
        <w:rPr>
          <w:rFonts w:ascii="Calibri" w:cs="Calibri" w:eastAsia="Calibri" w:hAnsi="Calibri"/>
          <w:sz w:val="16"/>
          <w:szCs w:val="16"/>
          <w:color w:val="auto"/>
        </w:rPr>
        <w:t>The Company requires capital to fund existng and future operatons and meet regulatory capital requirements. The Company’s policy is to maintain adequate levels of capital at all tmes.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460" w:type="dxa"/>
            <w:vAlign w:val="bottom"/>
          </w:tcPr>
          <w:p>
            <w:pPr>
              <w:spacing w:after="0"/>
              <w:rPr>
                <w:sz w:val="20"/>
                <w:szCs w:val="20"/>
                <w:color w:val="auto"/>
              </w:rPr>
            </w:pPr>
            <w:r>
              <w:rPr>
                <w:rFonts w:ascii="Calibri" w:cs="Calibri" w:eastAsia="Calibri" w:hAnsi="Calibri"/>
                <w:sz w:val="16"/>
                <w:szCs w:val="16"/>
                <w:color w:val="auto"/>
              </w:rPr>
              <w:t>The Company’s capital structure includes the following:</w:t>
            </w:r>
          </w:p>
        </w:tc>
        <w:tc>
          <w:tcPr>
            <w:tcW w:w="36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412"/>
        </w:trPr>
        <w:tc>
          <w:tcPr>
            <w:tcW w:w="5460" w:type="dxa"/>
            <w:vAlign w:val="bottom"/>
          </w:tcPr>
          <w:p>
            <w:pPr>
              <w:ind w:left="60"/>
              <w:spacing w:after="0"/>
              <w:rPr>
                <w:sz w:val="20"/>
                <w:szCs w:val="20"/>
                <w:color w:val="auto"/>
              </w:rPr>
            </w:pPr>
            <w:r>
              <w:rPr>
                <w:rFonts w:ascii="Calibri" w:cs="Calibri" w:eastAsia="Calibri" w:hAnsi="Calibri"/>
                <w:sz w:val="16"/>
                <w:szCs w:val="16"/>
                <w:b w:val="1"/>
                <w:bCs w:val="1"/>
                <w:color w:val="auto"/>
              </w:rPr>
              <w:t>As at</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December 31, 2023</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2023</w:t>
            </w:r>
          </w:p>
        </w:tc>
      </w:tr>
      <w:tr>
        <w:trPr>
          <w:trHeight w:val="243"/>
        </w:trPr>
        <w:tc>
          <w:tcPr>
            <w:tcW w:w="5460" w:type="dxa"/>
            <w:vAlign w:val="bottom"/>
          </w:tcPr>
          <w:p>
            <w:pPr>
              <w:spacing w:after="0"/>
              <w:rPr>
                <w:sz w:val="21"/>
                <w:szCs w:val="21"/>
                <w:color w:val="auto"/>
              </w:rPr>
            </w:pPr>
          </w:p>
        </w:tc>
        <w:tc>
          <w:tcPr>
            <w:tcW w:w="360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54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185"/>
        </w:trPr>
        <w:tc>
          <w:tcPr>
            <w:tcW w:w="5460" w:type="dxa"/>
            <w:vAlign w:val="bottom"/>
          </w:tcPr>
          <w:p>
            <w:pPr>
              <w:ind w:left="60"/>
              <w:spacing w:after="0" w:line="185" w:lineRule="exact"/>
              <w:rPr>
                <w:sz w:val="20"/>
                <w:szCs w:val="20"/>
                <w:color w:val="auto"/>
              </w:rPr>
            </w:pPr>
            <w:r>
              <w:rPr>
                <w:rFonts w:ascii="Calibri" w:cs="Calibri" w:eastAsia="Calibri" w:hAnsi="Calibri"/>
                <w:sz w:val="16"/>
                <w:szCs w:val="16"/>
                <w:color w:val="auto"/>
              </w:rPr>
              <w:t>Shareholders’ equity comprised of:</w:t>
            </w:r>
          </w:p>
        </w:tc>
        <w:tc>
          <w:tcPr>
            <w:tcW w:w="36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8"/>
        </w:trPr>
        <w:tc>
          <w:tcPr>
            <w:tcW w:w="5460" w:type="dxa"/>
            <w:vAlign w:val="bottom"/>
          </w:tcPr>
          <w:p>
            <w:pPr>
              <w:ind w:left="160"/>
              <w:spacing w:after="0"/>
              <w:rPr>
                <w:sz w:val="20"/>
                <w:szCs w:val="20"/>
                <w:color w:val="auto"/>
              </w:rPr>
            </w:pPr>
            <w:r>
              <w:rPr>
                <w:rFonts w:ascii="Calibri" w:cs="Calibri" w:eastAsia="Calibri" w:hAnsi="Calibri"/>
                <w:sz w:val="16"/>
                <w:szCs w:val="16"/>
                <w:color w:val="auto"/>
              </w:rPr>
              <w:t>Share capital</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251,247</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158,162</w:t>
            </w: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Contributed surplus</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4,236</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2,102</w:t>
            </w: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Optons reserve</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38,922</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27,283</w:t>
            </w: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Warrants reserve</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32,139</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10,873</w:t>
            </w: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Accumulated other comprehensive loss</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(438)</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(2,035)</w:t>
            </w: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Defcit</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(204,885)</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(148,151)</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2"/>
        </w:trPr>
        <w:tc>
          <w:tcPr>
            <w:tcW w:w="5460" w:type="dxa"/>
            <w:vAlign w:val="bottom"/>
          </w:tcPr>
          <w:p>
            <w:pPr>
              <w:ind w:left="60"/>
              <w:spacing w:after="0" w:line="193" w:lineRule="exact"/>
              <w:rPr>
                <w:sz w:val="20"/>
                <w:szCs w:val="20"/>
                <w:color w:val="auto"/>
              </w:rPr>
            </w:pPr>
            <w:r>
              <w:rPr>
                <w:rFonts w:ascii="Calibri" w:cs="Calibri" w:eastAsia="Calibri" w:hAnsi="Calibri"/>
                <w:sz w:val="16"/>
                <w:szCs w:val="16"/>
                <w:b w:val="1"/>
                <w:bCs w:val="1"/>
                <w:color w:val="auto"/>
              </w:rPr>
              <w:t>Total</w:t>
            </w:r>
          </w:p>
        </w:tc>
        <w:tc>
          <w:tcPr>
            <w:tcW w:w="360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121,221</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48,234</w:t>
            </w:r>
          </w:p>
        </w:tc>
      </w:tr>
      <w:tr>
        <w:trPr>
          <w:trHeight w:val="57"/>
        </w:trPr>
        <w:tc>
          <w:tcPr>
            <w:tcW w:w="54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14.</w:t>
      </w:r>
      <w:r>
        <w:rPr>
          <w:sz w:val="20"/>
          <w:szCs w:val="20"/>
          <w:color w:val="auto"/>
        </w:rPr>
        <w:tab/>
      </w:r>
      <w:r>
        <w:rPr>
          <w:rFonts w:ascii="Calibri" w:cs="Calibri" w:eastAsia="Calibri" w:hAnsi="Calibri"/>
          <w:sz w:val="15"/>
          <w:szCs w:val="15"/>
          <w:b w:val="1"/>
          <w:bCs w:val="1"/>
          <w:color w:val="2D5F91"/>
        </w:rPr>
        <w:t>FINANCIAL INSTRUMENTS</w:t>
      </w:r>
    </w:p>
    <w:p>
      <w:pPr>
        <w:spacing w:after="0" w:line="193"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fnancial instruments are exposed to certain fnancial risks, which include currency risk, credit risk, liquidity risk and interest rate risk.</w:t>
      </w:r>
    </w:p>
    <w:p>
      <w:pPr>
        <w:spacing w:after="0" w:line="181"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760" w:type="dxa"/>
            <w:vAlign w:val="bottom"/>
          </w:tcPr>
          <w:p>
            <w:pPr>
              <w:spacing w:after="0"/>
              <w:rPr>
                <w:sz w:val="20"/>
                <w:szCs w:val="20"/>
                <w:color w:val="auto"/>
              </w:rPr>
            </w:pPr>
            <w:r>
              <w:rPr>
                <w:rFonts w:ascii="Calibri" w:cs="Calibri" w:eastAsia="Calibri" w:hAnsi="Calibri"/>
                <w:sz w:val="16"/>
                <w:szCs w:val="16"/>
                <w:color w:val="auto"/>
              </w:rPr>
              <w:t>The Company has classifed its fnancial instruments as follows:</w:t>
            </w:r>
          </w:p>
        </w:tc>
        <w:tc>
          <w:tcPr>
            <w:tcW w:w="34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412"/>
        </w:trPr>
        <w:tc>
          <w:tcPr>
            <w:tcW w:w="5760" w:type="dxa"/>
            <w:vAlign w:val="bottom"/>
          </w:tcPr>
          <w:p>
            <w:pPr>
              <w:ind w:left="60"/>
              <w:spacing w:after="0"/>
              <w:rPr>
                <w:sz w:val="20"/>
                <w:szCs w:val="20"/>
                <w:color w:val="auto"/>
              </w:rPr>
            </w:pPr>
            <w:r>
              <w:rPr>
                <w:rFonts w:ascii="Calibri" w:cs="Calibri" w:eastAsia="Calibri" w:hAnsi="Calibri"/>
                <w:sz w:val="16"/>
                <w:szCs w:val="16"/>
                <w:b w:val="1"/>
                <w:bCs w:val="1"/>
                <w:color w:val="auto"/>
              </w:rPr>
              <w:t>As at</w:t>
            </w:r>
          </w:p>
        </w:tc>
        <w:tc>
          <w:tcPr>
            <w:tcW w:w="340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December 31, 2023</w:t>
            </w:r>
          </w:p>
        </w:tc>
        <w:tc>
          <w:tcPr>
            <w:tcW w:w="142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2023</w:t>
            </w:r>
          </w:p>
        </w:tc>
      </w:tr>
      <w:tr>
        <w:trPr>
          <w:trHeight w:val="255"/>
        </w:trPr>
        <w:tc>
          <w:tcPr>
            <w:tcW w:w="5760" w:type="dxa"/>
            <w:vAlign w:val="bottom"/>
          </w:tcPr>
          <w:p>
            <w:pPr>
              <w:spacing w:after="0"/>
              <w:rPr>
                <w:sz w:val="22"/>
                <w:szCs w:val="22"/>
                <w:color w:val="auto"/>
              </w:rPr>
            </w:pPr>
          </w:p>
        </w:tc>
        <w:tc>
          <w:tcPr>
            <w:tcW w:w="34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14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45"/>
        </w:trPr>
        <w:tc>
          <w:tcPr>
            <w:tcW w:w="576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5"/>
        </w:trPr>
        <w:tc>
          <w:tcPr>
            <w:tcW w:w="5760" w:type="dxa"/>
            <w:vAlign w:val="bottom"/>
          </w:tcPr>
          <w:p>
            <w:pPr>
              <w:ind w:left="60"/>
              <w:spacing w:after="0" w:line="185" w:lineRule="exact"/>
              <w:rPr>
                <w:sz w:val="20"/>
                <w:szCs w:val="20"/>
                <w:color w:val="auto"/>
              </w:rPr>
            </w:pPr>
            <w:r>
              <w:rPr>
                <w:rFonts w:ascii="Calibri" w:cs="Calibri" w:eastAsia="Calibri" w:hAnsi="Calibri"/>
                <w:sz w:val="16"/>
                <w:szCs w:val="16"/>
                <w:b w:val="1"/>
                <w:bCs w:val="1"/>
                <w:color w:val="auto"/>
              </w:rPr>
              <w:t>Financial assets, measured at fair value:</w:t>
            </w:r>
          </w:p>
        </w:tc>
        <w:tc>
          <w:tcPr>
            <w:tcW w:w="34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8"/>
        </w:trPr>
        <w:tc>
          <w:tcPr>
            <w:tcW w:w="5760" w:type="dxa"/>
            <w:vAlign w:val="bottom"/>
          </w:tcPr>
          <w:p>
            <w:pPr>
              <w:ind w:left="160"/>
              <w:spacing w:after="0"/>
              <w:rPr>
                <w:sz w:val="20"/>
                <w:szCs w:val="20"/>
                <w:color w:val="auto"/>
              </w:rPr>
            </w:pPr>
            <w:r>
              <w:rPr>
                <w:rFonts w:ascii="Calibri" w:cs="Calibri" w:eastAsia="Calibri" w:hAnsi="Calibri"/>
                <w:sz w:val="16"/>
                <w:szCs w:val="16"/>
                <w:color w:val="auto"/>
              </w:rPr>
              <w:t>Cash</w:t>
            </w:r>
          </w:p>
        </w:tc>
        <w:tc>
          <w:tcPr>
            <w:tcW w:w="340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38,999</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16,633</w:t>
            </w:r>
          </w:p>
        </w:tc>
      </w:tr>
      <w:tr>
        <w:trPr>
          <w:trHeight w:val="206"/>
        </w:trPr>
        <w:tc>
          <w:tcPr>
            <w:tcW w:w="5760" w:type="dxa"/>
            <w:vAlign w:val="bottom"/>
          </w:tcPr>
          <w:p>
            <w:pPr>
              <w:ind w:left="60"/>
              <w:spacing w:after="0"/>
              <w:rPr>
                <w:sz w:val="20"/>
                <w:szCs w:val="20"/>
                <w:color w:val="auto"/>
              </w:rPr>
            </w:pPr>
            <w:r>
              <w:rPr>
                <w:rFonts w:ascii="Calibri" w:cs="Calibri" w:eastAsia="Calibri" w:hAnsi="Calibri"/>
                <w:sz w:val="16"/>
                <w:szCs w:val="16"/>
                <w:b w:val="1"/>
                <w:bCs w:val="1"/>
                <w:color w:val="auto"/>
              </w:rPr>
              <w:t>Financial assets, measured at amortzed cost:</w:t>
            </w:r>
          </w:p>
        </w:tc>
        <w:tc>
          <w:tcPr>
            <w:tcW w:w="3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6"/>
        </w:trPr>
        <w:tc>
          <w:tcPr>
            <w:tcW w:w="5760" w:type="dxa"/>
            <w:vAlign w:val="bottom"/>
          </w:tcPr>
          <w:p>
            <w:pPr>
              <w:ind w:left="160"/>
              <w:spacing w:after="0"/>
              <w:rPr>
                <w:sz w:val="20"/>
                <w:szCs w:val="20"/>
                <w:color w:val="auto"/>
              </w:rPr>
            </w:pPr>
            <w:r>
              <w:rPr>
                <w:rFonts w:ascii="Calibri" w:cs="Calibri" w:eastAsia="Calibri" w:hAnsi="Calibri"/>
                <w:sz w:val="16"/>
                <w:szCs w:val="16"/>
                <w:color w:val="auto"/>
              </w:rPr>
              <w:t>Accounts receivable</w:t>
            </w:r>
          </w:p>
        </w:tc>
        <w:tc>
          <w:tcPr>
            <w:tcW w:w="340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534</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42</w:t>
            </w:r>
          </w:p>
        </w:tc>
      </w:tr>
      <w:tr>
        <w:trPr>
          <w:trHeight w:val="206"/>
        </w:trPr>
        <w:tc>
          <w:tcPr>
            <w:tcW w:w="5760" w:type="dxa"/>
            <w:vAlign w:val="bottom"/>
          </w:tcPr>
          <w:p>
            <w:pPr>
              <w:ind w:left="60"/>
              <w:spacing w:after="0"/>
              <w:rPr>
                <w:sz w:val="20"/>
                <w:szCs w:val="20"/>
                <w:color w:val="auto"/>
              </w:rPr>
            </w:pPr>
            <w:r>
              <w:rPr>
                <w:rFonts w:ascii="Calibri" w:cs="Calibri" w:eastAsia="Calibri" w:hAnsi="Calibri"/>
                <w:sz w:val="16"/>
                <w:szCs w:val="16"/>
                <w:b w:val="1"/>
                <w:bCs w:val="1"/>
                <w:color w:val="auto"/>
              </w:rPr>
              <w:t>Financial liabilites, measured at amortzed cost:</w:t>
            </w:r>
          </w:p>
        </w:tc>
        <w:tc>
          <w:tcPr>
            <w:tcW w:w="3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6"/>
        </w:trPr>
        <w:tc>
          <w:tcPr>
            <w:tcW w:w="5760" w:type="dxa"/>
            <w:vAlign w:val="bottom"/>
          </w:tcPr>
          <w:p>
            <w:pPr>
              <w:ind w:left="160"/>
              <w:spacing w:after="0"/>
              <w:rPr>
                <w:sz w:val="20"/>
                <w:szCs w:val="20"/>
                <w:color w:val="auto"/>
              </w:rPr>
            </w:pPr>
            <w:r>
              <w:rPr>
                <w:rFonts w:ascii="Calibri" w:cs="Calibri" w:eastAsia="Calibri" w:hAnsi="Calibri"/>
                <w:sz w:val="16"/>
                <w:szCs w:val="16"/>
                <w:color w:val="auto"/>
              </w:rPr>
              <w:t>Accounts payable and accrued liabilites</w:t>
            </w:r>
          </w:p>
        </w:tc>
        <w:tc>
          <w:tcPr>
            <w:tcW w:w="340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8,137</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5,663</w:t>
            </w:r>
          </w:p>
        </w:tc>
      </w:tr>
      <w:tr>
        <w:trPr>
          <w:trHeight w:val="206"/>
        </w:trPr>
        <w:tc>
          <w:tcPr>
            <w:tcW w:w="5760" w:type="dxa"/>
            <w:vAlign w:val="bottom"/>
          </w:tcPr>
          <w:p>
            <w:pPr>
              <w:ind w:left="160"/>
              <w:spacing w:after="0"/>
              <w:rPr>
                <w:sz w:val="20"/>
                <w:szCs w:val="20"/>
                <w:color w:val="auto"/>
              </w:rPr>
            </w:pPr>
            <w:r>
              <w:rPr>
                <w:rFonts w:ascii="Calibri" w:cs="Calibri" w:eastAsia="Calibri" w:hAnsi="Calibri"/>
                <w:sz w:val="16"/>
                <w:szCs w:val="16"/>
                <w:color w:val="auto"/>
              </w:rPr>
              <w:t>Lease liabilites</w:t>
            </w:r>
          </w:p>
        </w:tc>
        <w:tc>
          <w:tcPr>
            <w:tcW w:w="340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366</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1"/>
        </w:trPr>
        <w:tc>
          <w:tcPr>
            <w:tcW w:w="57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carrying value of the Company’s fnancial instruments approximate their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27 of 32</w:t>
      </w:r>
    </w:p>
    <w:p>
      <w:pPr>
        <w:sectPr>
          <w:pgSz w:w="11900" w:h="16838" w:orient="portrait"/>
          <w:cols w:equalWidth="0" w:num="1">
            <w:col w:w="11240"/>
          </w:cols>
          <w:pgMar w:left="320" w:top="198" w:right="339" w:bottom="1440" w:gutter="0" w:footer="0" w:header="0"/>
        </w:sectPr>
      </w:pPr>
    </w:p>
    <w:bookmarkStart w:id="30" w:name="page31"/>
    <w:bookmarkEnd w:id="30"/>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1462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u w:val="single" w:color="auto"/>
          <w:color w:val="auto"/>
        </w:rPr>
        <w:t>Fair value Hierarchy of Financial Instruments</w:t>
      </w:r>
    </w:p>
    <w:p>
      <w:pPr>
        <w:spacing w:after="0" w:line="195" w:lineRule="exact"/>
        <w:rPr>
          <w:sz w:val="20"/>
          <w:szCs w:val="20"/>
          <w:color w:val="auto"/>
        </w:rPr>
      </w:pPr>
    </w:p>
    <w:p>
      <w:pPr>
        <w:jc w:val="both"/>
        <w:ind w:left="220" w:right="20"/>
        <w:spacing w:after="0" w:line="280" w:lineRule="auto"/>
        <w:rPr>
          <w:sz w:val="20"/>
          <w:szCs w:val="20"/>
          <w:color w:val="auto"/>
        </w:rPr>
      </w:pPr>
      <w:r>
        <w:rPr>
          <w:rFonts w:ascii="Calibri" w:cs="Calibri" w:eastAsia="Calibri" w:hAnsi="Calibri"/>
          <w:sz w:val="16"/>
          <w:szCs w:val="16"/>
          <w:color w:val="auto"/>
        </w:rPr>
        <w:t>The Company has categorized its fnancial instruments that are carried at fair value, based on the priority of the inputs to the valuaton techniques used to measure fair value, into a three-level fair value hierarchy as follows:</w:t>
      </w:r>
    </w:p>
    <w:p>
      <w:pPr>
        <w:spacing w:after="0" w:line="151" w:lineRule="exact"/>
        <w:rPr>
          <w:sz w:val="20"/>
          <w:szCs w:val="20"/>
          <w:color w:val="auto"/>
        </w:rPr>
      </w:pPr>
    </w:p>
    <w:p>
      <w:pPr>
        <w:jc w:val="both"/>
        <w:ind w:left="220" w:right="20"/>
        <w:spacing w:after="0" w:line="280" w:lineRule="auto"/>
        <w:rPr>
          <w:sz w:val="20"/>
          <w:szCs w:val="20"/>
          <w:color w:val="auto"/>
        </w:rPr>
      </w:pPr>
      <w:r>
        <w:rPr>
          <w:rFonts w:ascii="Calibri" w:cs="Calibri" w:eastAsia="Calibri" w:hAnsi="Calibri"/>
          <w:sz w:val="16"/>
          <w:szCs w:val="16"/>
          <w:color w:val="auto"/>
        </w:rPr>
        <w:t>Level 1: Fair value is based on unadjusted quoted prices for identcal assets or liabilites in an actve market. The types of assets and liabilites classifed as Level 1 generally included cash.</w:t>
      </w:r>
    </w:p>
    <w:p>
      <w:pPr>
        <w:spacing w:after="0" w:line="163" w:lineRule="exact"/>
        <w:rPr>
          <w:sz w:val="20"/>
          <w:szCs w:val="20"/>
          <w:color w:val="auto"/>
        </w:rPr>
      </w:pPr>
    </w:p>
    <w:p>
      <w:pPr>
        <w:jc w:val="both"/>
        <w:ind w:left="220"/>
        <w:spacing w:after="0" w:line="274" w:lineRule="auto"/>
        <w:rPr>
          <w:sz w:val="20"/>
          <w:szCs w:val="20"/>
          <w:color w:val="auto"/>
        </w:rPr>
      </w:pPr>
      <w:r>
        <w:rPr>
          <w:rFonts w:ascii="Calibri" w:cs="Calibri" w:eastAsia="Calibri" w:hAnsi="Calibri"/>
          <w:sz w:val="16"/>
          <w:szCs w:val="16"/>
          <w:color w:val="auto"/>
        </w:rPr>
        <w:t>Level 2: Fair value is based on quoted prices for similar assets or liabilites in actve markets, valuaton that is based on signifcant observable inputs, or inputs that are derived principally from or corroborated with observable market data through correlaton or other means. Currently, the Company has no fnancial instruments that would be classifed as Level 2.</w:t>
      </w:r>
    </w:p>
    <w:p>
      <w:pPr>
        <w:spacing w:after="0" w:line="168" w:lineRule="exact"/>
        <w:rPr>
          <w:sz w:val="20"/>
          <w:szCs w:val="20"/>
          <w:color w:val="auto"/>
        </w:rPr>
      </w:pPr>
    </w:p>
    <w:p>
      <w:pPr>
        <w:jc w:val="both"/>
        <w:ind w:left="220" w:right="20"/>
        <w:spacing w:after="0" w:line="274" w:lineRule="auto"/>
        <w:rPr>
          <w:sz w:val="20"/>
          <w:szCs w:val="20"/>
          <w:color w:val="auto"/>
        </w:rPr>
      </w:pPr>
      <w:r>
        <w:rPr>
          <w:rFonts w:ascii="Calibri" w:cs="Calibri" w:eastAsia="Calibri" w:hAnsi="Calibri"/>
          <w:sz w:val="16"/>
          <w:szCs w:val="16"/>
          <w:color w:val="auto"/>
        </w:rPr>
        <w:t>Level 3: Fair value is based on valuaton techniques that require one or more signifcant inputs that are not based on observable market inputs. These unobservable inputs refect the Company’s assumptons about the assumptons market partcipants would use in pricing the asset or liability. Currently, the company has no fnancial instruments that would be classifed as Level 3.</w:t>
      </w:r>
    </w:p>
    <w:p>
      <w:pPr>
        <w:spacing w:after="0" w:line="16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There were no transfers between levels of the fair value hierarchy for the three and nine months ended December 31, 2023.</w:t>
      </w:r>
    </w:p>
    <w:p>
      <w:pPr>
        <w:spacing w:after="0" w:line="193"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u w:val="single" w:color="auto"/>
          <w:color w:val="auto"/>
        </w:rPr>
        <w:t>Financial risk management</w:t>
      </w:r>
    </w:p>
    <w:p>
      <w:pPr>
        <w:spacing w:after="0" w:line="18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Credit risk</w:t>
      </w:r>
    </w:p>
    <w:p>
      <w:pPr>
        <w:spacing w:after="0" w:line="195" w:lineRule="exact"/>
        <w:rPr>
          <w:sz w:val="20"/>
          <w:szCs w:val="20"/>
          <w:color w:val="auto"/>
        </w:rPr>
      </w:pPr>
    </w:p>
    <w:p>
      <w:pPr>
        <w:jc w:val="both"/>
        <w:ind w:left="220" w:right="20"/>
        <w:spacing w:after="0" w:line="274" w:lineRule="auto"/>
        <w:rPr>
          <w:sz w:val="20"/>
          <w:szCs w:val="20"/>
          <w:color w:val="auto"/>
        </w:rPr>
      </w:pPr>
      <w:r>
        <w:rPr>
          <w:rFonts w:ascii="Calibri" w:cs="Calibri" w:eastAsia="Calibri" w:hAnsi="Calibri"/>
          <w:sz w:val="16"/>
          <w:szCs w:val="16"/>
          <w:color w:val="auto"/>
        </w:rPr>
        <w:t>Credit risk is the risk that one party to a fnancial instrument will cause a fnancial loss for the other party by failing to discharge an obligaton. The Company’s cash is exposed to credit risk. The Company reduces its credit risk on cash by placing these instruments with insttutons of high credit worthiness. As at December 31, 2023, the Company’s maximum exposure to credit risk is the carrying value of its fnancial assets.</w:t>
      </w:r>
    </w:p>
    <w:p>
      <w:pPr>
        <w:spacing w:after="0" w:line="166"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Liquidity risk</w:t>
      </w:r>
    </w:p>
    <w:p>
      <w:pPr>
        <w:spacing w:after="0" w:line="195" w:lineRule="exact"/>
        <w:rPr>
          <w:sz w:val="20"/>
          <w:szCs w:val="20"/>
          <w:color w:val="auto"/>
        </w:rPr>
      </w:pPr>
    </w:p>
    <w:p>
      <w:pPr>
        <w:jc w:val="both"/>
        <w:ind w:left="220" w:right="20"/>
        <w:spacing w:after="0" w:line="280" w:lineRule="auto"/>
        <w:rPr>
          <w:sz w:val="20"/>
          <w:szCs w:val="20"/>
          <w:color w:val="auto"/>
        </w:rPr>
      </w:pPr>
      <w:r>
        <w:rPr>
          <w:rFonts w:ascii="Calibri" w:cs="Calibri" w:eastAsia="Calibri" w:hAnsi="Calibri"/>
          <w:sz w:val="16"/>
          <w:szCs w:val="16"/>
          <w:color w:val="auto"/>
        </w:rPr>
        <w:t>Liquidity risk is the risk that an entty will encounter difculty in raising funds to meet commitments associated with fnancial instruments. The Company manages liquidity by maintaining adequate cash balances to meet liabilites as they become due.</w:t>
      </w:r>
    </w:p>
    <w:p>
      <w:pPr>
        <w:spacing w:after="0" w:line="151" w:lineRule="exact"/>
        <w:rPr>
          <w:sz w:val="20"/>
          <w:szCs w:val="20"/>
          <w:color w:val="auto"/>
        </w:rPr>
      </w:pPr>
    </w:p>
    <w:p>
      <w:pPr>
        <w:jc w:val="both"/>
        <w:ind w:left="220" w:right="20"/>
        <w:spacing w:after="0" w:line="280" w:lineRule="auto"/>
        <w:rPr>
          <w:sz w:val="20"/>
          <w:szCs w:val="20"/>
          <w:color w:val="auto"/>
        </w:rPr>
      </w:pPr>
      <w:r>
        <w:rPr>
          <w:rFonts w:ascii="Calibri" w:cs="Calibri" w:eastAsia="Calibri" w:hAnsi="Calibri"/>
          <w:sz w:val="16"/>
          <w:szCs w:val="16"/>
          <w:color w:val="auto"/>
        </w:rPr>
        <w:t>As at December 31, 2023, the Company had cash of $38,999 (March 31, 2023 - $16,633) in order to meet current liabilites. Accounts payable and accrued liabilites include trade payables and other obligatons of $8,503 (March 31, 2023 - $5,663), all amounts are due within the next 12 months.</w:t>
      </w:r>
    </w:p>
    <w:p>
      <w:pPr>
        <w:spacing w:after="0" w:line="16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Market risk</w:t>
      </w:r>
    </w:p>
    <w:p>
      <w:pPr>
        <w:spacing w:after="0" w:line="193"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signifcant market risks to which the Company is exposed are interest rate risk and currency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28 of 32</w:t>
      </w:r>
    </w:p>
    <w:p>
      <w:pPr>
        <w:sectPr>
          <w:pgSz w:w="11900" w:h="16838" w:orient="portrait"/>
          <w:cols w:equalWidth="0" w:num="1">
            <w:col w:w="11200"/>
          </w:cols>
          <w:pgMar w:left="380" w:top="198" w:right="319" w:bottom="1440" w:gutter="0" w:footer="0" w:header="0"/>
        </w:sectPr>
      </w:pPr>
    </w:p>
    <w:bookmarkStart w:id="31" w:name="page32"/>
    <w:bookmarkEnd w:id="31"/>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14629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Interest rate risk</w:t>
      </w:r>
    </w:p>
    <w:p>
      <w:pPr>
        <w:spacing w:after="0" w:line="195" w:lineRule="exact"/>
        <w:rPr>
          <w:sz w:val="20"/>
          <w:szCs w:val="20"/>
          <w:color w:val="auto"/>
        </w:rPr>
      </w:pPr>
    </w:p>
    <w:p>
      <w:pPr>
        <w:jc w:val="both"/>
        <w:ind w:left="220"/>
        <w:spacing w:after="0" w:line="274" w:lineRule="auto"/>
        <w:rPr>
          <w:sz w:val="20"/>
          <w:szCs w:val="20"/>
          <w:color w:val="auto"/>
        </w:rPr>
      </w:pPr>
      <w:r>
        <w:rPr>
          <w:rFonts w:ascii="Calibri" w:cs="Calibri" w:eastAsia="Calibri" w:hAnsi="Calibri"/>
          <w:sz w:val="16"/>
          <w:szCs w:val="16"/>
          <w:color w:val="auto"/>
        </w:rPr>
        <w:t>Interest rate risk is the risk that the fair value or the future cash fows of a fnancial instrument will fuctuate because of changes in the market interest rate. In seeking to minimize the risks from interest rate fuctuatons, the Company manages exposure through its normal operatng and fnancing actvites. As at December 31, 2023, the Company has determined its exposure to interest rate risk is minimal.</w:t>
      </w:r>
    </w:p>
    <w:p>
      <w:pPr>
        <w:spacing w:after="0" w:line="166"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Currency risk</w:t>
      </w:r>
    </w:p>
    <w:p>
      <w:pPr>
        <w:spacing w:after="0" w:line="195" w:lineRule="exact"/>
        <w:rPr>
          <w:sz w:val="20"/>
          <w:szCs w:val="20"/>
          <w:color w:val="auto"/>
        </w:rPr>
      </w:pPr>
    </w:p>
    <w:p>
      <w:pPr>
        <w:jc w:val="both"/>
        <w:ind w:left="220"/>
        <w:spacing w:after="0" w:line="265" w:lineRule="auto"/>
        <w:rPr>
          <w:sz w:val="20"/>
          <w:szCs w:val="20"/>
          <w:color w:val="auto"/>
        </w:rPr>
      </w:pPr>
      <w:r>
        <w:rPr>
          <w:rFonts w:ascii="Calibri" w:cs="Calibri" w:eastAsia="Calibri" w:hAnsi="Calibri"/>
          <w:sz w:val="16"/>
          <w:szCs w:val="16"/>
          <w:color w:val="auto"/>
        </w:rPr>
        <w:t>The Company is exposed to currency risk to the extent that monetary operatonal expenses are denominated in both CAD and USD while the functonal currency of CAD is used for reportng. The Company has not entered into any foreign currency contracts to mitgate this risk.</w:t>
      </w:r>
    </w:p>
    <w:p>
      <w:pPr>
        <w:spacing w:after="0" w:line="173"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At December 31, 2023, the Company had the following balances in monetary assets and monetary liabilites which are subject to fuctuaton against CAD:</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5740" w:type="dxa"/>
            <w:vAlign w:val="bottom"/>
          </w:tcPr>
          <w:p>
            <w:pPr>
              <w:ind w:left="4080"/>
              <w:spacing w:after="0"/>
              <w:rPr>
                <w:sz w:val="20"/>
                <w:szCs w:val="20"/>
                <w:color w:val="auto"/>
              </w:rPr>
            </w:pPr>
            <w:r>
              <w:rPr>
                <w:rFonts w:ascii="Calibri" w:cs="Calibri" w:eastAsia="Calibri" w:hAnsi="Calibri"/>
                <w:sz w:val="16"/>
                <w:szCs w:val="16"/>
                <w:b w:val="1"/>
                <w:bCs w:val="1"/>
                <w:color w:val="auto"/>
              </w:rPr>
              <w:t>Denominated in:</w:t>
            </w:r>
          </w:p>
        </w:tc>
        <w:tc>
          <w:tcPr>
            <w:tcW w:w="1740" w:type="dxa"/>
            <w:vAlign w:val="bottom"/>
            <w:gridSpan w:val="2"/>
          </w:tcPr>
          <w:p>
            <w:pPr>
              <w:jc w:val="right"/>
              <w:ind w:right="479"/>
              <w:spacing w:after="0"/>
              <w:rPr>
                <w:sz w:val="20"/>
                <w:szCs w:val="20"/>
                <w:color w:val="auto"/>
              </w:rPr>
            </w:pPr>
            <w:r>
              <w:rPr>
                <w:rFonts w:ascii="Calibri" w:cs="Calibri" w:eastAsia="Calibri" w:hAnsi="Calibri"/>
                <w:sz w:val="16"/>
                <w:szCs w:val="16"/>
                <w:b w:val="1"/>
                <w:bCs w:val="1"/>
                <w:color w:val="auto"/>
              </w:rPr>
              <w:t>US$000’s</w:t>
            </w:r>
          </w:p>
        </w:tc>
        <w:tc>
          <w:tcPr>
            <w:tcW w:w="1780" w:type="dxa"/>
            <w:vAlign w:val="bottom"/>
            <w:gridSpan w:val="2"/>
          </w:tcPr>
          <w:p>
            <w:pPr>
              <w:jc w:val="right"/>
              <w:ind w:right="519"/>
              <w:spacing w:after="0"/>
              <w:rPr>
                <w:sz w:val="20"/>
                <w:szCs w:val="20"/>
                <w:color w:val="auto"/>
              </w:rPr>
            </w:pPr>
            <w:r>
              <w:rPr>
                <w:rFonts w:ascii="Calibri" w:cs="Calibri" w:eastAsia="Calibri" w:hAnsi="Calibri"/>
                <w:sz w:val="16"/>
                <w:szCs w:val="16"/>
                <w:b w:val="1"/>
                <w:bCs w:val="1"/>
                <w:color w:val="auto"/>
              </w:rPr>
              <w:t>GBP 000’s</w:t>
            </w:r>
          </w:p>
        </w:tc>
        <w:tc>
          <w:tcPr>
            <w:tcW w:w="122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EUR 000’s</w:t>
            </w: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r>
      <w:tr>
        <w:trPr>
          <w:trHeight w:val="185"/>
        </w:trPr>
        <w:tc>
          <w:tcPr>
            <w:tcW w:w="5740" w:type="dxa"/>
            <w:vAlign w:val="bottom"/>
          </w:tcPr>
          <w:p>
            <w:pPr>
              <w:ind w:left="20"/>
              <w:spacing w:after="0" w:line="185" w:lineRule="exact"/>
              <w:rPr>
                <w:sz w:val="20"/>
                <w:szCs w:val="20"/>
                <w:color w:val="auto"/>
              </w:rPr>
            </w:pPr>
            <w:r>
              <w:rPr>
                <w:rFonts w:ascii="Calibri" w:cs="Calibri" w:eastAsia="Calibri" w:hAnsi="Calibri"/>
                <w:sz w:val="16"/>
                <w:szCs w:val="16"/>
                <w:color w:val="auto"/>
              </w:rPr>
              <w:t>Cash</w:t>
            </w:r>
          </w:p>
        </w:tc>
        <w:tc>
          <w:tcPr>
            <w:tcW w:w="740" w:type="dxa"/>
            <w:vAlign w:val="bottom"/>
          </w:tcPr>
          <w:p>
            <w:pPr>
              <w:spacing w:after="0"/>
              <w:rPr>
                <w:sz w:val="16"/>
                <w:szCs w:val="16"/>
                <w:color w:val="auto"/>
              </w:rPr>
            </w:pPr>
          </w:p>
        </w:tc>
        <w:tc>
          <w:tcPr>
            <w:tcW w:w="1000" w:type="dxa"/>
            <w:vAlign w:val="bottom"/>
          </w:tcPr>
          <w:p>
            <w:pPr>
              <w:jc w:val="right"/>
              <w:ind w:right="439"/>
              <w:spacing w:after="0" w:line="185" w:lineRule="exact"/>
              <w:rPr>
                <w:sz w:val="20"/>
                <w:szCs w:val="20"/>
                <w:color w:val="auto"/>
              </w:rPr>
            </w:pPr>
            <w:r>
              <w:rPr>
                <w:rFonts w:ascii="Calibri" w:cs="Calibri" w:eastAsia="Calibri" w:hAnsi="Calibri"/>
                <w:sz w:val="16"/>
                <w:szCs w:val="16"/>
                <w:color w:val="auto"/>
              </w:rPr>
              <w:t>22,020</w:t>
            </w:r>
          </w:p>
        </w:tc>
        <w:tc>
          <w:tcPr>
            <w:tcW w:w="860" w:type="dxa"/>
            <w:vAlign w:val="bottom"/>
          </w:tcPr>
          <w:p>
            <w:pPr>
              <w:spacing w:after="0"/>
              <w:rPr>
                <w:sz w:val="16"/>
                <w:szCs w:val="16"/>
                <w:color w:val="auto"/>
              </w:rPr>
            </w:pPr>
          </w:p>
        </w:tc>
        <w:tc>
          <w:tcPr>
            <w:tcW w:w="920" w:type="dxa"/>
            <w:vAlign w:val="bottom"/>
          </w:tcPr>
          <w:p>
            <w:pPr>
              <w:jc w:val="right"/>
              <w:ind w:right="459"/>
              <w:spacing w:after="0" w:line="185" w:lineRule="exact"/>
              <w:rPr>
                <w:sz w:val="20"/>
                <w:szCs w:val="20"/>
                <w:color w:val="auto"/>
              </w:rPr>
            </w:pPr>
            <w:r>
              <w:rPr>
                <w:rFonts w:ascii="Calibri" w:cs="Calibri" w:eastAsia="Calibri" w:hAnsi="Calibri"/>
                <w:sz w:val="16"/>
                <w:szCs w:val="16"/>
                <w:color w:val="auto"/>
              </w:rPr>
              <w:t>74</w:t>
            </w:r>
          </w:p>
        </w:tc>
        <w:tc>
          <w:tcPr>
            <w:tcW w:w="1220" w:type="dxa"/>
            <w:vAlign w:val="bottom"/>
            <w:gridSpan w:val="2"/>
          </w:tcPr>
          <w:p>
            <w:pPr>
              <w:jc w:val="right"/>
              <w:spacing w:after="0" w:line="185" w:lineRule="exact"/>
              <w:rPr>
                <w:sz w:val="20"/>
                <w:szCs w:val="20"/>
                <w:color w:val="auto"/>
              </w:rPr>
            </w:pPr>
            <w:r>
              <w:rPr>
                <w:rFonts w:ascii="Calibri" w:cs="Calibri" w:eastAsia="Calibri" w:hAnsi="Calibri"/>
                <w:sz w:val="16"/>
                <w:szCs w:val="16"/>
                <w:color w:val="auto"/>
              </w:rPr>
              <w:t>146</w:t>
            </w:r>
          </w:p>
        </w:tc>
      </w:tr>
      <w:tr>
        <w:trPr>
          <w:trHeight w:val="198"/>
        </w:trPr>
        <w:tc>
          <w:tcPr>
            <w:tcW w:w="5740" w:type="dxa"/>
            <w:vAlign w:val="bottom"/>
          </w:tcPr>
          <w:p>
            <w:pPr>
              <w:ind w:left="20"/>
              <w:spacing w:after="0"/>
              <w:rPr>
                <w:sz w:val="20"/>
                <w:szCs w:val="20"/>
                <w:color w:val="auto"/>
              </w:rPr>
            </w:pPr>
            <w:r>
              <w:rPr>
                <w:rFonts w:ascii="Calibri" w:cs="Calibri" w:eastAsia="Calibri" w:hAnsi="Calibri"/>
                <w:sz w:val="16"/>
                <w:szCs w:val="16"/>
                <w:color w:val="auto"/>
              </w:rPr>
              <w:t>Accounts receivable</w:t>
            </w:r>
          </w:p>
        </w:tc>
        <w:tc>
          <w:tcPr>
            <w:tcW w:w="740" w:type="dxa"/>
            <w:vAlign w:val="bottom"/>
          </w:tcPr>
          <w:p>
            <w:pPr>
              <w:spacing w:after="0"/>
              <w:rPr>
                <w:sz w:val="17"/>
                <w:szCs w:val="17"/>
                <w:color w:val="auto"/>
              </w:rPr>
            </w:pPr>
          </w:p>
        </w:tc>
        <w:tc>
          <w:tcPr>
            <w:tcW w:w="1000" w:type="dxa"/>
            <w:vAlign w:val="bottom"/>
          </w:tcPr>
          <w:p>
            <w:pPr>
              <w:jc w:val="right"/>
              <w:ind w:right="439"/>
              <w:spacing w:after="0"/>
              <w:rPr>
                <w:sz w:val="20"/>
                <w:szCs w:val="20"/>
                <w:color w:val="auto"/>
              </w:rPr>
            </w:pPr>
            <w:r>
              <w:rPr>
                <w:rFonts w:ascii="Calibri" w:cs="Calibri" w:eastAsia="Calibri" w:hAnsi="Calibri"/>
                <w:sz w:val="16"/>
                <w:szCs w:val="16"/>
                <w:color w:val="auto"/>
              </w:rPr>
              <w:t>125</w:t>
            </w:r>
          </w:p>
        </w:tc>
        <w:tc>
          <w:tcPr>
            <w:tcW w:w="860" w:type="dxa"/>
            <w:vAlign w:val="bottom"/>
          </w:tcPr>
          <w:p>
            <w:pPr>
              <w:spacing w:after="0"/>
              <w:rPr>
                <w:sz w:val="17"/>
                <w:szCs w:val="17"/>
                <w:color w:val="auto"/>
              </w:rPr>
            </w:pPr>
          </w:p>
        </w:tc>
        <w:tc>
          <w:tcPr>
            <w:tcW w:w="920" w:type="dxa"/>
            <w:vAlign w:val="bottom"/>
          </w:tcPr>
          <w:p>
            <w:pPr>
              <w:jc w:val="right"/>
              <w:ind w:right="459"/>
              <w:spacing w:after="0"/>
              <w:rPr>
                <w:sz w:val="20"/>
                <w:szCs w:val="20"/>
                <w:color w:val="auto"/>
              </w:rPr>
            </w:pPr>
            <w:r>
              <w:rPr>
                <w:rFonts w:ascii="Calibri" w:cs="Calibri" w:eastAsia="Calibri" w:hAnsi="Calibri"/>
                <w:sz w:val="16"/>
                <w:szCs w:val="16"/>
                <w:color w:val="auto"/>
              </w:rPr>
              <w:t>128</w:t>
            </w:r>
          </w:p>
        </w:tc>
        <w:tc>
          <w:tcPr>
            <w:tcW w:w="10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5740" w:type="dxa"/>
            <w:vAlign w:val="bottom"/>
          </w:tcPr>
          <w:p>
            <w:pPr>
              <w:ind w:left="20"/>
              <w:spacing w:after="0"/>
              <w:rPr>
                <w:sz w:val="20"/>
                <w:szCs w:val="20"/>
                <w:color w:val="auto"/>
              </w:rPr>
            </w:pPr>
            <w:r>
              <w:rPr>
                <w:rFonts w:ascii="Calibri" w:cs="Calibri" w:eastAsia="Calibri" w:hAnsi="Calibri"/>
                <w:sz w:val="16"/>
                <w:szCs w:val="16"/>
                <w:color w:val="auto"/>
              </w:rPr>
              <w:t>Accounts payable and accrued liabilites</w:t>
            </w:r>
          </w:p>
        </w:tc>
        <w:tc>
          <w:tcPr>
            <w:tcW w:w="740" w:type="dxa"/>
            <w:vAlign w:val="bottom"/>
          </w:tcPr>
          <w:p>
            <w:pPr>
              <w:spacing w:after="0"/>
              <w:rPr>
                <w:sz w:val="17"/>
                <w:szCs w:val="17"/>
                <w:color w:val="auto"/>
              </w:rPr>
            </w:pPr>
          </w:p>
        </w:tc>
        <w:tc>
          <w:tcPr>
            <w:tcW w:w="1000" w:type="dxa"/>
            <w:vAlign w:val="bottom"/>
          </w:tcPr>
          <w:p>
            <w:pPr>
              <w:jc w:val="right"/>
              <w:ind w:right="439"/>
              <w:spacing w:after="0"/>
              <w:rPr>
                <w:sz w:val="20"/>
                <w:szCs w:val="20"/>
                <w:color w:val="auto"/>
              </w:rPr>
            </w:pPr>
            <w:r>
              <w:rPr>
                <w:rFonts w:ascii="Calibri" w:cs="Calibri" w:eastAsia="Calibri" w:hAnsi="Calibri"/>
                <w:sz w:val="16"/>
                <w:szCs w:val="16"/>
                <w:color w:val="auto"/>
              </w:rPr>
              <w:t>(215)</w:t>
            </w:r>
          </w:p>
        </w:tc>
        <w:tc>
          <w:tcPr>
            <w:tcW w:w="860" w:type="dxa"/>
            <w:vAlign w:val="bottom"/>
          </w:tcPr>
          <w:p>
            <w:pPr>
              <w:spacing w:after="0"/>
              <w:rPr>
                <w:sz w:val="17"/>
                <w:szCs w:val="17"/>
                <w:color w:val="auto"/>
              </w:rPr>
            </w:pPr>
          </w:p>
        </w:tc>
        <w:tc>
          <w:tcPr>
            <w:tcW w:w="920" w:type="dxa"/>
            <w:vAlign w:val="bottom"/>
          </w:tcPr>
          <w:p>
            <w:pPr>
              <w:jc w:val="right"/>
              <w:ind w:right="459"/>
              <w:spacing w:after="0"/>
              <w:rPr>
                <w:sz w:val="20"/>
                <w:szCs w:val="20"/>
                <w:color w:val="auto"/>
              </w:rPr>
            </w:pPr>
            <w:r>
              <w:rPr>
                <w:rFonts w:ascii="Calibri" w:cs="Calibri" w:eastAsia="Calibri" w:hAnsi="Calibri"/>
                <w:sz w:val="16"/>
                <w:szCs w:val="16"/>
                <w:color w:val="auto"/>
              </w:rPr>
              <w:t>(77)</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(136)</w:t>
            </w:r>
          </w:p>
        </w:tc>
      </w:tr>
      <w:tr>
        <w:trPr>
          <w:trHeight w:val="227"/>
        </w:trPr>
        <w:tc>
          <w:tcPr>
            <w:tcW w:w="5740" w:type="dxa"/>
            <w:vAlign w:val="bottom"/>
            <w:tcBorders>
              <w:bottom w:val="single" w:sz="8" w:color="auto"/>
            </w:tcBorders>
          </w:tcPr>
          <w:p>
            <w:pPr>
              <w:ind w:left="20"/>
              <w:spacing w:after="0"/>
              <w:rPr>
                <w:sz w:val="20"/>
                <w:szCs w:val="20"/>
                <w:color w:val="auto"/>
              </w:rPr>
            </w:pPr>
            <w:r>
              <w:rPr>
                <w:rFonts w:ascii="Calibri" w:cs="Calibri" w:eastAsia="Calibri" w:hAnsi="Calibri"/>
                <w:sz w:val="16"/>
                <w:szCs w:val="16"/>
                <w:color w:val="auto"/>
              </w:rPr>
              <w:t>Lease liability</w:t>
            </w: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9"/>
              <w:spacing w:after="0"/>
              <w:rPr>
                <w:sz w:val="20"/>
                <w:szCs w:val="20"/>
                <w:color w:val="auto"/>
              </w:rPr>
            </w:pPr>
            <w:r>
              <w:rPr>
                <w:rFonts w:ascii="Calibri" w:cs="Calibri" w:eastAsia="Calibri" w:hAnsi="Calibri"/>
                <w:sz w:val="16"/>
                <w:szCs w:val="16"/>
                <w:color w:val="auto"/>
              </w:rPr>
              <w:t>(217)</w:t>
            </w: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r>
      <w:tr>
        <w:trPr>
          <w:trHeight w:val="185"/>
        </w:trPr>
        <w:tc>
          <w:tcPr>
            <w:tcW w:w="5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jc w:val="right"/>
              <w:ind w:right="439"/>
              <w:spacing w:after="0" w:line="185" w:lineRule="exact"/>
              <w:rPr>
                <w:sz w:val="20"/>
                <w:szCs w:val="20"/>
                <w:color w:val="auto"/>
              </w:rPr>
            </w:pPr>
            <w:r>
              <w:rPr>
                <w:rFonts w:ascii="Calibri" w:cs="Calibri" w:eastAsia="Calibri" w:hAnsi="Calibri"/>
                <w:sz w:val="16"/>
                <w:szCs w:val="16"/>
                <w:b w:val="1"/>
                <w:bCs w:val="1"/>
                <w:color w:val="auto"/>
              </w:rPr>
              <w:t>21,930</w:t>
            </w:r>
          </w:p>
        </w:tc>
        <w:tc>
          <w:tcPr>
            <w:tcW w:w="860" w:type="dxa"/>
            <w:vAlign w:val="bottom"/>
          </w:tcPr>
          <w:p>
            <w:pPr>
              <w:spacing w:after="0"/>
              <w:rPr>
                <w:sz w:val="16"/>
                <w:szCs w:val="16"/>
                <w:color w:val="auto"/>
              </w:rPr>
            </w:pPr>
          </w:p>
        </w:tc>
        <w:tc>
          <w:tcPr>
            <w:tcW w:w="920" w:type="dxa"/>
            <w:vAlign w:val="bottom"/>
          </w:tcPr>
          <w:p>
            <w:pPr>
              <w:jc w:val="right"/>
              <w:ind w:right="459"/>
              <w:spacing w:after="0" w:line="185" w:lineRule="exact"/>
              <w:rPr>
                <w:sz w:val="20"/>
                <w:szCs w:val="20"/>
                <w:color w:val="auto"/>
              </w:rPr>
            </w:pPr>
            <w:r>
              <w:rPr>
                <w:rFonts w:ascii="Calibri" w:cs="Calibri" w:eastAsia="Calibri" w:hAnsi="Calibri"/>
                <w:sz w:val="16"/>
                <w:szCs w:val="16"/>
                <w:b w:val="1"/>
                <w:bCs w:val="1"/>
                <w:color w:val="auto"/>
              </w:rPr>
              <w:t>(92)</w:t>
            </w:r>
          </w:p>
        </w:tc>
        <w:tc>
          <w:tcPr>
            <w:tcW w:w="1020" w:type="dxa"/>
            <w:vAlign w:val="bottom"/>
          </w:tcPr>
          <w:p>
            <w:pPr>
              <w:spacing w:after="0"/>
              <w:rPr>
                <w:sz w:val="16"/>
                <w:szCs w:val="16"/>
                <w:color w:val="auto"/>
              </w:rPr>
            </w:pPr>
          </w:p>
        </w:tc>
        <w:tc>
          <w:tcPr>
            <w:tcW w:w="20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10</w:t>
            </w:r>
          </w:p>
        </w:tc>
      </w:tr>
      <w:tr>
        <w:trPr>
          <w:trHeight w:val="198"/>
        </w:trPr>
        <w:tc>
          <w:tcPr>
            <w:tcW w:w="5740" w:type="dxa"/>
            <w:vAlign w:val="bottom"/>
          </w:tcPr>
          <w:p>
            <w:pPr>
              <w:ind w:left="20"/>
              <w:spacing w:after="0"/>
              <w:rPr>
                <w:sz w:val="20"/>
                <w:szCs w:val="20"/>
                <w:color w:val="auto"/>
              </w:rPr>
            </w:pPr>
            <w:r>
              <w:rPr>
                <w:rFonts w:ascii="Calibri" w:cs="Calibri" w:eastAsia="Calibri" w:hAnsi="Calibri"/>
                <w:sz w:val="16"/>
                <w:szCs w:val="16"/>
                <w:color w:val="auto"/>
              </w:rPr>
              <w:t>Foreign currency rate</w:t>
            </w:r>
          </w:p>
        </w:tc>
        <w:tc>
          <w:tcPr>
            <w:tcW w:w="740" w:type="dxa"/>
            <w:vAlign w:val="bottom"/>
          </w:tcPr>
          <w:p>
            <w:pPr>
              <w:spacing w:after="0"/>
              <w:rPr>
                <w:sz w:val="17"/>
                <w:szCs w:val="17"/>
                <w:color w:val="auto"/>
              </w:rPr>
            </w:pPr>
          </w:p>
        </w:tc>
        <w:tc>
          <w:tcPr>
            <w:tcW w:w="1000" w:type="dxa"/>
            <w:vAlign w:val="bottom"/>
          </w:tcPr>
          <w:p>
            <w:pPr>
              <w:jc w:val="right"/>
              <w:ind w:right="439"/>
              <w:spacing w:after="0"/>
              <w:rPr>
                <w:sz w:val="20"/>
                <w:szCs w:val="20"/>
                <w:color w:val="auto"/>
              </w:rPr>
            </w:pPr>
            <w:r>
              <w:rPr>
                <w:rFonts w:ascii="Calibri" w:cs="Calibri" w:eastAsia="Calibri" w:hAnsi="Calibri"/>
                <w:sz w:val="16"/>
                <w:szCs w:val="16"/>
                <w:color w:val="auto"/>
              </w:rPr>
              <w:t>1.3226</w:t>
            </w:r>
          </w:p>
        </w:tc>
        <w:tc>
          <w:tcPr>
            <w:tcW w:w="1780" w:type="dxa"/>
            <w:vAlign w:val="bottom"/>
            <w:gridSpan w:val="2"/>
          </w:tcPr>
          <w:p>
            <w:pPr>
              <w:jc w:val="right"/>
              <w:ind w:right="459"/>
              <w:spacing w:after="0"/>
              <w:rPr>
                <w:sz w:val="20"/>
                <w:szCs w:val="20"/>
                <w:color w:val="auto"/>
              </w:rPr>
            </w:pPr>
            <w:r>
              <w:rPr>
                <w:rFonts w:ascii="Calibri" w:cs="Calibri" w:eastAsia="Calibri" w:hAnsi="Calibri"/>
                <w:sz w:val="16"/>
                <w:szCs w:val="16"/>
                <w:color w:val="auto"/>
              </w:rPr>
              <w:t>1.6837</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1.4626</w:t>
            </w: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92"/>
        </w:trPr>
        <w:tc>
          <w:tcPr>
            <w:tcW w:w="574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Equivalent in Canadian dollars</w:t>
            </w:r>
          </w:p>
        </w:tc>
        <w:tc>
          <w:tcPr>
            <w:tcW w:w="74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w:t>
            </w:r>
          </w:p>
        </w:tc>
        <w:tc>
          <w:tcPr>
            <w:tcW w:w="1000" w:type="dxa"/>
            <w:vAlign w:val="bottom"/>
            <w:tcBorders>
              <w:bottom w:val="single" w:sz="8" w:color="auto"/>
            </w:tcBorders>
          </w:tcPr>
          <w:p>
            <w:pPr>
              <w:jc w:val="right"/>
              <w:ind w:right="439"/>
              <w:spacing w:after="0" w:line="192" w:lineRule="exact"/>
              <w:rPr>
                <w:sz w:val="20"/>
                <w:szCs w:val="20"/>
                <w:color w:val="auto"/>
              </w:rPr>
            </w:pPr>
            <w:r>
              <w:rPr>
                <w:rFonts w:ascii="Calibri" w:cs="Calibri" w:eastAsia="Calibri" w:hAnsi="Calibri"/>
                <w:sz w:val="16"/>
                <w:szCs w:val="16"/>
                <w:b w:val="1"/>
                <w:bCs w:val="1"/>
                <w:color w:val="auto"/>
              </w:rPr>
              <w:t>29,005</w:t>
            </w:r>
          </w:p>
        </w:tc>
        <w:tc>
          <w:tcPr>
            <w:tcW w:w="86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w:t>
            </w:r>
          </w:p>
        </w:tc>
        <w:tc>
          <w:tcPr>
            <w:tcW w:w="920" w:type="dxa"/>
            <w:vAlign w:val="bottom"/>
            <w:tcBorders>
              <w:bottom w:val="single" w:sz="8" w:color="auto"/>
            </w:tcBorders>
          </w:tcPr>
          <w:p>
            <w:pPr>
              <w:jc w:val="right"/>
              <w:ind w:right="459"/>
              <w:spacing w:after="0" w:line="192" w:lineRule="exact"/>
              <w:rPr>
                <w:sz w:val="20"/>
                <w:szCs w:val="20"/>
                <w:color w:val="auto"/>
              </w:rPr>
            </w:pPr>
            <w:r>
              <w:rPr>
                <w:rFonts w:ascii="Calibri" w:cs="Calibri" w:eastAsia="Calibri" w:hAnsi="Calibri"/>
                <w:sz w:val="16"/>
                <w:szCs w:val="16"/>
                <w:b w:val="1"/>
                <w:bCs w:val="1"/>
                <w:color w:val="auto"/>
              </w:rPr>
              <w:t>(155)</w:t>
            </w:r>
          </w:p>
        </w:tc>
        <w:tc>
          <w:tcPr>
            <w:tcW w:w="102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w:t>
            </w:r>
          </w:p>
        </w:tc>
        <w:tc>
          <w:tcPr>
            <w:tcW w:w="2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15</w:t>
            </w:r>
          </w:p>
        </w:tc>
      </w:tr>
      <w:tr>
        <w:trPr>
          <w:trHeight w:val="198"/>
        </w:trPr>
        <w:tc>
          <w:tcPr>
            <w:tcW w:w="574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Impact of 10% change in foreign currency rate</w:t>
            </w:r>
          </w:p>
        </w:tc>
        <w:tc>
          <w:tcPr>
            <w:tcW w:w="7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000" w:type="dxa"/>
            <w:vAlign w:val="bottom"/>
            <w:tcBorders>
              <w:bottom w:val="single" w:sz="8" w:color="auto"/>
            </w:tcBorders>
          </w:tcPr>
          <w:p>
            <w:pPr>
              <w:jc w:val="right"/>
              <w:ind w:right="439"/>
              <w:spacing w:after="0" w:line="193" w:lineRule="exact"/>
              <w:rPr>
                <w:sz w:val="20"/>
                <w:szCs w:val="20"/>
                <w:color w:val="auto"/>
              </w:rPr>
            </w:pPr>
            <w:r>
              <w:rPr>
                <w:rFonts w:ascii="Calibri" w:cs="Calibri" w:eastAsia="Calibri" w:hAnsi="Calibri"/>
                <w:sz w:val="16"/>
                <w:szCs w:val="16"/>
                <w:b w:val="1"/>
                <w:bCs w:val="1"/>
                <w:color w:val="auto"/>
              </w:rPr>
              <w:t>2,901</w:t>
            </w:r>
          </w:p>
        </w:tc>
        <w:tc>
          <w:tcPr>
            <w:tcW w:w="8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920" w:type="dxa"/>
            <w:vAlign w:val="bottom"/>
            <w:tcBorders>
              <w:bottom w:val="single" w:sz="8" w:color="auto"/>
            </w:tcBorders>
          </w:tcPr>
          <w:p>
            <w:pPr>
              <w:jc w:val="right"/>
              <w:ind w:right="459"/>
              <w:spacing w:after="0" w:line="193" w:lineRule="exact"/>
              <w:rPr>
                <w:sz w:val="20"/>
                <w:szCs w:val="20"/>
                <w:color w:val="auto"/>
              </w:rPr>
            </w:pPr>
            <w:r>
              <w:rPr>
                <w:rFonts w:ascii="Calibri" w:cs="Calibri" w:eastAsia="Calibri" w:hAnsi="Calibri"/>
                <w:sz w:val="16"/>
                <w:szCs w:val="16"/>
                <w:b w:val="1"/>
                <w:bCs w:val="1"/>
                <w:color w:val="auto"/>
              </w:rPr>
              <w:t>(16)</w:t>
            </w:r>
          </w:p>
        </w:tc>
        <w:tc>
          <w:tcPr>
            <w:tcW w:w="10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2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w:t>
            </w:r>
          </w:p>
        </w:tc>
      </w:tr>
    </w:tbl>
    <w:p>
      <w:pPr>
        <w:spacing w:after="0" w:line="235" w:lineRule="exact"/>
        <w:rPr>
          <w:sz w:val="20"/>
          <w:szCs w:val="20"/>
          <w:color w:val="auto"/>
        </w:rPr>
      </w:pPr>
    </w:p>
    <w:p>
      <w:pPr>
        <w:ind w:left="220" w:right="20"/>
        <w:spacing w:after="0" w:line="280" w:lineRule="auto"/>
        <w:rPr>
          <w:sz w:val="20"/>
          <w:szCs w:val="20"/>
          <w:color w:val="auto"/>
        </w:rPr>
      </w:pPr>
      <w:r>
        <w:rPr>
          <w:rFonts w:ascii="Calibri" w:cs="Calibri" w:eastAsia="Calibri" w:hAnsi="Calibri"/>
          <w:sz w:val="16"/>
          <w:szCs w:val="16"/>
          <w:color w:val="auto"/>
        </w:rPr>
        <w:t>Based on the above net exposures as at December 31, 2023, and assuming that all other variables remain constant, a 10% change of the USD, GBP and EUR, against the CAD would impact net loss by approximately $2,919.</w:t>
      </w:r>
    </w:p>
    <w:p>
      <w:pPr>
        <w:spacing w:after="0" w:line="149" w:lineRule="exact"/>
        <w:rPr>
          <w:sz w:val="20"/>
          <w:szCs w:val="20"/>
          <w:color w:val="auto"/>
        </w:rPr>
      </w:pPr>
    </w:p>
    <w:p>
      <w:pPr>
        <w:ind w:left="220"/>
        <w:spacing w:after="0"/>
        <w:tabs>
          <w:tab w:leader="none" w:pos="560" w:val="left"/>
        </w:tabs>
        <w:rPr>
          <w:sz w:val="20"/>
          <w:szCs w:val="20"/>
          <w:color w:val="auto"/>
        </w:rPr>
      </w:pPr>
      <w:r>
        <w:rPr>
          <w:rFonts w:ascii="Calibri" w:cs="Calibri" w:eastAsia="Calibri" w:hAnsi="Calibri"/>
          <w:sz w:val="16"/>
          <w:szCs w:val="16"/>
          <w:b w:val="1"/>
          <w:bCs w:val="1"/>
          <w:color w:val="2D5F91"/>
        </w:rPr>
        <w:t>15.</w:t>
      </w:r>
      <w:r>
        <w:rPr>
          <w:sz w:val="20"/>
          <w:szCs w:val="20"/>
          <w:color w:val="auto"/>
        </w:rPr>
        <w:tab/>
      </w:r>
      <w:r>
        <w:rPr>
          <w:rFonts w:ascii="Calibri" w:cs="Calibri" w:eastAsia="Calibri" w:hAnsi="Calibri"/>
          <w:sz w:val="15"/>
          <w:szCs w:val="15"/>
          <w:b w:val="1"/>
          <w:bCs w:val="1"/>
          <w:color w:val="2D5F91"/>
        </w:rPr>
        <w:t>INCOME TAX</w:t>
      </w:r>
    </w:p>
    <w:p>
      <w:pPr>
        <w:spacing w:after="0" w:line="193"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Major items causing the Company’s income tax rate to difer from the Canadian statutory rate of approximately 26.50%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29 of 32</w:t>
      </w:r>
    </w:p>
    <w:p>
      <w:pPr>
        <w:sectPr>
          <w:pgSz w:w="11900" w:h="16838" w:orient="portrait"/>
          <w:cols w:equalWidth="0" w:num="1">
            <w:col w:w="11200"/>
          </w:cols>
          <w:pgMar w:left="380" w:top="198" w:right="319" w:bottom="1440" w:gutter="0" w:footer="0" w:header="0"/>
        </w:sectPr>
      </w:pPr>
    </w:p>
    <w:bookmarkStart w:id="32" w:name="page33"/>
    <w:bookmarkEnd w:id="32"/>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14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1462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240" w:type="dxa"/>
            <w:vAlign w:val="bottom"/>
            <w:gridSpan w:val="3"/>
          </w:tcPr>
          <w:p>
            <w:pPr>
              <w:jc w:val="right"/>
              <w:ind w:right="160"/>
              <w:spacing w:after="0"/>
              <w:rPr>
                <w:sz w:val="20"/>
                <w:szCs w:val="20"/>
                <w:color w:val="auto"/>
              </w:rPr>
            </w:pPr>
            <w:r>
              <w:rPr>
                <w:rFonts w:ascii="Calibri" w:cs="Calibri" w:eastAsia="Calibri" w:hAnsi="Calibri"/>
                <w:sz w:val="16"/>
                <w:szCs w:val="16"/>
                <w:b w:val="1"/>
                <w:bCs w:val="1"/>
                <w:color w:val="auto"/>
              </w:rPr>
              <w:t>Three-months Ended</w:t>
            </w:r>
          </w:p>
        </w:tc>
        <w:tc>
          <w:tcPr>
            <w:tcW w:w="1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w w:val="96"/>
              </w:rPr>
              <w:t>Nine-months Ended</w:t>
            </w:r>
          </w:p>
        </w:tc>
        <w:tc>
          <w:tcPr>
            <w:tcW w:w="0" w:type="dxa"/>
            <w:vAlign w:val="bottom"/>
          </w:tcPr>
          <w:p>
            <w:pPr>
              <w:spacing w:after="0"/>
              <w:rPr>
                <w:sz w:val="1"/>
                <w:szCs w:val="1"/>
                <w:color w:val="auto"/>
              </w:rPr>
            </w:pPr>
          </w:p>
        </w:tc>
      </w:tr>
      <w:tr>
        <w:trPr>
          <w:trHeight w:val="279"/>
        </w:trPr>
        <w:tc>
          <w:tcPr>
            <w:tcW w:w="4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December 31,</w:t>
            </w:r>
          </w:p>
        </w:tc>
        <w:tc>
          <w:tcPr>
            <w:tcW w:w="1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0" w:type="dxa"/>
            <w:vAlign w:val="bottom"/>
          </w:tcPr>
          <w:p>
            <w:pPr>
              <w:spacing w:after="0"/>
              <w:rPr>
                <w:sz w:val="1"/>
                <w:szCs w:val="1"/>
                <w:color w:val="auto"/>
              </w:rPr>
            </w:pPr>
          </w:p>
        </w:tc>
      </w:tr>
      <w:tr>
        <w:trPr>
          <w:trHeight w:val="279"/>
        </w:trPr>
        <w:tc>
          <w:tcPr>
            <w:tcW w:w="4660" w:type="dxa"/>
            <w:vAlign w:val="bottom"/>
          </w:tcPr>
          <w:p>
            <w:pPr>
              <w:spacing w:after="0"/>
              <w:rPr>
                <w:sz w:val="24"/>
                <w:szCs w:val="24"/>
                <w:color w:val="auto"/>
              </w:rPr>
            </w:pP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2023</w:t>
            </w: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2022</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2022</w:t>
            </w:r>
          </w:p>
        </w:tc>
        <w:tc>
          <w:tcPr>
            <w:tcW w:w="0" w:type="dxa"/>
            <w:vAlign w:val="bottom"/>
          </w:tcPr>
          <w:p>
            <w:pPr>
              <w:spacing w:after="0"/>
              <w:rPr>
                <w:sz w:val="1"/>
                <w:szCs w:val="1"/>
                <w:color w:val="auto"/>
              </w:rPr>
            </w:pPr>
          </w:p>
        </w:tc>
      </w:tr>
      <w:tr>
        <w:trPr>
          <w:trHeight w:val="57"/>
        </w:trPr>
        <w:tc>
          <w:tcPr>
            <w:tcW w:w="46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Calibri" w:cs="Calibri" w:eastAsia="Calibri" w:hAnsi="Calibri"/>
                <w:sz w:val="16"/>
                <w:szCs w:val="16"/>
                <w:color w:val="auto"/>
              </w:rPr>
              <w:t>Net loss and comprehensive loss before income taxes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  30,330</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  10,742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  56,734</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  33,770</w:t>
            </w:r>
          </w:p>
        </w:tc>
        <w:tc>
          <w:tcPr>
            <w:tcW w:w="0" w:type="dxa"/>
            <w:vAlign w:val="bottom"/>
          </w:tcPr>
          <w:p>
            <w:pPr>
              <w:spacing w:after="0"/>
              <w:rPr>
                <w:sz w:val="1"/>
                <w:szCs w:val="1"/>
                <w:color w:val="auto"/>
              </w:rPr>
            </w:pP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4660" w:type="dxa"/>
            <w:vAlign w:val="bottom"/>
          </w:tcPr>
          <w:p>
            <w:pPr>
              <w:ind w:left="20"/>
              <w:spacing w:after="0"/>
              <w:rPr>
                <w:sz w:val="20"/>
                <w:szCs w:val="20"/>
                <w:color w:val="auto"/>
              </w:rPr>
            </w:pPr>
            <w:r>
              <w:rPr>
                <w:rFonts w:ascii="Calibri" w:cs="Calibri" w:eastAsia="Calibri" w:hAnsi="Calibri"/>
                <w:sz w:val="16"/>
                <w:szCs w:val="16"/>
                <w:color w:val="auto"/>
              </w:rPr>
              <w:t>Expected income tax recovery</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8,038</w:t>
            </w: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2,847</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15,035</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8,949</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Non-capital losses acquired on acquisiton of subsidiary</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11,658</w:t>
            </w: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11,658</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Calibri" w:cs="Calibri" w:eastAsia="Calibri" w:hAnsi="Calibri"/>
                <w:sz w:val="16"/>
                <w:szCs w:val="16"/>
                <w:color w:val="auto"/>
              </w:rPr>
              <w:t>Share-based compensaton</w:t>
            </w:r>
          </w:p>
        </w:tc>
        <w:tc>
          <w:tcPr>
            <w:tcW w:w="1980" w:type="dxa"/>
            <w:vAlign w:val="bottom"/>
            <w:vMerge w:val="restart"/>
          </w:tcPr>
          <w:p>
            <w:pPr>
              <w:jc w:val="right"/>
              <w:ind w:right="139"/>
              <w:spacing w:after="0"/>
              <w:rPr>
                <w:sz w:val="20"/>
                <w:szCs w:val="20"/>
                <w:color w:val="auto"/>
              </w:rPr>
            </w:pPr>
            <w:r>
              <w:rPr>
                <w:rFonts w:ascii="Calibri" w:cs="Calibri" w:eastAsia="Calibri" w:hAnsi="Calibri"/>
                <w:sz w:val="16"/>
                <w:szCs w:val="16"/>
                <w:b w:val="1"/>
                <w:bCs w:val="1"/>
                <w:color w:val="auto"/>
              </w:rPr>
              <w:t>(2,631)</w:t>
            </w:r>
          </w:p>
        </w:tc>
        <w:tc>
          <w:tcPr>
            <w:tcW w:w="1260" w:type="dxa"/>
            <w:vAlign w:val="bottom"/>
            <w:gridSpan w:val="2"/>
            <w:vMerge w:val="restart"/>
          </w:tcPr>
          <w:p>
            <w:pPr>
              <w:jc w:val="right"/>
              <w:ind w:right="160"/>
              <w:spacing w:after="0"/>
              <w:rPr>
                <w:sz w:val="20"/>
                <w:szCs w:val="20"/>
                <w:color w:val="auto"/>
              </w:rPr>
            </w:pPr>
            <w:r>
              <w:rPr>
                <w:rFonts w:ascii="Calibri" w:cs="Calibri" w:eastAsia="Calibri" w:hAnsi="Calibri"/>
                <w:sz w:val="16"/>
                <w:szCs w:val="16"/>
                <w:b w:val="1"/>
                <w:bCs w:val="1"/>
                <w:color w:val="auto"/>
              </w:rPr>
              <w:t>—</w:t>
            </w:r>
          </w:p>
        </w:tc>
        <w:tc>
          <w:tcPr>
            <w:tcW w:w="128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(3,344)</w:t>
            </w:r>
          </w:p>
        </w:tc>
        <w:tc>
          <w:tcPr>
            <w:tcW w:w="136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9"/>
        </w:trPr>
        <w:tc>
          <w:tcPr>
            <w:tcW w:w="466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692</w:t>
            </w: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1,237</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Diference between Canadian and foreign tax rates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(1,366)</w:t>
            </w: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(1,510)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(3,259)</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(2,805)</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Efect of exchange on unbooked deferred tax assets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(227)</w:t>
            </w: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217</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Adjustments to prior year loss carryforwards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w:t>
            </w: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239</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Non-deductble expenses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(40)</w:t>
            </w: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(10)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(74)</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(861)</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Change in unrecognized deferred tax assets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(16,124)</w:t>
            </w: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(1,327)</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(21,709)</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(5,283)</w:t>
            </w:r>
          </w:p>
        </w:tc>
        <w:tc>
          <w:tcPr>
            <w:tcW w:w="0" w:type="dxa"/>
            <w:vAlign w:val="bottom"/>
          </w:tcPr>
          <w:p>
            <w:pPr>
              <w:spacing w:after="0"/>
              <w:rPr>
                <w:sz w:val="1"/>
                <w:szCs w:val="1"/>
                <w:color w:val="auto"/>
              </w:rPr>
            </w:pPr>
          </w:p>
        </w:tc>
      </w:tr>
      <w:tr>
        <w:trPr>
          <w:trHeight w:val="57"/>
        </w:trPr>
        <w:tc>
          <w:tcPr>
            <w:tcW w:w="46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Income tax recovery</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  —</w:t>
            </w: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  —</w:t>
            </w: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  —</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  —</w:t>
            </w:r>
          </w:p>
        </w:tc>
        <w:tc>
          <w:tcPr>
            <w:tcW w:w="0" w:type="dxa"/>
            <w:vAlign w:val="bottom"/>
          </w:tcPr>
          <w:p>
            <w:pPr>
              <w:spacing w:after="0"/>
              <w:rPr>
                <w:sz w:val="1"/>
                <w:szCs w:val="1"/>
                <w:color w:val="auto"/>
              </w:rPr>
            </w:pPr>
          </w:p>
        </w:tc>
      </w:tr>
      <w:tr>
        <w:trPr>
          <w:trHeight w:val="57"/>
        </w:trPr>
        <w:tc>
          <w:tcPr>
            <w:tcW w:w="46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ind w:right="60"/>
        <w:spacing w:after="0" w:line="265" w:lineRule="auto"/>
        <w:rPr>
          <w:sz w:val="20"/>
          <w:szCs w:val="20"/>
          <w:color w:val="auto"/>
        </w:rPr>
      </w:pPr>
      <w:r>
        <w:rPr>
          <w:rFonts w:ascii="Calibri" w:cs="Calibri" w:eastAsia="Calibri" w:hAnsi="Calibri"/>
          <w:sz w:val="16"/>
          <w:szCs w:val="16"/>
          <w:color w:val="auto"/>
        </w:rPr>
        <w:t>Note 1 - The three month ended December 31, 2023 amounts were determined by deductng the 6 months ended September 30, 2023 porton out of December 31, 2023 amounts per above.</w:t>
      </w:r>
    </w:p>
    <w:p>
      <w:pPr>
        <w:spacing w:after="0" w:line="175" w:lineRule="exact"/>
        <w:rPr>
          <w:sz w:val="20"/>
          <w:szCs w:val="20"/>
          <w:color w:val="auto"/>
        </w:rPr>
      </w:pPr>
    </w:p>
    <w:p>
      <w:pPr>
        <w:ind w:left="220"/>
        <w:spacing w:after="0" w:line="280" w:lineRule="auto"/>
        <w:rPr>
          <w:sz w:val="20"/>
          <w:szCs w:val="20"/>
          <w:color w:val="auto"/>
        </w:rPr>
      </w:pPr>
      <w:r>
        <w:rPr>
          <w:rFonts w:ascii="Calibri" w:cs="Calibri" w:eastAsia="Calibri" w:hAnsi="Calibri"/>
          <w:sz w:val="16"/>
          <w:szCs w:val="16"/>
          <w:color w:val="auto"/>
        </w:rPr>
        <w:t>The signifcant components of the Company’s deferred tax assets resultng from temporary diferences, unused tax credits and unused tax losses, that have not been included on the consolidated statements of fnancial positon, are as follows:</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32"/>
        </w:trPr>
        <w:tc>
          <w:tcPr>
            <w:tcW w:w="4680" w:type="dxa"/>
            <w:vAlign w:val="bottom"/>
          </w:tcPr>
          <w:p>
            <w:pPr>
              <w:ind w:left="20"/>
              <w:spacing w:after="0"/>
              <w:rPr>
                <w:sz w:val="20"/>
                <w:szCs w:val="20"/>
                <w:color w:val="auto"/>
              </w:rPr>
            </w:pPr>
            <w:r>
              <w:rPr>
                <w:rFonts w:ascii="Calibri" w:cs="Calibri" w:eastAsia="Calibri" w:hAnsi="Calibri"/>
                <w:sz w:val="16"/>
                <w:szCs w:val="16"/>
                <w:b w:val="1"/>
                <w:bCs w:val="1"/>
                <w:color w:val="auto"/>
              </w:rPr>
              <w:t>As at</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December 31, 2023</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2023</w:t>
            </w:r>
          </w:p>
        </w:tc>
      </w:tr>
      <w:tr>
        <w:trPr>
          <w:trHeight w:val="57"/>
        </w:trPr>
        <w:tc>
          <w:tcPr>
            <w:tcW w:w="468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02"/>
        </w:trPr>
        <w:tc>
          <w:tcPr>
            <w:tcW w:w="4680" w:type="dxa"/>
            <w:vAlign w:val="bottom"/>
          </w:tcPr>
          <w:p>
            <w:pPr>
              <w:ind w:left="20"/>
              <w:spacing w:after="0" w:line="193" w:lineRule="exact"/>
              <w:rPr>
                <w:sz w:val="20"/>
                <w:szCs w:val="20"/>
                <w:color w:val="auto"/>
              </w:rPr>
            </w:pPr>
            <w:r>
              <w:rPr>
                <w:rFonts w:ascii="Calibri" w:cs="Calibri" w:eastAsia="Calibri" w:hAnsi="Calibri"/>
                <w:sz w:val="16"/>
                <w:szCs w:val="16"/>
                <w:color w:val="auto"/>
              </w:rPr>
              <w:t>Non-capital loss carryforwards</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  40,124</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  20,248</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Deferred compensaton</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1,474</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1,089</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R&amp;D expenditures</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1,843</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1,053</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1,990</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1,303</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Depreciaton/CCA diferences</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(36)</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(6)</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Other</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7</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6</w:t>
            </w:r>
          </w:p>
        </w:tc>
      </w:tr>
      <w:tr>
        <w:trPr>
          <w:trHeight w:val="57"/>
        </w:trPr>
        <w:tc>
          <w:tcPr>
            <w:tcW w:w="468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02"/>
        </w:trPr>
        <w:tc>
          <w:tcPr>
            <w:tcW w:w="4680" w:type="dxa"/>
            <w:vAlign w:val="bottom"/>
          </w:tcPr>
          <w:p>
            <w:pPr>
              <w:spacing w:after="0"/>
              <w:rPr>
                <w:sz w:val="17"/>
                <w:szCs w:val="17"/>
                <w:color w:val="auto"/>
              </w:rPr>
            </w:pP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45,402</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23,693</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Valuaton allowance</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(45,402)</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(23,693)</w:t>
            </w:r>
          </w:p>
        </w:tc>
      </w:tr>
      <w:tr>
        <w:trPr>
          <w:trHeight w:val="57"/>
        </w:trPr>
        <w:tc>
          <w:tcPr>
            <w:tcW w:w="468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02"/>
        </w:trPr>
        <w:tc>
          <w:tcPr>
            <w:tcW w:w="4680" w:type="dxa"/>
            <w:vAlign w:val="bottom"/>
          </w:tcPr>
          <w:p>
            <w:pPr>
              <w:spacing w:after="0"/>
              <w:rPr>
                <w:sz w:val="17"/>
                <w:szCs w:val="17"/>
                <w:color w:val="auto"/>
              </w:rPr>
            </w:pP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  —</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  —</w:t>
            </w:r>
          </w:p>
        </w:tc>
      </w:tr>
      <w:tr>
        <w:trPr>
          <w:trHeight w:val="57"/>
        </w:trPr>
        <w:tc>
          <w:tcPr>
            <w:tcW w:w="468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235" w:lineRule="exact"/>
        <w:rPr>
          <w:sz w:val="20"/>
          <w:szCs w:val="20"/>
          <w:color w:val="auto"/>
        </w:rPr>
      </w:pPr>
    </w:p>
    <w:p>
      <w:pPr>
        <w:ind w:left="220"/>
        <w:spacing w:after="0" w:line="265" w:lineRule="auto"/>
        <w:rPr>
          <w:sz w:val="20"/>
          <w:szCs w:val="20"/>
          <w:color w:val="auto"/>
        </w:rPr>
      </w:pPr>
      <w:r>
        <w:rPr>
          <w:rFonts w:ascii="Calibri" w:cs="Calibri" w:eastAsia="Calibri" w:hAnsi="Calibri"/>
          <w:sz w:val="16"/>
          <w:szCs w:val="16"/>
          <w:color w:val="auto"/>
        </w:rPr>
        <w:t>These deferred tax assets have not been recognized because it is not probable that future taxable proft will be available against which the Company will be able to use these potental benefts.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30 of 32</w:t>
      </w:r>
    </w:p>
    <w:p>
      <w:pPr>
        <w:sectPr>
          <w:pgSz w:w="11900" w:h="16838" w:orient="portrait"/>
          <w:cols w:equalWidth="0" w:num="1">
            <w:col w:w="11180"/>
          </w:cols>
          <w:pgMar w:left="380" w:top="198" w:right="339" w:bottom="1440" w:gutter="0" w:footer="0" w:header="0"/>
        </w:sectPr>
      </w:pPr>
    </w:p>
    <w:bookmarkStart w:id="33" w:name="page34"/>
    <w:bookmarkEnd w:id="33"/>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Non-capital loss balance</w:t>
      </w:r>
    </w:p>
    <w:p>
      <w:pPr>
        <w:spacing w:after="0" w:line="195" w:lineRule="exact"/>
        <w:rPr>
          <w:sz w:val="20"/>
          <w:szCs w:val="20"/>
          <w:color w:val="auto"/>
        </w:rPr>
      </w:pPr>
    </w:p>
    <w:p>
      <w:pPr>
        <w:jc w:val="both"/>
        <w:ind w:left="280"/>
        <w:spacing w:after="0" w:line="280" w:lineRule="auto"/>
        <w:rPr>
          <w:sz w:val="20"/>
          <w:szCs w:val="20"/>
          <w:color w:val="auto"/>
        </w:rPr>
      </w:pPr>
      <w:r>
        <w:rPr>
          <w:rFonts w:ascii="Calibri" w:cs="Calibri" w:eastAsia="Calibri" w:hAnsi="Calibri"/>
          <w:sz w:val="16"/>
          <w:szCs w:val="16"/>
          <w:color w:val="auto"/>
        </w:rPr>
        <w:t>As at December 31, 2023, the Company has non-capital losses in Canada, which under certain circumstances can be used to reduce the taxable income of future years. The non-capital losses expire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154305</wp:posOffset>
            </wp:positionV>
            <wp:extent cx="714629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Year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4629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jc w:val="right"/>
              <w:ind w:right="4199"/>
              <w:spacing w:after="0"/>
              <w:rPr>
                <w:sz w:val="20"/>
                <w:szCs w:val="20"/>
                <w:color w:val="auto"/>
              </w:rPr>
            </w:pPr>
            <w:r>
              <w:rPr>
                <w:rFonts w:ascii="Calibri" w:cs="Calibri" w:eastAsia="Calibri" w:hAnsi="Calibri"/>
                <w:sz w:val="16"/>
                <w:szCs w:val="16"/>
                <w:color w:val="auto"/>
                <w:w w:val="98"/>
              </w:rPr>
              <w:t>2040</w:t>
            </w:r>
          </w:p>
        </w:tc>
        <w:tc>
          <w:tcPr>
            <w:tcW w:w="6060" w:type="dxa"/>
            <w:vAlign w:val="bottom"/>
          </w:tcPr>
          <w:p>
            <w:pPr>
              <w:jc w:val="right"/>
              <w:ind w:right="1619"/>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740</w:t>
            </w:r>
          </w:p>
        </w:tc>
      </w:tr>
      <w:tr>
        <w:trPr>
          <w:trHeight w:val="267"/>
        </w:trPr>
        <w:tc>
          <w:tcPr>
            <w:tcW w:w="4620" w:type="dxa"/>
            <w:vAlign w:val="bottom"/>
          </w:tcPr>
          <w:p>
            <w:pPr>
              <w:jc w:val="right"/>
              <w:ind w:right="4199"/>
              <w:spacing w:after="0"/>
              <w:rPr>
                <w:sz w:val="20"/>
                <w:szCs w:val="20"/>
                <w:color w:val="auto"/>
              </w:rPr>
            </w:pPr>
            <w:r>
              <w:rPr>
                <w:rFonts w:ascii="Calibri" w:cs="Calibri" w:eastAsia="Calibri" w:hAnsi="Calibri"/>
                <w:sz w:val="16"/>
                <w:szCs w:val="16"/>
                <w:color w:val="auto"/>
                <w:w w:val="98"/>
              </w:rPr>
              <w:t>2041</w:t>
            </w:r>
          </w:p>
        </w:tc>
        <w:tc>
          <w:tcPr>
            <w:tcW w:w="60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19,193</w:t>
            </w:r>
          </w:p>
        </w:tc>
      </w:tr>
      <w:tr>
        <w:trPr>
          <w:trHeight w:val="267"/>
        </w:trPr>
        <w:tc>
          <w:tcPr>
            <w:tcW w:w="4620" w:type="dxa"/>
            <w:vAlign w:val="bottom"/>
          </w:tcPr>
          <w:p>
            <w:pPr>
              <w:jc w:val="right"/>
              <w:ind w:right="4199"/>
              <w:spacing w:after="0"/>
              <w:rPr>
                <w:sz w:val="20"/>
                <w:szCs w:val="20"/>
                <w:color w:val="auto"/>
              </w:rPr>
            </w:pPr>
            <w:r>
              <w:rPr>
                <w:rFonts w:ascii="Calibri" w:cs="Calibri" w:eastAsia="Calibri" w:hAnsi="Calibri"/>
                <w:sz w:val="16"/>
                <w:szCs w:val="16"/>
                <w:color w:val="auto"/>
                <w:w w:val="98"/>
              </w:rPr>
              <w:t>2042</w:t>
            </w:r>
          </w:p>
        </w:tc>
        <w:tc>
          <w:tcPr>
            <w:tcW w:w="60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12,234</w:t>
            </w:r>
          </w:p>
        </w:tc>
      </w:tr>
      <w:tr>
        <w:trPr>
          <w:trHeight w:val="267"/>
        </w:trPr>
        <w:tc>
          <w:tcPr>
            <w:tcW w:w="4620" w:type="dxa"/>
            <w:vAlign w:val="bottom"/>
          </w:tcPr>
          <w:p>
            <w:pPr>
              <w:jc w:val="right"/>
              <w:ind w:right="4199"/>
              <w:spacing w:after="0"/>
              <w:rPr>
                <w:sz w:val="20"/>
                <w:szCs w:val="20"/>
                <w:color w:val="auto"/>
              </w:rPr>
            </w:pPr>
            <w:r>
              <w:rPr>
                <w:rFonts w:ascii="Calibri" w:cs="Calibri" w:eastAsia="Calibri" w:hAnsi="Calibri"/>
                <w:sz w:val="16"/>
                <w:szCs w:val="16"/>
                <w:color w:val="auto"/>
                <w:w w:val="98"/>
              </w:rPr>
              <w:t>2043</w:t>
            </w:r>
          </w:p>
        </w:tc>
        <w:tc>
          <w:tcPr>
            <w:tcW w:w="60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10,704</w:t>
            </w:r>
          </w:p>
        </w:tc>
      </w:tr>
      <w:tr>
        <w:trPr>
          <w:trHeight w:val="267"/>
        </w:trPr>
        <w:tc>
          <w:tcPr>
            <w:tcW w:w="4620" w:type="dxa"/>
            <w:vAlign w:val="bottom"/>
          </w:tcPr>
          <w:p>
            <w:pPr>
              <w:jc w:val="right"/>
              <w:ind w:right="4199"/>
              <w:spacing w:after="0"/>
              <w:rPr>
                <w:sz w:val="20"/>
                <w:szCs w:val="20"/>
                <w:color w:val="auto"/>
              </w:rPr>
            </w:pPr>
            <w:r>
              <w:rPr>
                <w:rFonts w:ascii="Calibri" w:cs="Calibri" w:eastAsia="Calibri" w:hAnsi="Calibri"/>
                <w:sz w:val="16"/>
                <w:szCs w:val="16"/>
                <w:color w:val="auto"/>
                <w:w w:val="98"/>
              </w:rPr>
              <w:t>2044</w:t>
            </w:r>
          </w:p>
        </w:tc>
        <w:tc>
          <w:tcPr>
            <w:tcW w:w="60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17,830</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2"/>
        </w:trPr>
        <w:tc>
          <w:tcPr>
            <w:tcW w:w="4620" w:type="dxa"/>
            <w:vAlign w:val="bottom"/>
          </w:tcPr>
          <w:p>
            <w:pPr>
              <w:spacing w:after="0"/>
              <w:rPr>
                <w:sz w:val="17"/>
                <w:szCs w:val="17"/>
                <w:color w:val="auto"/>
              </w:rPr>
            </w:pPr>
          </w:p>
        </w:tc>
        <w:tc>
          <w:tcPr>
            <w:tcW w:w="60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60,701</w:t>
            </w:r>
          </w:p>
        </w:tc>
      </w:tr>
      <w:tr>
        <w:trPr>
          <w:trHeight w:val="33"/>
        </w:trPr>
        <w:tc>
          <w:tcPr>
            <w:tcW w:w="462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235"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As at December 31, 2023, the Company has non-capital losses in the United States, which under certain circumstances can be used to reduce the taxable income of future years. The non-capital losses, stated in Canadian dollars, that will expire as follows:</w:t>
      </w:r>
    </w:p>
    <w:p>
      <w:pPr>
        <w:spacing w:after="0" w:line="149"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loss carryforward in the United States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144145</wp:posOffset>
            </wp:positionV>
            <wp:extent cx="667639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76390" cy="7620"/>
                    </a:xfrm>
                    <a:prstGeom prst="rect">
                      <a:avLst/>
                    </a:prstGeom>
                    <a:noFill/>
                  </pic:spPr>
                </pic:pic>
              </a:graphicData>
            </a:graphic>
          </wp:anchor>
        </w:drawing>
      </w:r>
    </w:p>
    <w:p>
      <w:pPr>
        <w:spacing w:after="0" w:line="209"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color w:val="auto"/>
        </w:rPr>
        <w:t>Year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51435</wp:posOffset>
            </wp:positionV>
            <wp:extent cx="667639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76390" cy="7620"/>
                    </a:xfrm>
                    <a:prstGeom prst="rect">
                      <a:avLst/>
                    </a:prstGeom>
                    <a:noFill/>
                  </pic:spPr>
                </pic:pic>
              </a:graphicData>
            </a:graphic>
          </wp:anchor>
        </w:drawing>
      </w:r>
    </w:p>
    <w:p>
      <w:pPr>
        <w:spacing w:after="0" w:line="64"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360" w:type="dxa"/>
            <w:vAlign w:val="bottom"/>
          </w:tcPr>
          <w:p>
            <w:pPr>
              <w:jc w:val="right"/>
              <w:spacing w:after="0"/>
              <w:rPr>
                <w:sz w:val="20"/>
                <w:szCs w:val="20"/>
                <w:color w:val="auto"/>
              </w:rPr>
            </w:pPr>
            <w:r>
              <w:rPr>
                <w:rFonts w:ascii="Calibri" w:cs="Calibri" w:eastAsia="Calibri" w:hAnsi="Calibri"/>
                <w:sz w:val="16"/>
                <w:szCs w:val="16"/>
                <w:color w:val="auto"/>
                <w:w w:val="98"/>
              </w:rPr>
              <w:t>2041</w:t>
            </w:r>
          </w:p>
        </w:tc>
        <w:tc>
          <w:tcPr>
            <w:tcW w:w="6560" w:type="dxa"/>
            <w:vAlign w:val="bottom"/>
          </w:tcPr>
          <w:p>
            <w:pPr>
              <w:ind w:left="20"/>
              <w:spacing w:after="0"/>
              <w:rPr>
                <w:sz w:val="20"/>
                <w:szCs w:val="20"/>
                <w:color w:val="auto"/>
              </w:rPr>
            </w:pPr>
            <w:r>
              <w:rPr>
                <w:rFonts w:ascii="Calibri" w:cs="Calibri" w:eastAsia="Calibri" w:hAnsi="Calibri"/>
                <w:sz w:val="16"/>
                <w:szCs w:val="16"/>
                <w:color w:val="auto"/>
              </w:rPr>
              <w:t>- Pre-acquisiton loss generated up to December 4, 2020</w:t>
            </w:r>
          </w:p>
        </w:tc>
        <w:tc>
          <w:tcPr>
            <w:tcW w:w="25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969</w:t>
            </w:r>
          </w:p>
        </w:tc>
      </w:tr>
      <w:tr>
        <w:trPr>
          <w:trHeight w:val="206"/>
        </w:trPr>
        <w:tc>
          <w:tcPr>
            <w:tcW w:w="360" w:type="dxa"/>
            <w:vAlign w:val="bottom"/>
          </w:tcPr>
          <w:p>
            <w:pPr>
              <w:jc w:val="right"/>
              <w:spacing w:after="0"/>
              <w:rPr>
                <w:sz w:val="20"/>
                <w:szCs w:val="20"/>
                <w:color w:val="auto"/>
              </w:rPr>
            </w:pPr>
            <w:r>
              <w:rPr>
                <w:rFonts w:ascii="Calibri" w:cs="Calibri" w:eastAsia="Calibri" w:hAnsi="Calibri"/>
                <w:sz w:val="16"/>
                <w:szCs w:val="16"/>
                <w:color w:val="auto"/>
                <w:w w:val="98"/>
              </w:rPr>
              <w:t>2041</w:t>
            </w:r>
          </w:p>
        </w:tc>
        <w:tc>
          <w:tcPr>
            <w:tcW w:w="6560" w:type="dxa"/>
            <w:vAlign w:val="bottom"/>
          </w:tcPr>
          <w:p>
            <w:pPr>
              <w:ind w:left="20"/>
              <w:spacing w:after="0"/>
              <w:rPr>
                <w:sz w:val="20"/>
                <w:szCs w:val="20"/>
                <w:color w:val="auto"/>
              </w:rPr>
            </w:pPr>
            <w:r>
              <w:rPr>
                <w:rFonts w:ascii="Calibri" w:cs="Calibri" w:eastAsia="Calibri" w:hAnsi="Calibri"/>
                <w:sz w:val="16"/>
                <w:szCs w:val="16"/>
                <w:color w:val="auto"/>
              </w:rPr>
              <w:t>- Loss generated in the period from December 4, 2020 to March 31, 2021</w:t>
            </w:r>
          </w:p>
        </w:tc>
        <w:tc>
          <w:tcPr>
            <w:tcW w:w="25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1,293</w:t>
            </w:r>
          </w:p>
        </w:tc>
      </w:tr>
      <w:tr>
        <w:trPr>
          <w:trHeight w:val="206"/>
        </w:trPr>
        <w:tc>
          <w:tcPr>
            <w:tcW w:w="360" w:type="dxa"/>
            <w:vAlign w:val="bottom"/>
          </w:tcPr>
          <w:p>
            <w:pPr>
              <w:jc w:val="right"/>
              <w:spacing w:after="0"/>
              <w:rPr>
                <w:sz w:val="20"/>
                <w:szCs w:val="20"/>
                <w:color w:val="auto"/>
              </w:rPr>
            </w:pPr>
            <w:r>
              <w:rPr>
                <w:rFonts w:ascii="Calibri" w:cs="Calibri" w:eastAsia="Calibri" w:hAnsi="Calibri"/>
                <w:sz w:val="16"/>
                <w:szCs w:val="16"/>
                <w:color w:val="auto"/>
                <w:w w:val="98"/>
              </w:rPr>
              <w:t>2042</w:t>
            </w:r>
          </w:p>
        </w:tc>
        <w:tc>
          <w:tcPr>
            <w:tcW w:w="6560" w:type="dxa"/>
            <w:vAlign w:val="bottom"/>
          </w:tcPr>
          <w:p>
            <w:pPr>
              <w:ind w:left="20"/>
              <w:spacing w:after="0"/>
              <w:rPr>
                <w:sz w:val="20"/>
                <w:szCs w:val="20"/>
                <w:color w:val="auto"/>
              </w:rPr>
            </w:pPr>
            <w:r>
              <w:rPr>
                <w:rFonts w:ascii="Calibri" w:cs="Calibri" w:eastAsia="Calibri" w:hAnsi="Calibri"/>
                <w:sz w:val="16"/>
                <w:szCs w:val="16"/>
                <w:color w:val="auto"/>
              </w:rPr>
              <w:t>- Loss generated in the year ended March 31, 2022</w:t>
            </w:r>
          </w:p>
        </w:tc>
        <w:tc>
          <w:tcPr>
            <w:tcW w:w="25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5,849</w:t>
            </w:r>
          </w:p>
        </w:tc>
      </w:tr>
      <w:tr>
        <w:trPr>
          <w:trHeight w:val="206"/>
        </w:trPr>
        <w:tc>
          <w:tcPr>
            <w:tcW w:w="360" w:type="dxa"/>
            <w:vAlign w:val="bottom"/>
          </w:tcPr>
          <w:p>
            <w:pPr>
              <w:jc w:val="right"/>
              <w:spacing w:after="0"/>
              <w:rPr>
                <w:sz w:val="20"/>
                <w:szCs w:val="20"/>
                <w:color w:val="auto"/>
              </w:rPr>
            </w:pPr>
            <w:r>
              <w:rPr>
                <w:rFonts w:ascii="Calibri" w:cs="Calibri" w:eastAsia="Calibri" w:hAnsi="Calibri"/>
                <w:sz w:val="16"/>
                <w:szCs w:val="16"/>
                <w:color w:val="auto"/>
                <w:w w:val="98"/>
              </w:rPr>
              <w:t>2043</w:t>
            </w:r>
          </w:p>
        </w:tc>
        <w:tc>
          <w:tcPr>
            <w:tcW w:w="6560" w:type="dxa"/>
            <w:vAlign w:val="bottom"/>
          </w:tcPr>
          <w:p>
            <w:pPr>
              <w:ind w:left="20"/>
              <w:spacing w:after="0"/>
              <w:rPr>
                <w:sz w:val="20"/>
                <w:szCs w:val="20"/>
                <w:color w:val="auto"/>
              </w:rPr>
            </w:pPr>
            <w:r>
              <w:rPr>
                <w:rFonts w:ascii="Calibri" w:cs="Calibri" w:eastAsia="Calibri" w:hAnsi="Calibri"/>
                <w:sz w:val="16"/>
                <w:szCs w:val="16"/>
                <w:color w:val="auto"/>
              </w:rPr>
              <w:t>- Loss generated in the year ended March 31, 2023</w:t>
            </w:r>
          </w:p>
        </w:tc>
        <w:tc>
          <w:tcPr>
            <w:tcW w:w="25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5,311</w:t>
            </w:r>
          </w:p>
        </w:tc>
      </w:tr>
      <w:tr>
        <w:trPr>
          <w:trHeight w:val="206"/>
        </w:trPr>
        <w:tc>
          <w:tcPr>
            <w:tcW w:w="360" w:type="dxa"/>
            <w:vAlign w:val="bottom"/>
          </w:tcPr>
          <w:p>
            <w:pPr>
              <w:jc w:val="right"/>
              <w:spacing w:after="0"/>
              <w:rPr>
                <w:sz w:val="20"/>
                <w:szCs w:val="20"/>
                <w:color w:val="auto"/>
              </w:rPr>
            </w:pPr>
            <w:r>
              <w:rPr>
                <w:rFonts w:ascii="Calibri" w:cs="Calibri" w:eastAsia="Calibri" w:hAnsi="Calibri"/>
                <w:sz w:val="16"/>
                <w:szCs w:val="16"/>
                <w:color w:val="auto"/>
                <w:w w:val="98"/>
              </w:rPr>
              <w:t>2044</w:t>
            </w:r>
          </w:p>
        </w:tc>
        <w:tc>
          <w:tcPr>
            <w:tcW w:w="6560" w:type="dxa"/>
            <w:vAlign w:val="bottom"/>
          </w:tcPr>
          <w:p>
            <w:pPr>
              <w:ind w:left="20"/>
              <w:spacing w:after="0"/>
              <w:rPr>
                <w:sz w:val="20"/>
                <w:szCs w:val="20"/>
                <w:color w:val="auto"/>
              </w:rPr>
            </w:pPr>
            <w:r>
              <w:rPr>
                <w:rFonts w:ascii="Calibri" w:cs="Calibri" w:eastAsia="Calibri" w:hAnsi="Calibri"/>
                <w:sz w:val="16"/>
                <w:szCs w:val="16"/>
                <w:color w:val="auto"/>
              </w:rPr>
              <w:t>- Loss generated in the nine-month period ended December 31, 2023</w:t>
            </w:r>
          </w:p>
        </w:tc>
        <w:tc>
          <w:tcPr>
            <w:tcW w:w="25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2,792</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360" w:type="dxa"/>
            <w:vAlign w:val="bottom"/>
            <w:tcBorders>
              <w:bottom w:val="single" w:sz="8" w:color="auto"/>
            </w:tcBorders>
          </w:tcPr>
          <w:p>
            <w:pPr>
              <w:spacing w:after="0"/>
              <w:rPr>
                <w:sz w:val="16"/>
                <w:szCs w:val="16"/>
                <w:color w:val="auto"/>
              </w:rPr>
            </w:pPr>
          </w:p>
        </w:tc>
        <w:tc>
          <w:tcPr>
            <w:tcW w:w="65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w:t>
            </w:r>
          </w:p>
        </w:tc>
        <w:tc>
          <w:tcPr>
            <w:tcW w:w="1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16,214</w:t>
            </w:r>
          </w:p>
        </w:tc>
      </w:tr>
    </w:tbl>
    <w:p>
      <w:pPr>
        <w:spacing w:after="0" w:line="235" w:lineRule="exact"/>
        <w:rPr>
          <w:sz w:val="20"/>
          <w:szCs w:val="20"/>
          <w:color w:val="auto"/>
        </w:rPr>
      </w:pPr>
    </w:p>
    <w:p>
      <w:pPr>
        <w:jc w:val="both"/>
        <w:ind w:left="280" w:right="20"/>
        <w:spacing w:after="0" w:line="274" w:lineRule="auto"/>
        <w:rPr>
          <w:sz w:val="20"/>
          <w:szCs w:val="20"/>
          <w:color w:val="auto"/>
        </w:rPr>
      </w:pPr>
      <w:r>
        <w:rPr>
          <w:rFonts w:ascii="Calibri" w:cs="Calibri" w:eastAsia="Calibri" w:hAnsi="Calibri"/>
          <w:sz w:val="16"/>
          <w:szCs w:val="16"/>
          <w:color w:val="auto"/>
        </w:rPr>
        <w:t>Although the US federal losses carryforward indefnitely, they are subject to restrictons on their deductbility. The deductbility of the pre-acquisiton loss and the post-acquisiton loss is restricted to 80% of taxable income in the year of deducton. The pre-acquisiton loss is further restricted to an annual limitaton under Secton 382. As at December 31, 2023, the annual limitaton was $144.</w:t>
      </w:r>
    </w:p>
    <w:p>
      <w:pPr>
        <w:spacing w:after="0" w:line="166"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Massachusets allows for a 20-year carryforward period for restricted and unrestricted losses without limitaton.</w:t>
      </w:r>
    </w:p>
    <w:p>
      <w:pPr>
        <w:spacing w:after="0" w:line="195"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As at December 31, 2023, the Company has non-capital losses in Ireland, which under certain circumstances can be used to reduce the taxable income of future years. The non-capital losses, stated in Canadian dollars, expire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31 of 32</w:t>
      </w:r>
    </w:p>
    <w:p>
      <w:pPr>
        <w:sectPr>
          <w:pgSz w:w="11900" w:h="16838" w:orient="portrait"/>
          <w:cols w:equalWidth="0" w:num="1">
            <w:col w:w="11260"/>
          </w:cols>
          <w:pgMar w:left="320" w:top="198" w:right="319" w:bottom="1440" w:gutter="0" w:footer="0" w:header="0"/>
        </w:sectPr>
      </w:pPr>
    </w:p>
    <w:bookmarkStart w:id="34" w:name="page35"/>
    <w:bookmarkEnd w:id="34"/>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3"/>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3" w:right="14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3"/>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629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581025</wp:posOffset>
            </wp:positionV>
            <wp:extent cx="67691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691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3"/>
        <w:spacing w:after="0"/>
        <w:rPr>
          <w:sz w:val="20"/>
          <w:szCs w:val="20"/>
          <w:color w:val="auto"/>
        </w:rPr>
      </w:pPr>
      <w:r>
        <w:rPr>
          <w:rFonts w:ascii="Calibri" w:cs="Calibri" w:eastAsia="Calibri" w:hAnsi="Calibri"/>
          <w:sz w:val="16"/>
          <w:szCs w:val="16"/>
          <w:b w:val="1"/>
          <w:bCs w:val="1"/>
          <w:color w:val="auto"/>
        </w:rPr>
        <w:t>Year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51435</wp:posOffset>
            </wp:positionV>
            <wp:extent cx="67691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69100" cy="7620"/>
                    </a:xfrm>
                    <a:prstGeom prst="rect">
                      <a:avLst/>
                    </a:prstGeom>
                    <a:noFill/>
                  </pic:spPr>
                </pic:pic>
              </a:graphicData>
            </a:graphic>
          </wp:anchor>
        </w:drawing>
      </w:r>
    </w:p>
    <w:p>
      <w:pPr>
        <w:spacing w:after="0" w:line="64" w:lineRule="exact"/>
        <w:rPr>
          <w:sz w:val="20"/>
          <w:szCs w:val="20"/>
          <w:color w:val="auto"/>
        </w:rPr>
      </w:pPr>
    </w:p>
    <w:tbl>
      <w:tblPr>
        <w:tblLayout w:type="fixed"/>
        <w:tblInd w:w="283" w:type="dxa"/>
        <w:tblCellMar>
          <w:top w:w="0" w:type="dxa"/>
          <w:left w:w="0" w:type="dxa"/>
          <w:bottom w:w="0" w:type="dxa"/>
          <w:right w:w="0" w:type="dxa"/>
        </w:tblCellMar>
      </w:tblPr>
      <w:tr>
        <w:trPr>
          <w:trHeight w:val="220"/>
        </w:trPr>
        <w:tc>
          <w:tcPr>
            <w:tcW w:w="5140" w:type="dxa"/>
            <w:vAlign w:val="bottom"/>
          </w:tcPr>
          <w:p>
            <w:pPr>
              <w:jc w:val="right"/>
              <w:ind w:right="4719"/>
              <w:spacing w:after="0"/>
              <w:rPr>
                <w:sz w:val="20"/>
                <w:szCs w:val="20"/>
                <w:color w:val="auto"/>
              </w:rPr>
            </w:pPr>
            <w:r>
              <w:rPr>
                <w:rFonts w:ascii="Calibri" w:cs="Calibri" w:eastAsia="Calibri" w:hAnsi="Calibri"/>
                <w:sz w:val="16"/>
                <w:szCs w:val="16"/>
                <w:color w:val="auto"/>
                <w:w w:val="98"/>
              </w:rPr>
              <w:t>2042</w:t>
            </w:r>
          </w:p>
        </w:tc>
        <w:tc>
          <w:tcPr>
            <w:tcW w:w="49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60" w:type="dxa"/>
            <w:vAlign w:val="bottom"/>
          </w:tcPr>
          <w:p>
            <w:pPr>
              <w:jc w:val="right"/>
              <w:spacing w:after="0"/>
              <w:rPr>
                <w:sz w:val="20"/>
                <w:szCs w:val="20"/>
                <w:color w:val="auto"/>
              </w:rPr>
            </w:pPr>
            <w:r>
              <w:rPr>
                <w:rFonts w:ascii="Calibri" w:cs="Calibri" w:eastAsia="Calibri" w:hAnsi="Calibri"/>
                <w:sz w:val="16"/>
                <w:szCs w:val="16"/>
                <w:b w:val="1"/>
                <w:bCs w:val="1"/>
                <w:color w:val="auto"/>
              </w:rPr>
              <w:t>22,965</w:t>
            </w:r>
          </w:p>
        </w:tc>
      </w:tr>
      <w:tr>
        <w:trPr>
          <w:trHeight w:val="279"/>
        </w:trPr>
        <w:tc>
          <w:tcPr>
            <w:tcW w:w="5140" w:type="dxa"/>
            <w:vAlign w:val="bottom"/>
          </w:tcPr>
          <w:p>
            <w:pPr>
              <w:jc w:val="right"/>
              <w:ind w:right="4719"/>
              <w:spacing w:after="0"/>
              <w:rPr>
                <w:sz w:val="20"/>
                <w:szCs w:val="20"/>
                <w:color w:val="auto"/>
              </w:rPr>
            </w:pPr>
            <w:r>
              <w:rPr>
                <w:rFonts w:ascii="Calibri" w:cs="Calibri" w:eastAsia="Calibri" w:hAnsi="Calibri"/>
                <w:sz w:val="16"/>
                <w:szCs w:val="16"/>
                <w:color w:val="auto"/>
                <w:w w:val="98"/>
              </w:rPr>
              <w:t>2043</w:t>
            </w:r>
          </w:p>
        </w:tc>
        <w:tc>
          <w:tcPr>
            <w:tcW w:w="49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60" w:type="dxa"/>
            <w:vAlign w:val="bottom"/>
          </w:tcPr>
          <w:p>
            <w:pPr>
              <w:jc w:val="right"/>
              <w:spacing w:after="0"/>
              <w:rPr>
                <w:sz w:val="20"/>
                <w:szCs w:val="20"/>
                <w:color w:val="auto"/>
              </w:rPr>
            </w:pPr>
            <w:r>
              <w:rPr>
                <w:rFonts w:ascii="Calibri" w:cs="Calibri" w:eastAsia="Calibri" w:hAnsi="Calibri"/>
                <w:sz w:val="16"/>
                <w:szCs w:val="16"/>
                <w:b w:val="1"/>
                <w:bCs w:val="1"/>
                <w:color w:val="auto"/>
              </w:rPr>
              <w:t>23,017</w:t>
            </w:r>
          </w:p>
        </w:tc>
      </w:tr>
      <w:tr>
        <w:trPr>
          <w:trHeight w:val="279"/>
        </w:trPr>
        <w:tc>
          <w:tcPr>
            <w:tcW w:w="5140" w:type="dxa"/>
            <w:vAlign w:val="bottom"/>
          </w:tcPr>
          <w:p>
            <w:pPr>
              <w:jc w:val="right"/>
              <w:ind w:right="4719"/>
              <w:spacing w:after="0"/>
              <w:rPr>
                <w:sz w:val="20"/>
                <w:szCs w:val="20"/>
                <w:color w:val="auto"/>
              </w:rPr>
            </w:pPr>
            <w:r>
              <w:rPr>
                <w:rFonts w:ascii="Calibri" w:cs="Calibri" w:eastAsia="Calibri" w:hAnsi="Calibri"/>
                <w:sz w:val="16"/>
                <w:szCs w:val="16"/>
                <w:color w:val="auto"/>
                <w:w w:val="98"/>
              </w:rPr>
              <w:t>2044</w:t>
            </w:r>
          </w:p>
        </w:tc>
        <w:tc>
          <w:tcPr>
            <w:tcW w:w="49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60" w:type="dxa"/>
            <w:vAlign w:val="bottom"/>
          </w:tcPr>
          <w:p>
            <w:pPr>
              <w:jc w:val="right"/>
              <w:spacing w:after="0"/>
              <w:rPr>
                <w:sz w:val="20"/>
                <w:szCs w:val="20"/>
                <w:color w:val="auto"/>
              </w:rPr>
            </w:pPr>
            <w:r>
              <w:rPr>
                <w:rFonts w:ascii="Calibri" w:cs="Calibri" w:eastAsia="Calibri" w:hAnsi="Calibri"/>
                <w:sz w:val="16"/>
                <w:szCs w:val="16"/>
                <w:b w:val="1"/>
                <w:bCs w:val="1"/>
                <w:color w:val="auto"/>
              </w:rPr>
              <w:t>13,318</w:t>
            </w:r>
          </w:p>
        </w:tc>
      </w:tr>
      <w:tr>
        <w:trPr>
          <w:trHeight w:val="57"/>
        </w:trPr>
        <w:tc>
          <w:tcPr>
            <w:tcW w:w="5140" w:type="dxa"/>
            <w:vAlign w:val="bottom"/>
            <w:tcBorders>
              <w:bottom w:val="single" w:sz="8" w:color="auto"/>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02"/>
        </w:trPr>
        <w:tc>
          <w:tcPr>
            <w:tcW w:w="5140" w:type="dxa"/>
            <w:vAlign w:val="bottom"/>
          </w:tcPr>
          <w:p>
            <w:pPr>
              <w:spacing w:after="0"/>
              <w:rPr>
                <w:sz w:val="17"/>
                <w:szCs w:val="17"/>
                <w:color w:val="auto"/>
              </w:rPr>
            </w:pPr>
          </w:p>
        </w:tc>
        <w:tc>
          <w:tcPr>
            <w:tcW w:w="49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60" w:type="dxa"/>
            <w:vAlign w:val="bottom"/>
          </w:tcPr>
          <w:p>
            <w:pPr>
              <w:jc w:val="right"/>
              <w:spacing w:after="0"/>
              <w:rPr>
                <w:sz w:val="20"/>
                <w:szCs w:val="20"/>
                <w:color w:val="auto"/>
              </w:rPr>
            </w:pPr>
            <w:r>
              <w:rPr>
                <w:rFonts w:ascii="Calibri" w:cs="Calibri" w:eastAsia="Calibri" w:hAnsi="Calibri"/>
                <w:sz w:val="16"/>
                <w:szCs w:val="16"/>
                <w:b w:val="1"/>
                <w:bCs w:val="1"/>
                <w:color w:val="auto"/>
              </w:rPr>
              <w:t>59,300</w:t>
            </w:r>
          </w:p>
        </w:tc>
      </w:tr>
      <w:tr>
        <w:trPr>
          <w:trHeight w:val="57"/>
        </w:trPr>
        <w:tc>
          <w:tcPr>
            <w:tcW w:w="5140" w:type="dxa"/>
            <w:vAlign w:val="bottom"/>
            <w:tcBorders>
              <w:bottom w:val="single" w:sz="8" w:color="auto"/>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pacing w:after="0" w:line="235" w:lineRule="exact"/>
        <w:rPr>
          <w:sz w:val="20"/>
          <w:szCs w:val="20"/>
          <w:color w:val="auto"/>
        </w:rPr>
      </w:pPr>
    </w:p>
    <w:p>
      <w:pPr>
        <w:ind w:left="283"/>
        <w:spacing w:after="0" w:line="265" w:lineRule="auto"/>
        <w:rPr>
          <w:sz w:val="20"/>
          <w:szCs w:val="20"/>
          <w:color w:val="auto"/>
        </w:rPr>
      </w:pPr>
      <w:r>
        <w:rPr>
          <w:rFonts w:ascii="Calibri" w:cs="Calibri" w:eastAsia="Calibri" w:hAnsi="Calibri"/>
          <w:sz w:val="16"/>
          <w:szCs w:val="16"/>
          <w:color w:val="auto"/>
        </w:rPr>
        <w:t>As at December 31, 2023, the Company has $48,297 of non-capital losses in the UK, which under certain circumstances can be used to reduce the taxable income of future years. There is no expiry date on these non-capital losses.</w:t>
      </w:r>
    </w:p>
    <w:p>
      <w:pPr>
        <w:spacing w:after="0" w:line="393" w:lineRule="exact"/>
        <w:rPr>
          <w:sz w:val="20"/>
          <w:szCs w:val="20"/>
          <w:color w:val="auto"/>
        </w:rPr>
      </w:pPr>
    </w:p>
    <w:p>
      <w:pPr>
        <w:ind w:left="3" w:right="9240" w:hanging="3"/>
        <w:spacing w:after="0" w:line="572" w:lineRule="auto"/>
        <w:tabs>
          <w:tab w:leader="none" w:pos="347" w:val="left"/>
        </w:tabs>
        <w:numPr>
          <w:ilvl w:val="0"/>
          <w:numId w:val="8"/>
        </w:numPr>
        <w:rPr>
          <w:rFonts w:ascii="Calibri" w:cs="Calibri" w:eastAsia="Calibri" w:hAnsi="Calibri"/>
          <w:sz w:val="15"/>
          <w:szCs w:val="15"/>
          <w:b w:val="1"/>
          <w:bCs w:val="1"/>
          <w:color w:val="2D5F91"/>
        </w:rPr>
      </w:pPr>
      <w:r>
        <w:rPr>
          <w:rFonts w:ascii="Calibri" w:cs="Calibri" w:eastAsia="Calibri" w:hAnsi="Calibri"/>
          <w:sz w:val="15"/>
          <w:szCs w:val="15"/>
          <w:b w:val="1"/>
          <w:bCs w:val="1"/>
          <w:color w:val="2D5F91"/>
        </w:rPr>
        <w:t xml:space="preserve">SUBSEQUENT EVENT </w:t>
      </w:r>
      <w:r>
        <w:rPr>
          <w:rFonts w:ascii="Calibri" w:cs="Calibri" w:eastAsia="Calibri" w:hAnsi="Calibri"/>
          <w:sz w:val="15"/>
          <w:szCs w:val="15"/>
          <w:b w:val="1"/>
          <w:bCs w:val="1"/>
          <w:color w:val="000000"/>
        </w:rPr>
        <w:t>Expired Warrants and Optons.</w:t>
      </w:r>
    </w:p>
    <w:p>
      <w:pPr>
        <w:ind w:left="3" w:right="160"/>
        <w:spacing w:after="0" w:line="250" w:lineRule="auto"/>
        <w:rPr>
          <w:sz w:val="20"/>
          <w:szCs w:val="20"/>
          <w:color w:val="auto"/>
        </w:rPr>
      </w:pPr>
      <w:r>
        <w:rPr>
          <w:rFonts w:ascii="Calibri" w:cs="Calibri" w:eastAsia="Calibri" w:hAnsi="Calibri"/>
          <w:sz w:val="16"/>
          <w:szCs w:val="16"/>
          <w:color w:val="auto"/>
        </w:rPr>
        <w:t>On February 4, 2024, 868,740 unit purchase warrants exercisable at $2.25 per unit and 7,146,500 Common Share purchase warrants exercisable at $3.25 per warrant expired. On February 8, 2024, optons to purchase up to 33,750 Common Shares at $0.44 per Common Share and optons</w:t>
      </w:r>
    </w:p>
    <w:p>
      <w:pPr>
        <w:spacing w:after="0" w:line="15" w:lineRule="exact"/>
        <w:rPr>
          <w:sz w:val="20"/>
          <w:szCs w:val="20"/>
          <w:color w:val="auto"/>
        </w:rPr>
      </w:pPr>
    </w:p>
    <w:p>
      <w:pPr>
        <w:ind w:left="3"/>
        <w:spacing w:after="0"/>
        <w:rPr>
          <w:sz w:val="20"/>
          <w:szCs w:val="20"/>
          <w:color w:val="auto"/>
        </w:rPr>
      </w:pPr>
      <w:r>
        <w:rPr>
          <w:rFonts w:ascii="Calibri" w:cs="Calibri" w:eastAsia="Calibri" w:hAnsi="Calibri"/>
          <w:sz w:val="16"/>
          <w:szCs w:val="16"/>
          <w:color w:val="auto"/>
        </w:rPr>
        <w:t>to purchase up to 20,000 Common Shares at $2.90 per Common Share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32 of 32</w:t>
      </w:r>
    </w:p>
    <w:p>
      <w:pPr>
        <w:sectPr>
          <w:pgSz w:w="11900" w:h="16838" w:orient="portrait"/>
          <w:cols w:equalWidth="0" w:num="1">
            <w:col w:w="11243"/>
          </w:cols>
          <w:pgMar w:left="317" w:top="198"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3119755</wp:posOffset>
            </wp:positionH>
            <wp:positionV relativeFrom="page">
              <wp:posOffset>2376170</wp:posOffset>
            </wp:positionV>
            <wp:extent cx="1309370" cy="762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0937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Financial Condition and Operating Performance</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three and nine months ended December 31, 2023</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February 13, 2024</w:t>
      </w:r>
    </w:p>
    <w:p>
      <w:pPr>
        <w:sectPr>
          <w:pgSz w:w="11900" w:h="16838" w:orient="portrait"/>
          <w:cols w:equalWidth="0" w:num="1">
            <w:col w:w="9019"/>
          </w:cols>
          <w:pgMar w:left="1440" w:top="144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3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This Management’s Discussion and Analysis (“MD&amp;A”) has been prepared by management of Cybin Inc. (“Cybin” or the “Company”) and should be read in conjunction with Cybin’s interim condensed consolidated financial statements and notes for the three and nine months ended December 31, 2023 (the “Interim Financial Statements”). This MD&amp;A does not address all of the changes to the Company and its business, such changes are addressed in the Company’s most recently filed annual information form (the “AIF”) on SEDAR+. The Interim Financial Statements have been prepared using International Financial Reporting Standards ("IFRS") as issued by the International Accounting Standards Board. All amounts are in Canadian dollars unless otherwise indicated. The Interim Financial Statements may be viewed on the SEDAR+ profile of Cybin at www.sedarplus.ca.</w:t>
      </w:r>
    </w:p>
    <w:p>
      <w:pPr>
        <w:spacing w:after="0" w:line="187"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This MD&amp;A contains disclosure related to Cybin occurring up to and including February 13, 2024. Unless otherwise indicated, all amounts in this MD&amp;A are in thousands of Canadian dollars.</w:t>
      </w:r>
    </w:p>
    <w:p>
      <w:pPr>
        <w:spacing w:after="0" w:line="1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 w:cs="Times New Roman" w:eastAsia="Times New Roman" w:hAnsi="Times New Roman"/>
          <w:sz w:val="18"/>
          <w:szCs w:val="18"/>
          <w:b w:val="1"/>
          <w:bCs w:val="1"/>
          <w:color w:val="auto"/>
        </w:rPr>
        <w:t>SubCo</w:t>
      </w:r>
      <w:r>
        <w:rPr>
          <w:rFonts w:ascii="Times New Roman" w:cs="Times New Roman" w:eastAsia="Times New Roman" w:hAnsi="Times New Roman"/>
          <w:sz w:val="18"/>
          <w:szCs w:val="18"/>
          <w:color w:val="auto"/>
        </w:rPr>
        <w:t>”), a wholly-owned subsidiary of the Company (the “</w:t>
      </w:r>
      <w:r>
        <w:rPr>
          <w:rFonts w:ascii="Times New Roman" w:cs="Times New Roman" w:eastAsia="Times New Roman" w:hAnsi="Times New Roman"/>
          <w:sz w:val="18"/>
          <w:szCs w:val="18"/>
          <w:b w:val="1"/>
          <w:bCs w:val="1"/>
          <w:color w:val="auto"/>
        </w:rPr>
        <w:t>Reverse Takeover</w:t>
      </w:r>
      <w:r>
        <w:rPr>
          <w:rFonts w:ascii="Times New Roman" w:cs="Times New Roman" w:eastAsia="Times New Roman" w:hAnsi="Times New Roman"/>
          <w:sz w:val="18"/>
          <w:szCs w:val="18"/>
          <w:color w:val="auto"/>
        </w:rPr>
        <w:t xml:space="preserve">”).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63"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54"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include:</w:t>
      </w:r>
    </w:p>
    <w:p>
      <w:pPr>
        <w:spacing w:after="0" w:line="144" w:lineRule="exact"/>
        <w:rPr>
          <w:sz w:val="20"/>
          <w:szCs w:val="20"/>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impact of the novel coronavirus “COVID-19”;</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721" w:right="319" w:bottom="1440" w:gutter="0" w:footer="0" w:header="0"/>
        </w:sectPr>
      </w:pPr>
    </w:p>
    <w:bookmarkStart w:id="37" w:name="page38"/>
    <w:bookmarkEnd w:id="37"/>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publicly announced milestones;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nature of investment risk;</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of the industry and product development;</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and uncertainties</w:t>
      </w:r>
    </w:p>
    <w:p>
      <w:pPr>
        <w:spacing w:after="0" w:line="59"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risks of operating in European countries;</w:t>
      </w:r>
    </w:p>
    <w:p>
      <w:pPr>
        <w:spacing w:after="0" w:line="36" w:lineRule="exact"/>
        <w:rPr>
          <w:rFonts w:ascii="Arial" w:cs="Arial" w:eastAsia="Arial" w:hAnsi="Arial"/>
          <w:sz w:val="19"/>
          <w:szCs w:val="19"/>
          <w:color w:val="auto"/>
        </w:rPr>
      </w:pPr>
    </w:p>
    <w:p>
      <w:pPr>
        <w:ind w:left="581" w:hanging="581"/>
        <w:spacing w:after="0"/>
        <w:tabs>
          <w:tab w:leader="none" w:pos="58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private issuer” status under U.S. Securities Laws;</w:t>
      </w:r>
    </w:p>
    <w:p>
      <w:pPr>
        <w:spacing w:after="0" w:line="59" w:lineRule="exact"/>
        <w:rPr>
          <w:rFonts w:ascii="Times New Roman" w:cs="Times New Roman" w:eastAsia="Times New Roman" w:hAnsi="Times New Roman"/>
          <w:sz w:val="17"/>
          <w:szCs w:val="17"/>
          <w:color w:val="auto"/>
        </w:rPr>
      </w:pPr>
    </w:p>
    <w:p>
      <w:pPr>
        <w:ind w:left="581" w:hanging="581"/>
        <w:spacing w:after="0"/>
        <w:tabs>
          <w:tab w:leader="none" w:pos="581"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plans for growth;</w:t>
      </w:r>
    </w:p>
    <w:p>
      <w:pPr>
        <w:spacing w:after="0" w:line="48" w:lineRule="exact"/>
        <w:rPr>
          <w:rFonts w:ascii="Times New Roman" w:cs="Times New Roman" w:eastAsia="Times New Roman" w:hAnsi="Times New Roman"/>
          <w:sz w:val="19"/>
          <w:szCs w:val="19"/>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products;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marketing and sales capabilities;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of commercial success;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profits or significant revenues;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parties for clinical development activities;</w:t>
      </w:r>
    </w:p>
    <w:p>
      <w:pPr>
        <w:spacing w:after="0" w:line="59" w:lineRule="exact"/>
        <w:rPr>
          <w:rFonts w:ascii="Times New Roman" w:cs="Times New Roman" w:eastAsia="Times New Roman" w:hAnsi="Times New Roman"/>
          <w:sz w:val="17"/>
          <w:szCs w:val="17"/>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third party relationships;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contract manufacturers;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of products;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testing and commercializing products;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clinical trials;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grade product manufacturing;</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regulatory approvals;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market access and acceptance;</w:t>
      </w:r>
    </w:p>
    <w:p>
      <w:pPr>
        <w:spacing w:after="0" w:line="36" w:lineRule="exact"/>
        <w:rPr>
          <w:rFonts w:ascii="Arial" w:cs="Arial" w:eastAsia="Arial" w:hAnsi="Arial"/>
          <w:sz w:val="19"/>
          <w:szCs w:val="19"/>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unfavourable publicity or consumer perception;</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and pharmaceutical market competition;</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executives and scientists;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misconduct;</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expansion and growth;</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of external clinical trials or studies;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contracts;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material recalls;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chain interruption;</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to forecast;</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brand;</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viability;</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quality control systems;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inputs;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fraudulent or illegal activity;</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 and insurance coverage;</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public company;</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operations;</w:t>
      </w:r>
    </w:p>
    <w:p>
      <w:pPr>
        <w:spacing w:after="0" w:line="43"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exchange rate fluctuations;</w:t>
      </w:r>
    </w:p>
    <w:p>
      <w:pPr>
        <w:spacing w:after="0" w:line="52" w:lineRule="exact"/>
        <w:rPr>
          <w:rFonts w:ascii="Times New Roman" w:cs="Times New Roman" w:eastAsia="Times New Roman" w:hAnsi="Times New Roman"/>
          <w:sz w:val="19"/>
          <w:szCs w:val="19"/>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privacy risk;</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 and risks;</w:t>
      </w:r>
    </w:p>
    <w:p>
      <w:pPr>
        <w:spacing w:after="0" w:line="59"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decriminalization of psychedelics;</w:t>
      </w:r>
    </w:p>
    <w:p>
      <w:pPr>
        <w:spacing w:after="0" w:line="48" w:lineRule="exact"/>
        <w:rPr>
          <w:rFonts w:ascii="Arial" w:cs="Arial" w:eastAsia="Arial" w:hAnsi="Arial"/>
          <w:sz w:val="19"/>
          <w:szCs w:val="19"/>
          <w:color w:val="auto"/>
        </w:rPr>
      </w:pPr>
    </w:p>
    <w:p>
      <w:pPr>
        <w:ind w:left="581" w:hanging="581"/>
        <w:spacing w:after="0"/>
        <w:tabs>
          <w:tab w:leader="none" w:pos="581"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forward-looking statements may prove to be inaccurate;</w:t>
      </w:r>
    </w:p>
    <w:p>
      <w:pPr>
        <w:spacing w:after="0" w:line="48" w:lineRule="exact"/>
        <w:rPr>
          <w:rFonts w:ascii="Arial" w:cs="Arial" w:eastAsia="Arial" w:hAnsi="Arial"/>
          <w:sz w:val="19"/>
          <w:szCs w:val="19"/>
          <w:color w:val="auto"/>
        </w:rPr>
      </w:pPr>
    </w:p>
    <w:p>
      <w:pPr>
        <w:ind w:left="581" w:hanging="581"/>
        <w:spacing w:after="0"/>
        <w:tabs>
          <w:tab w:leader="none" w:pos="581"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effects of inflation;</w:t>
      </w:r>
    </w:p>
    <w:p>
      <w:pPr>
        <w:sectPr>
          <w:pgSz w:w="11900" w:h="16838" w:orient="portrait"/>
          <w:cols w:equalWidth="0" w:num="1">
            <w:col w:w="9560"/>
          </w:cols>
          <w:pgMar w:left="899" w:top="7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1"/>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560"/>
          </w:cols>
          <w:pgMar w:left="899" w:top="725" w:right="1440" w:bottom="1440" w:gutter="0" w:footer="0" w:header="0"/>
          <w:type w:val="continuous"/>
        </w:sectPr>
      </w:pPr>
    </w:p>
    <w:bookmarkStart w:id="38" w:name="page39"/>
    <w:bookmarkEnd w:id="38"/>
    <w:p>
      <w:pPr>
        <w:ind w:left="1160" w:hanging="581"/>
        <w:spacing w:after="0"/>
        <w:tabs>
          <w:tab w:leader="none" w:pos="1160"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8"/>
          <w:szCs w:val="18"/>
          <w:color w:val="auto"/>
        </w:rPr>
        <w:t>political and economic conditions;</w:t>
      </w:r>
    </w:p>
    <w:p>
      <w:pPr>
        <w:spacing w:after="0" w:line="48" w:lineRule="exact"/>
        <w:rPr>
          <w:rFonts w:ascii="Arial" w:cs="Arial" w:eastAsia="Arial" w:hAnsi="Arial"/>
          <w:sz w:val="19"/>
          <w:szCs w:val="19"/>
          <w:color w:val="auto"/>
        </w:rPr>
      </w:pPr>
    </w:p>
    <w:p>
      <w:pPr>
        <w:ind w:left="1160" w:hanging="581"/>
        <w:spacing w:after="0"/>
        <w:tabs>
          <w:tab w:leader="none" w:pos="1160"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8"/>
          <w:szCs w:val="18"/>
          <w:color w:val="auto"/>
        </w:rPr>
        <w:t>application and interpretation of tax laws;</w:t>
      </w:r>
    </w:p>
    <w:p>
      <w:pPr>
        <w:spacing w:after="0" w:line="60" w:lineRule="exact"/>
        <w:rPr>
          <w:rFonts w:ascii="Arial" w:cs="Arial" w:eastAsia="Arial" w:hAnsi="Arial"/>
          <w:sz w:val="19"/>
          <w:szCs w:val="19"/>
          <w:color w:val="auto"/>
        </w:rPr>
      </w:pPr>
    </w:p>
    <w:p>
      <w:pPr>
        <w:ind w:left="1160" w:hanging="581"/>
        <w:spacing w:after="0"/>
        <w:tabs>
          <w:tab w:leader="none" w:pos="1160"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8"/>
          <w:szCs w:val="18"/>
          <w:color w:val="auto"/>
        </w:rPr>
        <w:t>enforcement of civil liabilities;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36" w:lineRule="exact"/>
        <w:rPr>
          <w:sz w:val="20"/>
          <w:szCs w:val="20"/>
          <w:color w:val="auto"/>
        </w:rPr>
      </w:pP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protection;</w:t>
      </w:r>
    </w:p>
    <w:p>
      <w:pPr>
        <w:spacing w:after="0" w:line="47"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law reform;</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litigation and intellectual property;</w:t>
      </w:r>
    </w:p>
    <w:p>
      <w:pPr>
        <w:spacing w:after="0" w:line="47"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Risks:</w:t>
      </w:r>
    </w:p>
    <w:p>
      <w:pPr>
        <w:spacing w:after="0" w:line="60" w:lineRule="exact"/>
        <w:rPr>
          <w:sz w:val="20"/>
          <w:szCs w:val="20"/>
          <w:color w:val="auto"/>
        </w:rPr>
      </w:pPr>
    </w:p>
    <w:p>
      <w:pPr>
        <w:ind w:left="1160" w:hanging="581"/>
        <w:spacing w:after="0"/>
        <w:tabs>
          <w:tab w:leader="none" w:pos="116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8"/>
          <w:szCs w:val="18"/>
          <w:color w:val="auto"/>
        </w:rPr>
        <w:t>substantial number of authorized but unissued Common Shares (as defined herein);</w:t>
      </w:r>
    </w:p>
    <w:p>
      <w:pPr>
        <w:spacing w:after="0" w:line="36" w:lineRule="exact"/>
        <w:rPr>
          <w:rFonts w:ascii="Arial" w:cs="Arial" w:eastAsia="Arial" w:hAnsi="Arial"/>
          <w:sz w:val="19"/>
          <w:szCs w:val="19"/>
          <w:color w:val="auto"/>
        </w:rPr>
      </w:pP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w:t>
      </w:r>
    </w:p>
    <w:p>
      <w:pPr>
        <w:spacing w:after="0" w:line="47"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8"/>
          <w:szCs w:val="18"/>
          <w:color w:val="auto"/>
        </w:rPr>
        <w:t>negative cash flow from operating activities and going concern;</w:t>
      </w:r>
    </w:p>
    <w:p>
      <w:pPr>
        <w:spacing w:after="0" w:line="48" w:lineRule="exact"/>
        <w:rPr>
          <w:rFonts w:ascii="Arial" w:cs="Arial" w:eastAsia="Arial" w:hAnsi="Arial"/>
          <w:sz w:val="19"/>
          <w:szCs w:val="19"/>
          <w:color w:val="auto"/>
        </w:rPr>
      </w:pP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capital requirements;</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significant product revenue;</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or judgments relating to critical accounting policies;</w:t>
      </w:r>
    </w:p>
    <w:p>
      <w:pPr>
        <w:spacing w:after="0" w:line="43"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inadequate internal controls;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Common Shares:</w:t>
      </w:r>
    </w:p>
    <w:p>
      <w:pPr>
        <w:spacing w:after="0" w:line="48" w:lineRule="exact"/>
        <w:rPr>
          <w:sz w:val="20"/>
          <w:szCs w:val="20"/>
          <w:color w:val="auto"/>
        </w:rPr>
      </w:pPr>
    </w:p>
    <w:p>
      <w:pPr>
        <w:ind w:left="1160" w:hanging="58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for the Common Shares;</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sales of Common Shares;</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market price for the Common Shares;</w:t>
      </w:r>
    </w:p>
    <w:p>
      <w:pPr>
        <w:spacing w:after="0" w:line="47"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and</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w:t>
      </w:r>
    </w:p>
    <w:p>
      <w:pPr>
        <w:spacing w:after="0" w:line="25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65" w:lineRule="exact"/>
        <w:rPr>
          <w:sz w:val="20"/>
          <w:szCs w:val="20"/>
          <w:color w:val="auto"/>
        </w:rPr>
      </w:pPr>
    </w:p>
    <w:p>
      <w:pPr>
        <w:ind w:left="580" w:hanging="294"/>
        <w:spacing w:after="0" w:line="286" w:lineRule="auto"/>
        <w:tabs>
          <w:tab w:leader="none" w:pos="576"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we will continue to incur significant losses in the future;</w:t>
      </w: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uncertainty as to the Company’s ability to raise additional funding to support operations;</w:t>
      </w:r>
    </w:p>
    <w:p>
      <w:pPr>
        <w:spacing w:after="0" w:line="59" w:lineRule="exact"/>
        <w:rPr>
          <w:rFonts w:ascii="Calibri" w:cs="Calibri" w:eastAsia="Calibri" w:hAnsi="Calibri"/>
          <w:sz w:val="18"/>
          <w:szCs w:val="18"/>
          <w:color w:val="auto"/>
        </w:rPr>
      </w:pP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access additional funding;</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fluctuation of foreign exchange rates;</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duration of COVID-19 and the extent of its economic and social impact;</w:t>
      </w:r>
    </w:p>
    <w:p>
      <w:pPr>
        <w:spacing w:after="0" w:line="59" w:lineRule="exact"/>
        <w:rPr>
          <w:rFonts w:ascii="Calibri" w:cs="Calibri" w:eastAsia="Calibri" w:hAnsi="Calibri"/>
          <w:sz w:val="18"/>
          <w:szCs w:val="18"/>
          <w:color w:val="auto"/>
        </w:rPr>
      </w:pP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the development of the Company’s product candidates which are at early stages of development;</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upon industry publications as the Company’s primary sources for third-party industry data and forecasts;</w:t>
      </w:r>
    </w:p>
    <w:p>
      <w:pPr>
        <w:spacing w:after="0" w:line="59" w:lineRule="exact"/>
        <w:rPr>
          <w:rFonts w:ascii="Calibri" w:cs="Calibri" w:eastAsia="Calibri" w:hAnsi="Calibri"/>
          <w:sz w:val="18"/>
          <w:szCs w:val="18"/>
          <w:color w:val="auto"/>
        </w:rPr>
      </w:pP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parties to plan, conduct and monitor the Company’s preclinical studies and clinical trials;</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spacing w:after="0" w:line="47" w:lineRule="exact"/>
        <w:rPr>
          <w:rFonts w:ascii="Calibri" w:cs="Calibri" w:eastAsia="Calibri" w:hAnsi="Calibri"/>
          <w:sz w:val="18"/>
          <w:szCs w:val="18"/>
          <w:color w:val="auto"/>
        </w:rPr>
      </w:pPr>
    </w:p>
    <w:p>
      <w:pPr>
        <w:ind w:left="580" w:hanging="294"/>
        <w:spacing w:after="0" w:line="293" w:lineRule="auto"/>
        <w:tabs>
          <w:tab w:leader="none" w:pos="576"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product candidates may fail to demonstrate safety and efficacy to the satisfaction of regulatory authorities or may not otherwise produce positive results;</w:t>
      </w: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37" w:right="339" w:bottom="1440" w:gutter="0" w:footer="0" w:header="0"/>
        </w:sectPr>
      </w:pPr>
    </w:p>
    <w:bookmarkStart w:id="39" w:name="page40"/>
    <w:bookmarkEnd w:id="39"/>
    <w:p>
      <w:pPr>
        <w:ind w:left="580" w:hanging="294"/>
        <w:spacing w:after="0"/>
        <w:tabs>
          <w:tab w:leader="none" w:pos="580" w:val="left"/>
        </w:tabs>
        <w:numPr>
          <w:ilvl w:val="0"/>
          <w:numId w:val="1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spacing w:after="0" w:line="59" w:lineRule="exact"/>
        <w:rPr>
          <w:rFonts w:ascii="Calibri" w:cs="Calibri" w:eastAsia="Calibri" w:hAnsi="Calibri"/>
          <w:sz w:val="18"/>
          <w:szCs w:val="18"/>
          <w:color w:val="auto"/>
        </w:rPr>
      </w:pPr>
    </w:p>
    <w:p>
      <w:pPr>
        <w:ind w:left="580" w:hanging="294"/>
        <w:spacing w:after="0"/>
        <w:tabs>
          <w:tab w:leader="none" w:pos="580" w:val="left"/>
        </w:tabs>
        <w:numPr>
          <w:ilvl w:val="0"/>
          <w:numId w:val="16"/>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spacing w:after="0" w:line="47" w:lineRule="exact"/>
        <w:rPr>
          <w:rFonts w:ascii="Calibri" w:cs="Calibri" w:eastAsia="Calibri" w:hAnsi="Calibri"/>
          <w:sz w:val="18"/>
          <w:szCs w:val="18"/>
          <w:color w:val="auto"/>
        </w:rPr>
      </w:pPr>
    </w:p>
    <w:p>
      <w:pPr>
        <w:ind w:left="580" w:right="20" w:hanging="294"/>
        <w:spacing w:after="0" w:line="293" w:lineRule="auto"/>
        <w:tabs>
          <w:tab w:leader="none" w:pos="576" w:val="left"/>
        </w:tabs>
        <w:numPr>
          <w:ilvl w:val="0"/>
          <w:numId w:val="1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reliance on the capabilities and experience of the Company’s key executives and scientists and the resulting loss of any of these individuals;</w:t>
      </w:r>
    </w:p>
    <w:p>
      <w:pPr>
        <w:ind w:left="580" w:hanging="294"/>
        <w:spacing w:after="0"/>
        <w:tabs>
          <w:tab w:leader="none" w:pos="580" w:val="left"/>
        </w:tabs>
        <w:numPr>
          <w:ilvl w:val="0"/>
          <w:numId w:val="1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fully realize the benefits of acquisitions;</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adequately protect the Company’s intellectual property and trade secrets;</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 of patent-related or other litigation; and</w:t>
      </w:r>
    </w:p>
    <w:p>
      <w:pPr>
        <w:spacing w:after="0" w:line="67" w:lineRule="exact"/>
        <w:rPr>
          <w:rFonts w:ascii="Calibri" w:cs="Calibri" w:eastAsia="Calibri" w:hAnsi="Calibri"/>
          <w:sz w:val="18"/>
          <w:szCs w:val="18"/>
          <w:color w:val="auto"/>
        </w:rPr>
      </w:pPr>
    </w:p>
    <w:p>
      <w:pPr>
        <w:ind w:left="580" w:right="20" w:hanging="294"/>
        <w:spacing w:after="0" w:line="316" w:lineRule="auto"/>
        <w:tabs>
          <w:tab w:leader="none" w:pos="578"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8"/>
          <w:szCs w:val="18"/>
          <w:color w:val="auto"/>
        </w:rPr>
        <w:t>the risk of unforeseen changes to the laws or regulations in the United States (the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the United Kingdom (the “</w:t>
      </w:r>
      <w:r>
        <w:rPr>
          <w:rFonts w:ascii="Times New Roman" w:cs="Times New Roman" w:eastAsia="Times New Roman" w:hAnsi="Times New Roman"/>
          <w:sz w:val="18"/>
          <w:szCs w:val="18"/>
          <w:b w:val="1"/>
          <w:bCs w:val="1"/>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Kingdom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Canada, the Netherlands, Ireland and other jurisdictions in which the Company operates.</w:t>
      </w:r>
    </w:p>
    <w:p>
      <w:pPr>
        <w:spacing w:after="0" w:line="15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84"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 Overview</w:t>
      </w:r>
    </w:p>
    <w:p>
      <w:pPr>
        <w:spacing w:after="0" w:line="23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is a clinical-stage biopharmaceutical company focused on advancing psychedelic-based therapies, delivery mechanisms, novel compounds and protocols as potential treatments for various psychiatric and neurological conditions. The Company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w:t>
      </w:r>
    </w:p>
    <w:p>
      <w:pPr>
        <w:spacing w:after="0" w:line="17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w:t>
      </w:r>
    </w:p>
    <w:p>
      <w:pPr>
        <w:spacing w:after="0" w:line="18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Immediately prior to the completion of the Reverse Takeover, the Company completed a consolidation of all of its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on the basis of 6.672 old Common Shares into one new Common Share. All Common Share and per Common Share amounts expressed herein reflect the post-consolidation Common Shares.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725" w:right="319" w:bottom="1440" w:gutter="0" w:footer="0" w:header="0"/>
        </w:sectPr>
      </w:pPr>
    </w:p>
    <w:bookmarkStart w:id="40" w:name="page41"/>
    <w:bookmarkEnd w:id="40"/>
    <w:p>
      <w:pPr>
        <w:jc w:val="both"/>
        <w:ind w:left="3"/>
        <w:spacing w:after="0" w:line="277" w:lineRule="auto"/>
        <w:rPr>
          <w:sz w:val="20"/>
          <w:szCs w:val="20"/>
          <w:color w:val="auto"/>
        </w:rPr>
      </w:pPr>
      <w:r>
        <w:rPr>
          <w:rFonts w:ascii="Times New Roman" w:cs="Times New Roman" w:eastAsia="Times New Roman" w:hAnsi="Times New Roman"/>
          <w:sz w:val="18"/>
          <w:szCs w:val="18"/>
          <w:color w:val="auto"/>
        </w:rPr>
        <w:t>In connection with the Reverse Takeover, Clarmin Explorations Inc. (“</w:t>
      </w:r>
      <w:r>
        <w:rPr>
          <w:rFonts w:ascii="Times New Roman" w:cs="Times New Roman" w:eastAsia="Times New Roman" w:hAnsi="Times New Roman"/>
          <w:sz w:val="19"/>
          <w:szCs w:val="19"/>
          <w:b w:val="1"/>
          <w:bCs w:val="1"/>
          <w:color w:val="auto"/>
        </w:rPr>
        <w:t>Clarmin</w:t>
      </w:r>
      <w:r>
        <w:rPr>
          <w:rFonts w:ascii="Times New Roman" w:cs="Times New Roman" w:eastAsia="Times New Roman" w:hAnsi="Times New Roman"/>
          <w:sz w:val="18"/>
          <w:szCs w:val="18"/>
          <w:color w:val="auto"/>
        </w:rPr>
        <w:t>”) changed its name to “Cybin Inc.” and the Common Shares became listed for trading on the Neo Exchange Inc., now operating as Cboe Canada (the “</w:t>
      </w:r>
      <w:r>
        <w:rPr>
          <w:rFonts w:ascii="Times New Roman" w:cs="Times New Roman" w:eastAsia="Times New Roman" w:hAnsi="Times New Roman"/>
          <w:sz w:val="19"/>
          <w:szCs w:val="19"/>
          <w:b w:val="1"/>
          <w:bCs w:val="1"/>
          <w:color w:val="auto"/>
        </w:rPr>
        <w:t>Exchange</w:t>
      </w:r>
      <w:r>
        <w:rPr>
          <w:rFonts w:ascii="Times New Roman" w:cs="Times New Roman" w:eastAsia="Times New Roman" w:hAnsi="Times New Roman"/>
          <w:sz w:val="18"/>
          <w:szCs w:val="18"/>
          <w:color w:val="auto"/>
        </w:rPr>
        <w:t xml:space="preserve">”) under the trading symbol “CYBN”.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substance of the Reverse Takeover was a reverse takeover of a non-operating company. The Reverse Takeover does not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business combination as Clarmin did not meet the definition of a business under IFRS 3. As a result, the Reverse Takeover is accounted for as a capital transaction with Cybin being identified as the acquirer and the equity consideration being measured at fair value. The resulting consolidated statement of financial position is presented as a continuation of Cybin Corp. and comparative figures presented in the consolidated financial statements after the Reverse Takeover are those of Cybin Corp.</w:t>
      </w:r>
    </w:p>
    <w:p>
      <w:pPr>
        <w:spacing w:after="0" w:line="20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Prior to completing the Reverse Takeover, and during fiscal 2020, the Company was inactive and evaluating business opportunities.</w:t>
      </w:r>
    </w:p>
    <w:p>
      <w:pPr>
        <w:spacing w:after="0" w:line="254" w:lineRule="exact"/>
        <w:rPr>
          <w:sz w:val="20"/>
          <w:szCs w:val="20"/>
          <w:color w:val="auto"/>
        </w:rPr>
      </w:pPr>
    </w:p>
    <w:p>
      <w:pPr>
        <w:jc w:val="both"/>
        <w:ind w:left="3" w:right="20"/>
        <w:spacing w:after="0" w:line="324" w:lineRule="auto"/>
        <w:rPr>
          <w:sz w:val="20"/>
          <w:szCs w:val="20"/>
          <w:color w:val="auto"/>
        </w:rPr>
      </w:pPr>
      <w:r>
        <w:rPr>
          <w:rFonts w:ascii="Times New Roman" w:cs="Times New Roman" w:eastAsia="Times New Roman" w:hAnsi="Times New Roman"/>
          <w:sz w:val="18"/>
          <w:szCs w:val="18"/>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18"/>
          <w:szCs w:val="18"/>
          <w:b w:val="1"/>
          <w:bCs w:val="1"/>
          <w:color w:val="auto"/>
        </w:rPr>
        <w:t>Cybin Ireland</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left="3" w:right="20"/>
        <w:spacing w:after="0" w:line="362" w:lineRule="auto"/>
        <w:rPr>
          <w:sz w:val="20"/>
          <w:szCs w:val="20"/>
          <w:color w:val="auto"/>
        </w:rPr>
      </w:pPr>
      <w:r>
        <w:rPr>
          <w:rFonts w:ascii="Times New Roman" w:cs="Times New Roman" w:eastAsia="Times New Roman" w:hAnsi="Times New Roman"/>
          <w:sz w:val="17"/>
          <w:szCs w:val="17"/>
          <w:color w:val="auto"/>
        </w:rPr>
        <w:t>On August 5, 2021, the Common Shares commenced trading on the NYSE American LLC stock exchange (the “</w:t>
      </w:r>
      <w:r>
        <w:rPr>
          <w:rFonts w:ascii="Times New Roman" w:cs="Times New Roman" w:eastAsia="Times New Roman" w:hAnsi="Times New Roman"/>
          <w:sz w:val="17"/>
          <w:szCs w:val="17"/>
          <w:b w:val="1"/>
          <w:bCs w:val="1"/>
          <w:color w:val="auto"/>
        </w:rPr>
        <w:t>NYSE American</w:t>
      </w:r>
      <w:r>
        <w:rPr>
          <w:rFonts w:ascii="Times New Roman" w:cs="Times New Roman" w:eastAsia="Times New Roman" w:hAnsi="Times New Roman"/>
          <w:sz w:val="17"/>
          <w:szCs w:val="17"/>
          <w:color w:val="auto"/>
        </w:rPr>
        <w:t>”) under the symbol “CYBN”. Concurrent with the commencement of trading on the NYSE American, the Common Shares ceased to be quoted on the OTCQB® Venture Market.</w:t>
      </w:r>
    </w:p>
    <w:p>
      <w:pPr>
        <w:spacing w:after="0" w:line="85" w:lineRule="exact"/>
        <w:rPr>
          <w:sz w:val="20"/>
          <w:szCs w:val="20"/>
          <w:color w:val="auto"/>
        </w:rPr>
      </w:pPr>
    </w:p>
    <w:p>
      <w:pPr>
        <w:jc w:val="both"/>
        <w:ind w:left="3"/>
        <w:spacing w:after="0" w:line="289" w:lineRule="auto"/>
        <w:rPr>
          <w:sz w:val="20"/>
          <w:szCs w:val="20"/>
          <w:color w:val="auto"/>
        </w:rPr>
      </w:pPr>
      <w:r>
        <w:rPr>
          <w:rFonts w:ascii="Times New Roman" w:cs="Times New Roman" w:eastAsia="Times New Roman" w:hAnsi="Times New Roman"/>
          <w:sz w:val="18"/>
          <w:szCs w:val="18"/>
          <w:color w:val="auto"/>
        </w:rPr>
        <w:t>On October 23, 2023, the Company announced the completion of the previously-announced acquisition by Cybin of Small Pharma Inc. (“</w:t>
      </w:r>
      <w:r>
        <w:rPr>
          <w:rFonts w:ascii="Times New Roman" w:cs="Times New Roman" w:eastAsia="Times New Roman" w:hAnsi="Times New Roman"/>
          <w:sz w:val="19"/>
          <w:szCs w:val="19"/>
          <w:b w:val="1"/>
          <w:bCs w:val="1"/>
          <w:color w:val="auto"/>
        </w:rPr>
        <w:t>Small Pharma</w:t>
      </w:r>
      <w:r>
        <w:rPr>
          <w:rFonts w:ascii="Times New Roman" w:cs="Times New Roman" w:eastAsia="Times New Roman" w:hAnsi="Times New Roman"/>
          <w:sz w:val="18"/>
          <w:szCs w:val="18"/>
          <w:color w:val="auto"/>
        </w:rPr>
        <w:t xml:space="preserve">”) by way of a statutory plan of arrangement under the provisions of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8"/>
          <w:szCs w:val="18"/>
          <w:color w:val="auto"/>
        </w:rPr>
        <w:t xml:space="preserve"> (British Columbia) (the “</w:t>
      </w:r>
      <w:r>
        <w:rPr>
          <w:rFonts w:ascii="Times New Roman" w:cs="Times New Roman" w:eastAsia="Times New Roman" w:hAnsi="Times New Roman"/>
          <w:sz w:val="19"/>
          <w:szCs w:val="19"/>
          <w:b w:val="1"/>
          <w:bCs w:val="1"/>
          <w:color w:val="auto"/>
        </w:rPr>
        <w:t>Arrangement</w:t>
      </w:r>
      <w:r>
        <w:rPr>
          <w:rFonts w:ascii="Times New Roman" w:cs="Times New Roman" w:eastAsia="Times New Roman" w:hAnsi="Times New Roman"/>
          <w:sz w:val="18"/>
          <w:szCs w:val="18"/>
          <w:color w:val="auto"/>
        </w:rPr>
        <w:t>”). The Arrangement was completed pursuant to the terms of an arrangement agreement entered into between the Company and Small Pharma dated August 28, 2023 (the “</w:t>
      </w:r>
      <w:r>
        <w:rPr>
          <w:rFonts w:ascii="Times New Roman" w:cs="Times New Roman" w:eastAsia="Times New Roman" w:hAnsi="Times New Roman"/>
          <w:sz w:val="19"/>
          <w:szCs w:val="19"/>
          <w:b w:val="1"/>
          <w:bCs w:val="1"/>
          <w:color w:val="auto"/>
        </w:rPr>
        <w:t>Arrangement Agreement</w:t>
      </w:r>
      <w:r>
        <w:rPr>
          <w:rFonts w:ascii="Times New Roman" w:cs="Times New Roman" w:eastAsia="Times New Roman" w:hAnsi="Times New Roman"/>
          <w:sz w:val="18"/>
          <w:szCs w:val="18"/>
          <w:color w:val="auto"/>
        </w:rPr>
        <w:t>”). As a result of the Arrangement, Small Pharma is now a wholly-owned subsidiary of Cybin.</w:t>
      </w:r>
    </w:p>
    <w:p>
      <w:pPr>
        <w:spacing w:after="0" w:line="183" w:lineRule="exact"/>
        <w:rPr>
          <w:sz w:val="20"/>
          <w:szCs w:val="20"/>
          <w:color w:val="auto"/>
        </w:rPr>
      </w:pPr>
    </w:p>
    <w:p>
      <w:pPr>
        <w:jc w:val="both"/>
        <w:ind w:left="3" w:right="20"/>
        <w:spacing w:after="0" w:line="296" w:lineRule="auto"/>
        <w:rPr>
          <w:sz w:val="20"/>
          <w:szCs w:val="20"/>
          <w:color w:val="auto"/>
        </w:rPr>
      </w:pPr>
      <w:r>
        <w:rPr>
          <w:rFonts w:ascii="Times New Roman" w:cs="Times New Roman" w:eastAsia="Times New Roman" w:hAnsi="Times New Roman"/>
          <w:sz w:val="18"/>
          <w:szCs w:val="18"/>
          <w:color w:val="auto"/>
        </w:rPr>
        <w:t xml:space="preserve">Please refer to “General Development of the Business” in the AIF for additional information on the background and operational highlights of Cybin. The AIF may be viewed under the SEDAR+ profile of Cybin at </w:t>
      </w:r>
      <w:r>
        <w:rPr>
          <w:rFonts w:ascii="Times New Roman" w:cs="Times New Roman" w:eastAsia="Times New Roman" w:hAnsi="Times New Roman"/>
          <w:sz w:val="18"/>
          <w:szCs w:val="18"/>
          <w:color w:val="0000FF"/>
        </w:rPr>
        <w:t>www.sedarplus.ca</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8" w:lineRule="exact"/>
        <w:rPr>
          <w:sz w:val="20"/>
          <w:szCs w:val="20"/>
          <w:color w:val="auto"/>
        </w:rPr>
      </w:pPr>
    </w:p>
    <w:p>
      <w:pPr>
        <w:jc w:val="both"/>
        <w:ind w:left="3"/>
        <w:spacing w:after="0" w:line="296" w:lineRule="auto"/>
        <w:rPr>
          <w:sz w:val="20"/>
          <w:szCs w:val="20"/>
          <w:color w:val="auto"/>
        </w:rPr>
      </w:pPr>
      <w:r>
        <w:rPr>
          <w:rFonts w:ascii="Times New Roman" w:cs="Times New Roman" w:eastAsia="Times New Roman" w:hAnsi="Times New Roman"/>
          <w:sz w:val="18"/>
          <w:szCs w:val="18"/>
          <w:color w:val="auto"/>
        </w:rPr>
        <w:t>Cybin is a clinical-stage biopharmaceutical company on a mission to create safe and effective psychedelic-based therapeutics to address the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Times New Roman" w:cs="Times New Roman" w:eastAsia="Times New Roman" w:hAnsi="Times New Roman"/>
          <w:sz w:val="23"/>
          <w:szCs w:val="23"/>
          <w:color w:val="auto"/>
          <w:vertAlign w:val="superscript"/>
        </w:rPr>
        <w:t>1</w:t>
      </w:r>
    </w:p>
    <w:p>
      <w:pPr>
        <w:spacing w:after="0" w:line="121"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Cybin’s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focused on developing the Company’s platform technology, the progression of clinical development programs including CYB003, a deuterated psilocybin analog, CYB004, a deuterated version of N,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153987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77" w:lineRule="exact"/>
        <w:rPr>
          <w:sz w:val="20"/>
          <w:szCs w:val="20"/>
          <w:color w:val="auto"/>
        </w:rPr>
      </w:pPr>
    </w:p>
    <w:p>
      <w:pPr>
        <w:jc w:val="both"/>
        <w:ind w:left="3" w:right="20" w:hanging="3"/>
        <w:spacing w:after="0" w:line="239" w:lineRule="auto"/>
        <w:tabs>
          <w:tab w:leader="none" w:pos="86"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is a forward-looking statement that involves material assumptions by the Company.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9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3"/>
          </w:cols>
          <w:pgMar w:left="317" w:top="705" w:right="319" w:bottom="1440" w:gutter="0" w:footer="0" w:header="0"/>
        </w:sectPr>
      </w:pPr>
    </w:p>
    <w:bookmarkStart w:id="41" w:name="page42"/>
    <w:bookmarkEnd w:id="41"/>
    <w:p>
      <w:pPr>
        <w:jc w:val="both"/>
        <w:ind w:left="3" w:right="20"/>
        <w:spacing w:after="0" w:line="329" w:lineRule="auto"/>
        <w:rPr>
          <w:sz w:val="20"/>
          <w:szCs w:val="20"/>
          <w:color w:val="auto"/>
        </w:rPr>
      </w:pPr>
      <w:r>
        <w:rPr>
          <w:rFonts w:ascii="Times New Roman" w:cs="Times New Roman" w:eastAsia="Times New Roman" w:hAnsi="Times New Roman"/>
          <w:sz w:val="18"/>
          <w:szCs w:val="18"/>
          <w:color w:val="auto"/>
        </w:rPr>
        <w:t>dimethyltryptamine (“</w:t>
      </w:r>
      <w:r>
        <w:rPr>
          <w:rFonts w:ascii="Times New Roman" w:cs="Times New Roman" w:eastAsia="Times New Roman" w:hAnsi="Times New Roman"/>
          <w:sz w:val="18"/>
          <w:szCs w:val="18"/>
          <w:b w:val="1"/>
          <w:bCs w:val="1"/>
          <w:color w:val="auto"/>
        </w:rPr>
        <w:t>DMT</w:t>
      </w:r>
      <w:r>
        <w:rPr>
          <w:rFonts w:ascii="Times New Roman" w:cs="Times New Roman" w:eastAsia="Times New Roman" w:hAnsi="Times New Roman"/>
          <w:sz w:val="18"/>
          <w:szCs w:val="18"/>
          <w:color w:val="auto"/>
        </w:rPr>
        <w:t>”), CYB005, phenethylamine derivatives, and an expansive list of preclinical molecules to facilitate future drug development opportunities.</w:t>
      </w:r>
    </w:p>
    <w:p>
      <w:pPr>
        <w:spacing w:after="0" w:line="140" w:lineRule="exact"/>
        <w:rPr>
          <w:sz w:val="20"/>
          <w:szCs w:val="20"/>
          <w:color w:val="auto"/>
        </w:rPr>
      </w:pPr>
    </w:p>
    <w:p>
      <w:pPr>
        <w:jc w:val="both"/>
        <w:ind w:left="3"/>
        <w:spacing w:after="0" w:line="264" w:lineRule="auto"/>
        <w:rPr>
          <w:sz w:val="20"/>
          <w:szCs w:val="20"/>
          <w:color w:val="auto"/>
        </w:rPr>
      </w:pPr>
      <w:r>
        <w:rPr>
          <w:rFonts w:ascii="Times New Roman" w:cs="Times New Roman" w:eastAsia="Times New Roman" w:hAnsi="Times New Roman"/>
          <w:sz w:val="18"/>
          <w:szCs w:val="18"/>
          <w:color w:val="auto"/>
        </w:rPr>
        <w:t>On October 23, 2023, the Company completed the Arrangement pursuant to which Small Pharma became a wholly-owned subsidiary of Cybin. Small Pharma is a biotechnology company focused on developing short-duration psychedelic-assisted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w:t>
      </w:r>
      <w:r>
        <w:rPr>
          <w:rFonts w:ascii="Times New Roman" w:cs="Times New Roman" w:eastAsia="Times New Roman" w:hAnsi="Times New Roman"/>
          <w:sz w:val="19"/>
          <w:szCs w:val="19"/>
          <w:b w:val="1"/>
          <w:bCs w:val="1"/>
          <w:color w:val="auto"/>
        </w:rPr>
        <w:t>LSD</w:t>
      </w:r>
      <w:r>
        <w:rPr>
          <w:rFonts w:ascii="Times New Roman" w:cs="Times New Roman" w:eastAsia="Times New Roman" w:hAnsi="Times New Roman"/>
          <w:sz w:val="18"/>
          <w:szCs w:val="18"/>
          <w:color w:val="auto"/>
        </w:rPr>
        <w:t>”). Second-generation psychedelics refer to those that have been chemically modified with the aim to optimize their therapeutic benefit.</w:t>
      </w:r>
    </w:p>
    <w:p>
      <w:pPr>
        <w:spacing w:after="0" w:line="195" w:lineRule="exact"/>
        <w:rPr>
          <w:sz w:val="20"/>
          <w:szCs w:val="20"/>
          <w:color w:val="auto"/>
        </w:rPr>
      </w:pPr>
    </w:p>
    <w:p>
      <w:pPr>
        <w:ind w:left="3" w:right="160"/>
        <w:spacing w:after="0" w:line="281" w:lineRule="auto"/>
        <w:rPr>
          <w:sz w:val="20"/>
          <w:szCs w:val="20"/>
          <w:color w:val="auto"/>
        </w:rPr>
      </w:pPr>
      <w:r>
        <w:rPr>
          <w:rFonts w:ascii="Times New Roman" w:cs="Times New Roman" w:eastAsia="Times New Roman" w:hAnsi="Times New Roman"/>
          <w:sz w:val="18"/>
          <w:szCs w:val="18"/>
          <w:color w:val="auto"/>
        </w:rPr>
        <w:t>With a common goal to create novel, optimized psychedelic-based therapeutics, the combination of Cybin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As a result of the Arrangement, Cybin currently now has over 50 granted patents and over 170 pending applications. See “</w:t>
      </w:r>
      <w:r>
        <w:rPr>
          <w:rFonts w:ascii="Times New Roman" w:cs="Times New Roman" w:eastAsia="Times New Roman" w:hAnsi="Times New Roman"/>
          <w:sz w:val="19"/>
          <w:szCs w:val="19"/>
          <w:i w:val="1"/>
          <w:iCs w:val="1"/>
          <w:color w:val="auto"/>
        </w:rPr>
        <w:t>Intellectual Property</w:t>
      </w:r>
      <w:r>
        <w:rPr>
          <w:rFonts w:ascii="Times New Roman" w:cs="Times New Roman" w:eastAsia="Times New Roman" w:hAnsi="Times New Roman"/>
          <w:sz w:val="18"/>
          <w:szCs w:val="18"/>
          <w:color w:val="auto"/>
        </w:rPr>
        <w:t>”.</w:t>
      </w:r>
    </w:p>
    <w:p>
      <w:pPr>
        <w:spacing w:after="0" w:line="2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Advancement of Mental Healthcare</w:t>
      </w:r>
    </w:p>
    <w:p>
      <w:pPr>
        <w:spacing w:after="0" w:line="258" w:lineRule="exact"/>
        <w:rPr>
          <w:sz w:val="20"/>
          <w:szCs w:val="20"/>
          <w:color w:val="auto"/>
        </w:rPr>
      </w:pPr>
    </w:p>
    <w:p>
      <w:pPr>
        <w:jc w:val="both"/>
        <w:ind w:left="3"/>
        <w:spacing w:after="0" w:line="302" w:lineRule="auto"/>
        <w:rPr>
          <w:sz w:val="20"/>
          <w:szCs w:val="20"/>
          <w:color w:val="auto"/>
        </w:rPr>
      </w:pPr>
      <w:r>
        <w:rPr>
          <w:rFonts w:ascii="Times New Roman" w:cs="Times New Roman" w:eastAsia="Times New Roman" w:hAnsi="Times New Roman"/>
          <w:sz w:val="18"/>
          <w:szCs w:val="18"/>
          <w:color w:val="auto"/>
        </w:rPr>
        <w:t>The Company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65" w:lineRule="exact"/>
        <w:rPr>
          <w:sz w:val="20"/>
          <w:szCs w:val="20"/>
          <w:color w:val="auto"/>
        </w:rPr>
      </w:pPr>
    </w:p>
    <w:p>
      <w:pPr>
        <w:jc w:val="both"/>
        <w:ind w:left="3" w:right="20"/>
        <w:spacing w:after="0" w:line="297" w:lineRule="auto"/>
        <w:rPr>
          <w:sz w:val="20"/>
          <w:szCs w:val="20"/>
          <w:color w:val="auto"/>
        </w:rPr>
      </w:pPr>
      <w:r>
        <w:rPr>
          <w:rFonts w:ascii="Times New Roman" w:cs="Times New Roman" w:eastAsia="Times New Roman" w:hAnsi="Times New Roman"/>
          <w:sz w:val="18"/>
          <w:szCs w:val="18"/>
          <w:color w:val="auto"/>
        </w:rPr>
        <w:t>Across its extensive research and development programs, Cybin is evaluating a wide array of novel, synthetic psychedelic active pharmaceutical ingredients (“</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intended to be delivered through innovative drug delivery systems including via inhalation, via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and intramuscular, or subcutaneous administration</w:t>
      </w:r>
      <w:r>
        <w:rPr>
          <w:rFonts w:ascii="Times New Roman" w:cs="Times New Roman" w:eastAsia="Times New Roman" w:hAnsi="Times New Roman"/>
          <w:sz w:val="23"/>
          <w:szCs w:val="23"/>
          <w:color w:val="auto"/>
          <w:vertAlign w:val="superscript"/>
        </w:rPr>
        <w:t>2.</w:t>
      </w:r>
    </w:p>
    <w:p>
      <w:pPr>
        <w:spacing w:after="0" w:line="78" w:lineRule="exact"/>
        <w:rPr>
          <w:sz w:val="20"/>
          <w:szCs w:val="20"/>
          <w:color w:val="auto"/>
        </w:rPr>
      </w:pPr>
    </w:p>
    <w:p>
      <w:pPr>
        <w:jc w:val="both"/>
        <w:ind w:left="3" w:right="20"/>
        <w:spacing w:after="0" w:line="257" w:lineRule="auto"/>
        <w:rPr>
          <w:sz w:val="20"/>
          <w:szCs w:val="20"/>
          <w:color w:val="auto"/>
        </w:rPr>
      </w:pPr>
      <w:r>
        <w:rPr>
          <w:rFonts w:ascii="Times New Roman" w:cs="Times New Roman" w:eastAsia="Times New Roman" w:hAnsi="Times New Roman"/>
          <w:sz w:val="18"/>
          <w:szCs w:val="18"/>
          <w:color w:val="auto"/>
        </w:rPr>
        <w:t>The Company intends to apply for regulatory approval for therapies targeting indications such as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alcohol use disorder (“</w:t>
      </w:r>
      <w:r>
        <w:rPr>
          <w:rFonts w:ascii="Times New Roman" w:cs="Times New Roman" w:eastAsia="Times New Roman" w:hAnsi="Times New Roman"/>
          <w:sz w:val="18"/>
          <w:szCs w:val="18"/>
          <w:b w:val="1"/>
          <w:bCs w:val="1"/>
          <w:color w:val="auto"/>
        </w:rPr>
        <w:t>AUD</w:t>
      </w:r>
      <w:r>
        <w:rPr>
          <w:rFonts w:ascii="Times New Roman" w:cs="Times New Roman" w:eastAsia="Times New Roman" w:hAnsi="Times New Roman"/>
          <w:sz w:val="18"/>
          <w:szCs w:val="18"/>
          <w:color w:val="auto"/>
        </w:rPr>
        <w:t>”), generalized anxiety disorder ("</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 and potentially other various mental health conditions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The Company is also developing compounds that may have the potential to address neuroinflammation, central nervous system (“</w:t>
      </w:r>
      <w:r>
        <w:rPr>
          <w:rFonts w:ascii="Times New Roman" w:cs="Times New Roman" w:eastAsia="Times New Roman" w:hAnsi="Times New Roman"/>
          <w:sz w:val="18"/>
          <w:szCs w:val="18"/>
          <w:b w:val="1"/>
          <w:bCs w:val="1"/>
          <w:color w:val="auto"/>
        </w:rPr>
        <w:t>CNS</w:t>
      </w:r>
      <w:r>
        <w:rPr>
          <w:rFonts w:ascii="Times New Roman" w:cs="Times New Roman" w:eastAsia="Times New Roman" w:hAnsi="Times New Roman"/>
          <w:sz w:val="18"/>
          <w:szCs w:val="18"/>
          <w:color w:val="auto"/>
        </w:rPr>
        <w:t>”) disorders, and psychiatric disorders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jc w:val="both"/>
        <w:ind w:left="3" w:right="20"/>
        <w:spacing w:after="0" w:line="274" w:lineRule="auto"/>
        <w:rPr>
          <w:sz w:val="20"/>
          <w:szCs w:val="20"/>
          <w:color w:val="auto"/>
        </w:rPr>
      </w:pPr>
      <w:r>
        <w:rPr>
          <w:rFonts w:ascii="Times New Roman" w:cs="Times New Roman" w:eastAsia="Times New Roman" w:hAnsi="Times New Roman"/>
          <w:sz w:val="18"/>
          <w:szCs w:val="18"/>
          <w:color w:val="auto"/>
        </w:rPr>
        <w:t>Further, over the next 12-month period, the Company will continue to seek to establish strategic partnerships that advance the Company’s scientific research and IP for new psychedelic-based compounds and novel delivery mechanisms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The Company will also continue to sponsor select internal and partner-related clinical trials that advance the understanding of safety and efficacy for various psychedelic agents that target mental health conditions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153987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67" w:lineRule="exact"/>
        <w:rPr>
          <w:sz w:val="20"/>
          <w:szCs w:val="20"/>
          <w:color w:val="auto"/>
        </w:rPr>
      </w:pPr>
    </w:p>
    <w:p>
      <w:pPr>
        <w:ind w:left="3" w:right="10220" w:hanging="3"/>
        <w:spacing w:after="0" w:line="209" w:lineRule="auto"/>
        <w:tabs>
          <w:tab w:leader="none" w:pos="8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See footnote 1.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5"/>
          <w:szCs w:val="15"/>
          <w:color w:val="auto"/>
        </w:rPr>
        <w:t xml:space="preserve"> See footnote 1.</w:t>
      </w:r>
    </w:p>
    <w:p>
      <w:pPr>
        <w:spacing w:after="0" w:line="2" w:lineRule="exact"/>
        <w:rPr>
          <w:sz w:val="20"/>
          <w:szCs w:val="20"/>
          <w:color w:val="auto"/>
        </w:rPr>
      </w:pPr>
    </w:p>
    <w:p>
      <w:pPr>
        <w:ind w:left="103" w:hanging="103"/>
        <w:spacing w:after="0"/>
        <w:tabs>
          <w:tab w:leader="none" w:pos="103"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See footnote 1.</w:t>
      </w:r>
    </w:p>
    <w:p>
      <w:pPr>
        <w:ind w:left="83" w:hanging="83"/>
        <w:spacing w:after="0" w:line="188" w:lineRule="auto"/>
        <w:tabs>
          <w:tab w:leader="none" w:pos="83"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 material factor and assumption underlying this forward-looking statement is that the Company will be able to successfully negotiate strategic partnerships.</w:t>
      </w:r>
    </w:p>
    <w:p>
      <w:pPr>
        <w:spacing w:after="0" w:line="1" w:lineRule="exact"/>
        <w:rPr>
          <w:sz w:val="20"/>
          <w:szCs w:val="20"/>
          <w:color w:val="auto"/>
        </w:rPr>
      </w:pPr>
    </w:p>
    <w:p>
      <w:pPr>
        <w:jc w:val="both"/>
        <w:ind w:left="3" w:right="20" w:hanging="3"/>
        <w:spacing w:after="0" w:line="225" w:lineRule="auto"/>
        <w:tabs>
          <w:tab w:leader="none" w:pos="82"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39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3"/>
          </w:cols>
          <w:pgMar w:left="317" w:top="721" w:right="319" w:bottom="1440" w:gutter="0" w:footer="0" w:header="0"/>
        </w:sectPr>
      </w:pPr>
    </w:p>
    <w:bookmarkStart w:id="42" w:name="page43"/>
    <w:bookmarkEnd w:id="42"/>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Stage of Development</w:t>
      </w:r>
    </w:p>
    <w:p>
      <w:pPr>
        <w:spacing w:after="0" w:line="185" w:lineRule="exact"/>
        <w:rPr>
          <w:sz w:val="20"/>
          <w:szCs w:val="20"/>
          <w:color w:val="auto"/>
        </w:rPr>
      </w:pPr>
    </w:p>
    <w:p>
      <w:pPr>
        <w:jc w:val="both"/>
        <w:ind w:left="3" w:right="20"/>
        <w:spacing w:after="0" w:line="343" w:lineRule="auto"/>
        <w:rPr>
          <w:sz w:val="20"/>
          <w:szCs w:val="20"/>
          <w:color w:val="auto"/>
        </w:rPr>
      </w:pPr>
      <w:r>
        <w:rPr>
          <w:rFonts w:ascii="Times New Roman" w:cs="Times New Roman" w:eastAsia="Times New Roman" w:hAnsi="Times New Roman"/>
          <w:sz w:val="17"/>
          <w:szCs w:val="17"/>
          <w:color w:val="auto"/>
        </w:rPr>
        <w:t>Like most life sciences and pharmaceutical companies, the Company's psychedelic business is focused on research and development and any future revenue will be dependent on a number of factors, including the outcome of the Company’s clinical trials and the receipt of all necessary regulatory approvals.</w:t>
      </w:r>
    </w:p>
    <w:p>
      <w:pPr>
        <w:spacing w:after="0" w:line="132" w:lineRule="exact"/>
        <w:rPr>
          <w:sz w:val="20"/>
          <w:szCs w:val="20"/>
          <w:color w:val="auto"/>
        </w:rPr>
      </w:pPr>
    </w:p>
    <w:p>
      <w:pPr>
        <w:jc w:val="both"/>
        <w:ind w:left="3"/>
        <w:spacing w:after="0" w:line="296" w:lineRule="auto"/>
        <w:rPr>
          <w:sz w:val="20"/>
          <w:szCs w:val="20"/>
          <w:color w:val="auto"/>
        </w:rPr>
      </w:pPr>
      <w:r>
        <w:rPr>
          <w:rFonts w:ascii="Times New Roman" w:cs="Times New Roman" w:eastAsia="Times New Roman" w:hAnsi="Times New Roman"/>
          <w:sz w:val="18"/>
          <w:szCs w:val="18"/>
          <w:color w:val="auto"/>
        </w:rPr>
        <w:t>In order to establish its business operations, Cybin intends to leverage the extensive professional network of its management to build working partnerships with (i) existing producers of psychedelic products based in Canada, the United States,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and the UK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Times New Roman" w:cs="Times New Roman" w:eastAsia="Times New Roman" w:hAnsi="Times New Roman"/>
          <w:sz w:val="23"/>
          <w:szCs w:val="23"/>
          <w:color w:val="auto"/>
          <w:vertAlign w:val="superscript"/>
        </w:rPr>
        <w:t>7</w:t>
      </w:r>
    </w:p>
    <w:p>
      <w:pPr>
        <w:spacing w:after="0" w:line="80" w:lineRule="exact"/>
        <w:rPr>
          <w:sz w:val="20"/>
          <w:szCs w:val="20"/>
          <w:color w:val="auto"/>
        </w:rPr>
      </w:pPr>
    </w:p>
    <w:p>
      <w:pPr>
        <w:jc w:val="both"/>
        <w:ind w:left="3" w:right="20"/>
        <w:spacing w:after="0" w:line="305" w:lineRule="auto"/>
        <w:rPr>
          <w:sz w:val="20"/>
          <w:szCs w:val="20"/>
          <w:color w:val="auto"/>
        </w:rPr>
      </w:pPr>
      <w:r>
        <w:rPr>
          <w:rFonts w:ascii="Times New Roman" w:cs="Times New Roman" w:eastAsia="Times New Roman" w:hAnsi="Times New Roman"/>
          <w:sz w:val="18"/>
          <w:szCs w:val="18"/>
          <w:color w:val="auto"/>
        </w:rPr>
        <w:t xml:space="preserve">Prescription drugs are classified and regulated under the federal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45" w:lineRule="exact"/>
        <w:rPr>
          <w:sz w:val="20"/>
          <w:szCs w:val="20"/>
          <w:color w:val="auto"/>
        </w:rPr>
      </w:pPr>
    </w:p>
    <w:p>
      <w:pPr>
        <w:jc w:val="both"/>
        <w:ind w:left="3" w:right="20"/>
        <w:spacing w:after="0" w:line="296" w:lineRule="auto"/>
        <w:rPr>
          <w:sz w:val="20"/>
          <w:szCs w:val="20"/>
          <w:color w:val="auto"/>
        </w:rPr>
      </w:pPr>
      <w:r>
        <w:rPr>
          <w:rFonts w:ascii="Times New Roman" w:cs="Times New Roman" w:eastAsia="Times New Roman" w:hAnsi="Times New Roman"/>
          <w:sz w:val="18"/>
          <w:szCs w:val="18"/>
          <w:color w:val="auto"/>
        </w:rPr>
        <w:t xml:space="preserve">In the United States, foods, drugs and dietary supplements are subject to extensive regulation. The </w:t>
      </w:r>
      <w:r>
        <w:rPr>
          <w:rFonts w:ascii="Times New Roman" w:cs="Times New Roman" w:eastAsia="Times New Roman" w:hAnsi="Times New Roman"/>
          <w:sz w:val="18"/>
          <w:szCs w:val="18"/>
          <w:i w:val="1"/>
          <w:iCs w:val="1"/>
          <w:color w:val="auto"/>
        </w:rPr>
        <w:t>Federal Food, Drug, and Cosmetic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On November 4, 2021, the Company announced that it had been granted a Schedule I manufacturing license from the U.S.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Non-Revenue Generating Projects</w:t>
      </w:r>
      <w:r>
        <w:rPr>
          <w:rFonts w:ascii="Times New Roman" w:cs="Times New Roman" w:eastAsia="Times New Roman" w:hAnsi="Times New Roman"/>
          <w:sz w:val="23"/>
          <w:szCs w:val="23"/>
          <w:b w:val="1"/>
          <w:bCs w:val="1"/>
          <w:i w:val="1"/>
          <w:iCs w:val="1"/>
          <w:color w:val="auto"/>
          <w:vertAlign w:val="superscript"/>
        </w:rPr>
        <w:t>8</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currently has four significant projects, which have not yet generated revenue:</w:t>
      </w:r>
    </w:p>
    <w:p>
      <w:pPr>
        <w:spacing w:after="0" w:line="230" w:lineRule="exact"/>
        <w:rPr>
          <w:sz w:val="20"/>
          <w:szCs w:val="20"/>
          <w:color w:val="auto"/>
        </w:rPr>
      </w:pPr>
    </w:p>
    <w:p>
      <w:pPr>
        <w:ind w:left="583" w:hanging="292"/>
        <w:spacing w:after="0"/>
        <w:tabs>
          <w:tab w:leader="none" w:pos="5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Psilocybin Analog Program (CYB003)</w:t>
      </w:r>
    </w:p>
    <w:p>
      <w:pPr>
        <w:spacing w:after="0" w:line="35"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Dimethyltryptamine Program (CYB004, SPL028, and SPL026)</w:t>
      </w:r>
    </w:p>
    <w:p>
      <w:pPr>
        <w:spacing w:after="0" w:line="47"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Phenethylamine Derivatives Program (CYB005)</w:t>
      </w:r>
    </w:p>
    <w:p>
      <w:pPr>
        <w:spacing w:after="0" w:line="35"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Programs</w:t>
      </w:r>
    </w:p>
    <w:p>
      <w:pPr>
        <w:spacing w:after="0" w:line="242" w:lineRule="exact"/>
        <w:rPr>
          <w:sz w:val="20"/>
          <w:szCs w:val="20"/>
          <w:color w:val="auto"/>
        </w:rPr>
      </w:pPr>
    </w:p>
    <w:p>
      <w:pPr>
        <w:jc w:val="both"/>
        <w:ind w:left="3" w:right="20"/>
        <w:spacing w:after="0" w:line="292" w:lineRule="auto"/>
        <w:rPr>
          <w:sz w:val="20"/>
          <w:szCs w:val="20"/>
          <w:color w:val="auto"/>
        </w:rPr>
      </w:pPr>
      <w:r>
        <w:rPr>
          <w:rFonts w:ascii="Times New Roman" w:cs="Times New Roman" w:eastAsia="Times New Roman" w:hAnsi="Times New Roman"/>
          <w:sz w:val="18"/>
          <w:szCs w:val="18"/>
          <w:color w:val="auto"/>
        </w:rPr>
        <w:t>The Company has developed EMBARK, a psychological support model that integrates leading clinical approaches to promote supportive healing with psychedelic medicine. EMBARK’s six clinical domains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xistential-Spiritual,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indfulness,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ody Aware,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ffective-Cognitive,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elational, </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eeping Momentum) represent the broad spectrum of ways in which therapeutic benefits may arise in psychedelic treatment and the equally broad training needed to prepare therapists to support them all. The Company launched its EMBARK training program in June 2021, which prepares facilitators to work within all of these domains, while inviting facilitators to bring in their own therapeutic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153987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9" w:lineRule="exact"/>
        <w:rPr>
          <w:sz w:val="20"/>
          <w:szCs w:val="20"/>
          <w:color w:val="auto"/>
        </w:rPr>
      </w:pPr>
    </w:p>
    <w:p>
      <w:pPr>
        <w:ind w:left="3" w:right="20" w:hanging="3"/>
        <w:spacing w:after="0" w:line="215" w:lineRule="auto"/>
        <w:tabs>
          <w:tab w:leader="none" w:pos="10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ind w:left="3"/>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3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3"/>
          </w:cols>
          <w:pgMar w:left="317" w:top="721" w:right="319" w:bottom="1440" w:gutter="0" w:footer="0" w:header="0"/>
        </w:sectPr>
      </w:pPr>
    </w:p>
    <w:bookmarkStart w:id="43" w:name="page44"/>
    <w:bookmarkEnd w:id="43"/>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 w:cs="Times New Roman" w:eastAsia="Times New Roman" w:hAnsi="Times New Roman"/>
          <w:sz w:val="18"/>
          <w:szCs w:val="18"/>
          <w:b w:val="1"/>
          <w:bCs w:val="1"/>
          <w:color w:val="auto"/>
        </w:rPr>
        <w:t>EMBARK OA</w:t>
      </w:r>
      <w:r>
        <w:rPr>
          <w:rFonts w:ascii="Times New Roman" w:cs="Times New Roman" w:eastAsia="Times New Roman" w:hAnsi="Times New Roman"/>
          <w:sz w:val="18"/>
          <w:szCs w:val="18"/>
          <w:color w:val="auto"/>
        </w:rPr>
        <w:t>”), a free online foundational training course for psychedelic facilitation. EMBARK Open Access is the first and only free massive open online course that offers foundational psychedelic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which is designed for individuals with existing knowledge, skills, and experience in psychedelic facilitation. The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03"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The Company is continuing to assess the research and development programs of Small Pharma acquired through the Arrangement and will provide further information and updates upon completion of the integration of Small Pharma’s business, including the anticipated spend associated with any programs.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Deuterated Psilocybin Analog Program (CYB003)</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59"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The Company's lead program, CYB003, is an orally delivered deuterated psilocybin analog that aims to address the limitations of oral psilocybin, including side effects, scalability and accessibility of treatment.</w:t>
      </w:r>
    </w:p>
    <w:p>
      <w:pPr>
        <w:spacing w:after="0" w:line="17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completed its CYB003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")-enabling preclinical studies and Chemistry, Manufacturing and Control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in the U.S. to commence its first-in-human Phase 1/2a study of CYB003 in participants with moderate to severe MDD. The Company has engaged Clinilabs Drug Development Corporation (“</w:t>
      </w:r>
      <w:r>
        <w:rPr>
          <w:rFonts w:ascii="Times New Roman" w:cs="Times New Roman" w:eastAsia="Times New Roman" w:hAnsi="Times New Roman"/>
          <w:sz w:val="18"/>
          <w:szCs w:val="18"/>
          <w:b w:val="1"/>
          <w:bCs w:val="1"/>
          <w:color w:val="auto"/>
        </w:rPr>
        <w:t>Clinilabs</w:t>
      </w:r>
      <w:r>
        <w:rPr>
          <w:rFonts w:ascii="Times New Roman" w:cs="Times New Roman" w:eastAsia="Times New Roman" w:hAnsi="Times New Roman"/>
          <w:sz w:val="18"/>
          <w:szCs w:val="18"/>
          <w:color w:val="auto"/>
        </w:rPr>
        <w:t>”), a full-service contract research organization with deep expertise in central nervous system drug development, to carry out the Phase 1/2a clinical trial of CYB003. On August 30, 2022, the Company announced that the first two participants have been dosed in the Phase 1/2a study.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CYB003 Phase 1/2a Clinical Trial</w:t>
      </w:r>
    </w:p>
    <w:p>
      <w:pPr>
        <w:spacing w:after="0" w:line="2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Phase 1/2a trial was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psychedelic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320" w:top="725" w:right="319" w:bottom="1440" w:gutter="0" w:footer="0" w:header="0"/>
        </w:sectPr>
      </w:pPr>
    </w:p>
    <w:bookmarkStart w:id="44" w:name="page45"/>
    <w:bookmarkEnd w:id="44"/>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study investigated the safety, tolerability, pharmacokinetics ("</w:t>
      </w:r>
      <w:r>
        <w:rPr>
          <w:rFonts w:ascii="Times New Roman" w:cs="Times New Roman" w:eastAsia="Times New Roman" w:hAnsi="Times New Roman"/>
          <w:sz w:val="18"/>
          <w:szCs w:val="18"/>
          <w:b w:val="1"/>
          <w:bCs w:val="1"/>
          <w:color w:val="auto"/>
        </w:rPr>
        <w:t>PK</w:t>
      </w:r>
      <w:r>
        <w:rPr>
          <w:rFonts w:ascii="Times New Roman" w:cs="Times New Roman" w:eastAsia="Times New Roman" w:hAnsi="Times New Roman"/>
          <w:sz w:val="18"/>
          <w:szCs w:val="18"/>
          <w:color w:val="auto"/>
        </w:rPr>
        <w:t>") and pharmacodynamics ("</w:t>
      </w:r>
      <w:r>
        <w:rPr>
          <w:rFonts w:ascii="Times New Roman" w:cs="Times New Roman" w:eastAsia="Times New Roman" w:hAnsi="Times New Roman"/>
          <w:sz w:val="18"/>
          <w:szCs w:val="18"/>
          <w:b w:val="1"/>
          <w:bCs w:val="1"/>
          <w:color w:val="auto"/>
        </w:rPr>
        <w:t>PD</w:t>
      </w:r>
      <w:r>
        <w:rPr>
          <w:rFonts w:ascii="Times New Roman" w:cs="Times New Roman" w:eastAsia="Times New Roman" w:hAnsi="Times New Roman"/>
          <w:sz w:val="18"/>
          <w:szCs w:val="18"/>
          <w:color w:val="auto"/>
        </w:rPr>
        <w:t>"), and psychedelic effect of ascending oral doses of CYB003. In participants with MDD, the trial evaluated rapid onset of antidepressant effect on the day of dosing, using the Montgomery-Asberg Depression Rating Scale ("</w:t>
      </w:r>
      <w:r>
        <w:rPr>
          <w:rFonts w:ascii="Times New Roman" w:cs="Times New Roman" w:eastAsia="Times New Roman" w:hAnsi="Times New Roman"/>
          <w:sz w:val="18"/>
          <w:szCs w:val="18"/>
          <w:b w:val="1"/>
          <w:bCs w:val="1"/>
          <w:color w:val="auto"/>
        </w:rPr>
        <w:t>MADRS</w:t>
      </w:r>
      <w:r>
        <w:rPr>
          <w:rFonts w:ascii="Times New Roman" w:cs="Times New Roman" w:eastAsia="Times New Roman" w:hAnsi="Times New Roman"/>
          <w:sz w:val="18"/>
          <w:szCs w:val="18"/>
          <w:color w:val="auto"/>
        </w:rPr>
        <w:t>"), and evaluated the incremental benefit of a second dose of CYB003 when administered at Week 3. An optional period of assessment will help determine the durability of treatment effect out to 12 weeks. The study is listed on ClinicalTrials.gov under Identifier: NCT05385783.</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most of the participants reported robust and meaningful psychedelic effects, confirming a complete mystical experience was achieved. All doses evaluated (single oral doses of CYB003 up to 10mg) were well-tolerated with no serious adverse events reported.</w:t>
      </w:r>
    </w:p>
    <w:p>
      <w:pPr>
        <w:spacing w:after="0" w:line="18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so far of completed Cohorts 4 and 5, evaluated two 12mg doses of CYB003. On August 2, 2023, the Company announced that it had initiated dosing in Cohort 6, the final cohort of the CYB003 Phase 2a study.</w:t>
      </w:r>
    </w:p>
    <w:p>
      <w:pPr>
        <w:spacing w:after="0" w:line="18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On September 21, 2023, the Company announced that it had completed enrollment in its Phase 2a study of CYB003, its proprietary deuterated psilocybin analog program being developed for the potential treatment of MDD. All participants in the sixth, and final, cohort received at least one dose (placebo or 16mg of CYB003) with several second doses already administered, and no serious adverse events observed in participants. As of that date, CYB003 demonstrated a favorable safety and tolerability profile at all doses evaluated in the five completed cohorts (1mg, 3mg, 8mg, 10mg, and 12mg).</w:t>
      </w:r>
    </w:p>
    <w:p>
      <w:pPr>
        <w:spacing w:after="0" w:line="189"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7"/>
          <w:szCs w:val="17"/>
          <w:color w:val="auto"/>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spacing w:after="0" w:line="164"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7"/>
          <w:szCs w:val="17"/>
          <w:color w:val="auto"/>
        </w:rPr>
        <w:t xml:space="preserve">On October 31, 2023, the Company announced Phase 2a interim results for CYB003, its proprietary deuterated psilocybin analog, demonstrating a rapid, robust and statistically significant reduction in symptoms of depression three weeks following a single 12mg dose compared to placebo, in participants with moderate to severe MDD. At the 3-week primary efficacy endpoint, the reduction in MDD symptoms, defined as change from baseline in the </w:t>
      </w:r>
      <w:r>
        <w:rPr>
          <w:rFonts w:ascii="Times New Roman" w:cs="Times New Roman" w:eastAsia="Times New Roman" w:hAnsi="Times New Roman"/>
          <w:sz w:val="18"/>
          <w:szCs w:val="18"/>
          <w:color w:val="auto"/>
        </w:rPr>
        <w:t>MADRS</w:t>
      </w:r>
      <w:r>
        <w:rPr>
          <w:rFonts w:ascii="Times New Roman" w:cs="Times New Roman" w:eastAsia="Times New Roman" w:hAnsi="Times New Roman"/>
          <w:sz w:val="17"/>
          <w:szCs w:val="17"/>
          <w:color w:val="auto"/>
        </w:rPr>
        <w:t xml:space="preserve"> total score, was superior in participants assigned to CYB003 compared to the participants who received placebo by 14.08 points (p=0.0005, Cohen’s d=2.15).</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November 30, 2023, the Company announced positive Phase 2a topline results for CYB003, showing rapid and robust improvements in symptoms of depression after single doses of CYB003, with an average 13.75 point difference in MADRS score reduction between CYB003 and placebo which was statistically significant at 3 weeks (p&lt;0.0001). The study also demonstrated a clear incremental benefit of a second dose, with a further 5.8 point improvement on the MADRS total score with a second dose of CYB003 (12mg) at 6 weeks, and 79% of patients were in remission from depression at 6 weeks after two doses of CYB003 (12mg). CYB003 exhibited a favorable safety and tolerability profile with no treatment-related serious adverse events at 12mg and 16mg doses. These results support progression to a Phase 3 study in MDD which is expected to begin in Q2 2024.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709" w:right="319" w:bottom="1440" w:gutter="0" w:footer="0" w:header="0"/>
        </w:sectPr>
      </w:pPr>
    </w:p>
    <w:bookmarkStart w:id="45" w:name="page46"/>
    <w:bookmarkEnd w:id="45"/>
    <w:p>
      <w:pPr>
        <w:ind w:left="3"/>
        <w:spacing w:after="0"/>
        <w:rPr>
          <w:sz w:val="20"/>
          <w:szCs w:val="20"/>
          <w:color w:val="auto"/>
        </w:rPr>
      </w:pPr>
      <w:r>
        <w:rPr>
          <w:rFonts w:ascii="Times New Roman" w:cs="Times New Roman" w:eastAsia="Times New Roman" w:hAnsi="Times New Roman"/>
          <w:sz w:val="18"/>
          <w:szCs w:val="18"/>
          <w:color w:val="auto"/>
        </w:rPr>
        <w:t>The Company spent approximately $8,576 on the Deuterated Psilocybin Analog Program during the nine months ended December 31, 2023.</w:t>
      </w:r>
    </w:p>
    <w:p>
      <w:pPr>
        <w:spacing w:after="0" w:line="254" w:lineRule="exact"/>
        <w:rPr>
          <w:sz w:val="20"/>
          <w:szCs w:val="20"/>
          <w:color w:val="auto"/>
        </w:rPr>
      </w:pPr>
    </w:p>
    <w:p>
      <w:pPr>
        <w:ind w:left="3" w:right="20"/>
        <w:spacing w:after="0" w:line="296" w:lineRule="auto"/>
        <w:rPr>
          <w:sz w:val="20"/>
          <w:szCs w:val="20"/>
          <w:color w:val="auto"/>
        </w:rPr>
      </w:pPr>
      <w:r>
        <w:rPr>
          <w:rFonts w:ascii="Times New Roman" w:cs="Times New Roman" w:eastAsia="Times New Roman" w:hAnsi="Times New Roman"/>
          <w:sz w:val="18"/>
          <w:szCs w:val="18"/>
          <w:color w:val="auto"/>
        </w:rPr>
        <w:t>As the Company continues to progress through the CYB003 program, additional milestones related to the Phase 1/2a clinical trial have been identified. The Company intends to:</w:t>
      </w:r>
    </w:p>
    <w:p>
      <w:pPr>
        <w:spacing w:after="0" w:line="174" w:lineRule="exact"/>
        <w:rPr>
          <w:sz w:val="20"/>
          <w:szCs w:val="20"/>
          <w:color w:val="auto"/>
        </w:rPr>
      </w:pPr>
    </w:p>
    <w:p>
      <w:pPr>
        <w:ind w:left="563" w:hanging="272"/>
        <w:spacing w:after="0"/>
        <w:tabs>
          <w:tab w:leader="none" w:pos="563" w:val="left"/>
        </w:tabs>
        <w:numPr>
          <w:ilvl w:val="0"/>
          <w:numId w:val="24"/>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Complete FDA IND submission in Q1 2024</w:t>
      </w:r>
      <w:r>
        <w:rPr>
          <w:rFonts w:ascii="Times New Roman" w:cs="Times New Roman" w:eastAsia="Times New Roman" w:hAnsi="Times New Roman"/>
          <w:sz w:val="23"/>
          <w:szCs w:val="23"/>
          <w:color w:val="auto"/>
          <w:vertAlign w:val="superscript"/>
        </w:rPr>
        <w:t>9,10</w:t>
      </w:r>
      <w:r>
        <w:rPr>
          <w:rFonts w:ascii="Times New Roman" w:cs="Times New Roman" w:eastAsia="Times New Roman" w:hAnsi="Times New Roman"/>
          <w:sz w:val="18"/>
          <w:szCs w:val="18"/>
          <w:color w:val="auto"/>
        </w:rPr>
        <w:t>.</w:t>
      </w:r>
    </w:p>
    <w:p>
      <w:pPr>
        <w:ind w:left="563" w:hanging="272"/>
        <w:spacing w:after="0"/>
        <w:tabs>
          <w:tab w:leader="none" w:pos="5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 Phase 3 study of CYB003 in MDD in Q2 2024</w:t>
      </w:r>
      <w:r>
        <w:rPr>
          <w:rFonts w:ascii="Times New Roman" w:cs="Times New Roman" w:eastAsia="Times New Roman" w:hAnsi="Times New Roman"/>
          <w:sz w:val="23"/>
          <w:szCs w:val="23"/>
          <w:color w:val="auto"/>
          <w:vertAlign w:val="superscript"/>
        </w:rPr>
        <w:t>11,12</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3" w:right="20"/>
        <w:spacing w:after="0" w:line="291" w:lineRule="auto"/>
        <w:rPr>
          <w:sz w:val="20"/>
          <w:szCs w:val="20"/>
          <w:color w:val="auto"/>
        </w:rPr>
      </w:pPr>
      <w:r>
        <w:rPr>
          <w:rFonts w:ascii="Times New Roman" w:cs="Times New Roman" w:eastAsia="Times New Roman" w:hAnsi="Times New Roman"/>
          <w:sz w:val="18"/>
          <w:szCs w:val="18"/>
          <w:color w:val="auto"/>
        </w:rPr>
        <w:t>The Company spent approximately $9,289 to receive its top line data readout from the Phase 1/2a study and to complete FDA submission of CYB003 Phase 1/2a data for end of phase 2 meeting in Q4 2023 of which approximately $7,897 was spent during the nine months ended December 31, 2023 and approximately $1,392 was spent in the financial year ended March 31, 2023</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8"/>
          <w:szCs w:val="18"/>
          <w:color w:val="auto"/>
        </w:rPr>
        <w:t>The Company expects to spend approximately $2,300 to complete its FDA IND submission by Q1 2024. The Company also expects to spend approximately $17,550 to initiate a Phase 3 study of CYB003 in MDD in Q2 2024 , of which approximately nil was spent during the nine months ended December 31, 2023. The Company intends to continue funding the Deuterated Psilocybin Analog (CYB003) Program.</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complete future clinical trials for this program in the U.S., Canada, and/or Europe.</w:t>
      </w:r>
    </w:p>
    <w:p>
      <w:pPr>
        <w:spacing w:after="0" w:line="2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Deuterated Dimethyltryptamine Program</w:t>
      </w:r>
    </w:p>
    <w:p>
      <w:pPr>
        <w:spacing w:after="0" w:line="246"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The Company’s Deuterated Dimethyltryptamine Program is comprised of deuterated DMT (“dDMT”) molecules CYB004 and SPL028, which have the potential for less invasive, more convenient and patient-friendly dosing methods, in addition to SPL026, intravenous (“IV”) DMT.</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To date, the Company has completed five clinical trials providing proof-of-concept and important dosing information for its DMT/dDMT assets, including:</w:t>
      </w:r>
    </w:p>
    <w:p>
      <w:pPr>
        <w:spacing w:after="0" w:line="254" w:lineRule="exact"/>
        <w:rPr>
          <w:sz w:val="20"/>
          <w:szCs w:val="20"/>
          <w:color w:val="auto"/>
        </w:rPr>
      </w:pPr>
    </w:p>
    <w:p>
      <w:pPr>
        <w:ind w:left="583" w:hanging="292"/>
        <w:spacing w:after="0" w:line="296" w:lineRule="auto"/>
        <w:tabs>
          <w:tab w:leader="none" w:pos="5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2a safety and efficacy data for SPL026 (IV DMT) in 34 participants with MDD, demonstrating a clinically relevant and statistically significant reduction in depression symptoms at two weeks after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153987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54" w:lineRule="exact"/>
        <w:rPr>
          <w:sz w:val="20"/>
          <w:szCs w:val="20"/>
          <w:color w:val="auto"/>
        </w:rPr>
      </w:pPr>
    </w:p>
    <w:p>
      <w:pPr>
        <w:jc w:val="both"/>
        <w:ind w:left="3" w:right="20" w:hanging="3"/>
        <w:spacing w:after="0" w:line="245" w:lineRule="auto"/>
        <w:tabs>
          <w:tab w:leader="none" w:pos="114"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64" w:lineRule="exact"/>
        <w:rPr>
          <w:sz w:val="20"/>
          <w:szCs w:val="20"/>
          <w:color w:val="auto"/>
        </w:rPr>
      </w:pPr>
    </w:p>
    <w:p>
      <w:pPr>
        <w:jc w:val="both"/>
        <w:ind w:left="3" w:right="20" w:hanging="3"/>
        <w:spacing w:after="0" w:line="228" w:lineRule="auto"/>
        <w:tabs>
          <w:tab w:leader="none" w:pos="178"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9. The advancement of the Company’s Deuterated Psilocybin Analog Program (CYB003) program beyond providing a topline data readout from the Phase 1/2a study in Q4 2023 is contingent on the Company's ability to continue raising capital under its current and future financing arrangements. No assurances can be given that the Company will be able to raise the additional capital that it may require for its anticipated future development. See “Risk Factors” for further information.</w:t>
      </w:r>
    </w:p>
    <w:p>
      <w:pPr>
        <w:spacing w:after="0" w:line="1" w:lineRule="exact"/>
        <w:rPr>
          <w:rFonts w:ascii="Times New Roman" w:cs="Times New Roman" w:eastAsia="Times New Roman" w:hAnsi="Times New Roman"/>
          <w:sz w:val="25"/>
          <w:szCs w:val="25"/>
          <w:color w:val="auto"/>
          <w:vertAlign w:val="superscript"/>
        </w:rPr>
      </w:pPr>
    </w:p>
    <w:p>
      <w:pPr>
        <w:ind w:left="163" w:hanging="163"/>
        <w:spacing w:after="0" w:line="221" w:lineRule="auto"/>
        <w:tabs>
          <w:tab w:leader="none" w:pos="163"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See footnotes 9 and 10.</w:t>
      </w:r>
    </w:p>
    <w:p>
      <w:pPr>
        <w:spacing w:after="0" w:line="102" w:lineRule="exact"/>
        <w:rPr>
          <w:rFonts w:ascii="Times New Roman" w:cs="Times New Roman" w:eastAsia="Times New Roman" w:hAnsi="Times New Roman"/>
          <w:sz w:val="24"/>
          <w:szCs w:val="24"/>
          <w:color w:val="auto"/>
          <w:vertAlign w:val="superscript"/>
        </w:rPr>
      </w:pPr>
    </w:p>
    <w:p>
      <w:pPr>
        <w:ind w:left="3" w:right="20" w:hanging="3"/>
        <w:spacing w:after="0" w:line="206" w:lineRule="auto"/>
        <w:tabs>
          <w:tab w:leader="none" w:pos="178"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in Q1 2024. The Company now expects initiation of the Phase 3 study in Q2 2024.</w:t>
      </w:r>
    </w:p>
    <w:p>
      <w:pPr>
        <w:spacing w:after="0" w:line="65" w:lineRule="exact"/>
        <w:rPr>
          <w:rFonts w:ascii="Times New Roman" w:cs="Times New Roman" w:eastAsia="Times New Roman" w:hAnsi="Times New Roman"/>
          <w:sz w:val="25"/>
          <w:szCs w:val="25"/>
          <w:color w:val="auto"/>
          <w:vertAlign w:val="superscript"/>
        </w:rPr>
      </w:pPr>
    </w:p>
    <w:p>
      <w:pPr>
        <w:jc w:val="both"/>
        <w:ind w:left="3" w:right="20" w:hanging="3"/>
        <w:spacing w:after="0" w:line="224" w:lineRule="auto"/>
        <w:tabs>
          <w:tab w:leader="none" w:pos="178"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both these milestones. The Company had previously estimated that its spending to provide topline data readout from the Phase 1/2a study would be $7,704 and to complete FDA submission of CYB003 Phase 1/2a data for end of phase 2 meeting would be $2,500 for a total of $10,204. Anticipated timing and spending regarding drug development is</w:t>
      </w:r>
    </w:p>
    <w:p>
      <w:pPr>
        <w:spacing w:after="0" w:line="16" w:lineRule="exact"/>
        <w:rPr>
          <w:rFonts w:ascii="Times New Roman" w:cs="Times New Roman" w:eastAsia="Times New Roman" w:hAnsi="Times New Roman"/>
          <w:sz w:val="24"/>
          <w:szCs w:val="24"/>
          <w:color w:val="auto"/>
          <w:vertAlign w:val="superscript"/>
        </w:rPr>
      </w:pPr>
    </w:p>
    <w:p>
      <w:pPr>
        <w:jc w:val="both"/>
        <w:ind w:left="3" w:right="20"/>
        <w:spacing w:after="0" w:line="289"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2023, and during the period from April 1, 2022 to December 31, 2023.</w:t>
      </w:r>
    </w:p>
    <w:p>
      <w:pPr>
        <w:spacing w:after="0" w:line="200" w:lineRule="exact"/>
        <w:rPr>
          <w:sz w:val="20"/>
          <w:szCs w:val="20"/>
          <w:color w:val="auto"/>
        </w:rPr>
      </w:pPr>
    </w:p>
    <w:p>
      <w:pPr>
        <w:spacing w:after="0" w:line="36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3"/>
          </w:cols>
          <w:pgMar w:left="317" w:top="713" w:right="319"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8"/>
          <w:szCs w:val="18"/>
          <w:color w:val="auto"/>
        </w:rPr>
        <w:t>(-7.4 point difference in MADRS between SPL026 and placebo). Durable antidepressant response and remission rates were observed at six months.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Among participants who had achieved remission within three months with SPL026, 64% sustained remission to six months.</w:t>
      </w:r>
    </w:p>
    <w:p>
      <w:pPr>
        <w:spacing w:after="0" w:line="254" w:lineRule="exact"/>
        <w:rPr>
          <w:sz w:val="20"/>
          <w:szCs w:val="20"/>
          <w:color w:val="auto"/>
        </w:rPr>
      </w:pPr>
    </w:p>
    <w:p>
      <w:pPr>
        <w:ind w:left="560" w:hanging="272"/>
        <w:spacing w:after="0"/>
        <w:tabs>
          <w:tab w:leader="none" w:pos="5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studies evaluating intramuscular (“IM”) SPL026 and SPL028 supporting IM administration for patient-friendly dosing. The completed Phase</w:t>
      </w:r>
    </w:p>
    <w:p>
      <w:pPr>
        <w:spacing w:after="0" w:line="59" w:lineRule="exact"/>
        <w:rPr>
          <w:rFonts w:ascii="Times New Roman" w:cs="Times New Roman" w:eastAsia="Times New Roman" w:hAnsi="Times New Roman"/>
          <w:sz w:val="17"/>
          <w:szCs w:val="17"/>
          <w:color w:val="auto"/>
        </w:rPr>
      </w:pPr>
    </w:p>
    <w:p>
      <w:pPr>
        <w:ind w:left="580" w:right="20"/>
        <w:spacing w:after="0" w:line="31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study of IV/IM SPL028 in healthy volunteers showed that SPL028 is safe and well-tolerated, and demonstrated that IM dosing of SPL028 produced robust psychedelic effects lasting a short duration in the majority of subjects</w:t>
      </w:r>
    </w:p>
    <w:p>
      <w:pPr>
        <w:spacing w:after="0" w:line="180" w:lineRule="exact"/>
        <w:rPr>
          <w:rFonts w:ascii="Times New Roman" w:cs="Times New Roman" w:eastAsia="Times New Roman" w:hAnsi="Times New Roman"/>
          <w:sz w:val="17"/>
          <w:szCs w:val="17"/>
          <w:color w:val="auto"/>
        </w:rPr>
      </w:pPr>
    </w:p>
    <w:p>
      <w:pPr>
        <w:jc w:val="both"/>
        <w:ind w:left="580" w:right="20" w:hanging="292"/>
        <w:spacing w:after="0" w:line="295" w:lineRule="auto"/>
        <w:tabs>
          <w:tab w:leader="none" w:pos="5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1b study evaluating the safety and efficacy of SPL026 in conjunction with selective serotonin reuptake inhibitors ("SSRIs") in 17 participants with MDD, demonstrating no relevant drug-drug interactions, a favorable safety profile and enhanced efficacy when SPL026 was administered with SSRIs, and a 92% remission rate at 4 weeks in the DMT + SSRI combination cohort (n=12).</w:t>
      </w:r>
    </w:p>
    <w:p>
      <w:pPr>
        <w:spacing w:after="0" w:line="194" w:lineRule="exact"/>
        <w:rPr>
          <w:rFonts w:ascii="Times New Roman" w:cs="Times New Roman" w:eastAsia="Times New Roman" w:hAnsi="Times New Roman"/>
          <w:sz w:val="18"/>
          <w:szCs w:val="18"/>
          <w:color w:val="auto"/>
        </w:rPr>
      </w:pPr>
    </w:p>
    <w:p>
      <w:pPr>
        <w:ind w:left="580" w:right="20" w:hanging="292"/>
        <w:spacing w:after="0" w:line="310" w:lineRule="auto"/>
        <w:tabs>
          <w:tab w:leader="none" w:pos="5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results for IV CYB004 demonstrated robust and rapid-onset psychedelic effects at lower doses compared to native DMT, suggesting potential as a short-acting, scalable treatment</w:t>
      </w:r>
    </w:p>
    <w:p>
      <w:pPr>
        <w:spacing w:after="0" w:line="1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1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is currently advancing CYB004, a deuterated version of DMT, for the potential treatment of GAD. DMT has been shown to exert its psychedelic effects by activating the 5-HT2A receptor. In its regular form, DMT is an unstable molecule rapidly metabolized in the body, which significantly reduces its bioavailability. CYB004, as a deuterated molecule, has the potential to overcome the therapeutic limitations of native DMT, To date, CYB004 has demonstrated robust and rapid-onset psychedelic effects at lower doses compared to native DMT, suggesting potential as a short-acting, scalable treatment. Additionally, learnings from Phase 1 studies of IM SPL028 have supported IM administration as a viable dosing method for deuterated DMT, suggesting the potential for CYB004 to offer more convenient and patient-friendly dosing methods.</w:t>
      </w:r>
    </w:p>
    <w:p>
      <w:pPr>
        <w:spacing w:after="0" w:line="18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CYB004 is secured by a U.S. composition of matter patent with protection through 2041. The patent covers a range of deuteration forms of DMT and protects CYB004 as a putative new chemical entity.</w:t>
      </w:r>
    </w:p>
    <w:p>
      <w:pPr>
        <w:spacing w:after="0" w:line="15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On June 7, 2022, the Company announced it had entered into an agreement to acquire a Phase 1 DMT study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from Entheon Biomedical Corp. (“</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to accelerate the clinical development path for CYB004. On July 11, 2022, the Company announced that the Asset Acquisition was completed. The Phase 1 study, previously identified as EBRX-101 and now named CYB004-E, is being conducted in the Netherlands. Entheon acted as external consultants to the Company for approximately 10 months after the Asset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12, 2023, the Company announced that it has selected GAD as the target indication for its proprietary deuterated DMT molecule, CYB004.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1 CYB004-E DMT Study</w:t>
      </w:r>
    </w:p>
    <w:p>
      <w:pPr>
        <w:spacing w:after="0" w:line="27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Phase 1 trial was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provided essential safety and dosing optimization data informing the clinical path forward for CYB004. The CYB004-E study was conducted at the Centre for Human Drug Research in the Netherlands and is one of the largest Phase 1 DMT clinical trials to date.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713" w:right="319" w:bottom="1440" w:gutter="0" w:footer="0" w:header="0"/>
        </w:sectPr>
      </w:pPr>
    </w:p>
    <w:bookmarkStart w:id="47" w:name="page48"/>
    <w:bookmarkEnd w:id="47"/>
    <w:p>
      <w:pPr>
        <w:jc w:val="both"/>
        <w:ind w:left="3" w:right="20"/>
        <w:spacing w:after="0" w:line="296" w:lineRule="auto"/>
        <w:rPr>
          <w:sz w:val="20"/>
          <w:szCs w:val="20"/>
          <w:color w:val="auto"/>
        </w:rPr>
      </w:pPr>
      <w:r>
        <w:rPr>
          <w:rFonts w:ascii="Times New Roman" w:cs="Times New Roman" w:eastAsia="Times New Roman" w:hAnsi="Times New Roman"/>
          <w:sz w:val="18"/>
          <w:szCs w:val="18"/>
          <w:color w:val="auto"/>
        </w:rPr>
        <w:t>On November 10, 2022, the Company announced that its CYB004-E Phase 1 trial evaluating IV DMT completed dosing for four out of five cohorts and that the Safety Review Committee had confirmed no safety issues.</w:t>
      </w:r>
    </w:p>
    <w:p>
      <w:pPr>
        <w:spacing w:after="0" w:line="169" w:lineRule="exact"/>
        <w:rPr>
          <w:sz w:val="20"/>
          <w:szCs w:val="20"/>
          <w:color w:val="auto"/>
        </w:rPr>
      </w:pPr>
    </w:p>
    <w:p>
      <w:pPr>
        <w:jc w:val="both"/>
        <w:ind w:left="3"/>
        <w:spacing w:after="0" w:line="296" w:lineRule="auto"/>
        <w:rPr>
          <w:sz w:val="20"/>
          <w:szCs w:val="20"/>
          <w:color w:val="auto"/>
        </w:rPr>
      </w:pPr>
      <w:r>
        <w:rPr>
          <w:rFonts w:ascii="Times New Roman" w:cs="Times New Roman" w:eastAsia="Times New Roman" w:hAnsi="Times New Roman"/>
          <w:sz w:val="18"/>
          <w:szCs w:val="18"/>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169" w:lineRule="exact"/>
        <w:rPr>
          <w:sz w:val="20"/>
          <w:szCs w:val="20"/>
          <w:color w:val="auto"/>
        </w:rPr>
      </w:pPr>
    </w:p>
    <w:p>
      <w:pPr>
        <w:jc w:val="both"/>
        <w:ind w:left="3"/>
        <w:spacing w:after="0" w:line="274" w:lineRule="auto"/>
        <w:rPr>
          <w:sz w:val="20"/>
          <w:szCs w:val="20"/>
          <w:color w:val="auto"/>
        </w:rPr>
      </w:pPr>
      <w:r>
        <w:rPr>
          <w:rFonts w:ascii="Times New Roman" w:cs="Times New Roman" w:eastAsia="Times New Roman" w:hAnsi="Times New Roman"/>
          <w:sz w:val="18"/>
          <w:szCs w:val="18"/>
          <w:color w:val="auto"/>
        </w:rPr>
        <w:t>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May 9, 2023, the Company announced that it had completed dosing for the last subject in Part B of the Phase 1 CYB004-E trial.</w:t>
      </w:r>
    </w:p>
    <w:p>
      <w:pPr>
        <w:spacing w:after="0" w:line="2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May 24, 2023, the Company announced that it had initiated first-in-human dosing of CYB004 in Part C of the Phase 1 CYB004-E trial.</w:t>
      </w:r>
    </w:p>
    <w:p>
      <w:pPr>
        <w:spacing w:after="0" w:line="242"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On January 8, 2024, the Company announced positive topline results from its Phase 1 studies of its proprietary deuterated DMT molecules, CYB004 and SPL028.</w:t>
      </w:r>
    </w:p>
    <w:p>
      <w:pPr>
        <w:spacing w:after="0" w:line="1" w:lineRule="exact"/>
        <w:rPr>
          <w:sz w:val="20"/>
          <w:szCs w:val="20"/>
          <w:color w:val="auto"/>
        </w:rPr>
      </w:pPr>
    </w:p>
    <w:p>
      <w:pPr>
        <w:jc w:val="both"/>
        <w:ind w:left="583" w:right="20" w:hanging="292"/>
        <w:spacing w:after="0" w:line="267" w:lineRule="auto"/>
        <w:tabs>
          <w:tab w:leader="none" w:pos="5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 CYB004 study results showed that IV CYB004 demonstrated robust and rapid-onset psychedelic effects at lower doses compared to native DMT. These psychedelic effects were rapid in onset when administered as an IV bolus over five minutes and persisted for about 40 minutes after the bolus without the need for an extended infusion.</w:t>
      </w:r>
    </w:p>
    <w:p>
      <w:pPr>
        <w:ind w:left="583" w:right="20" w:hanging="292"/>
        <w:spacing w:after="0" w:line="267" w:lineRule="auto"/>
        <w:tabs>
          <w:tab w:leader="none" w:pos="5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 SPL028 study identified an IM dose of SPL028 that resulted in a breakthrough psychedelic experience, with a total duration ranging from 55 to 120 minutes.</w:t>
      </w:r>
    </w:p>
    <w:p>
      <w:pPr>
        <w:ind w:left="583" w:right="20" w:hanging="292"/>
        <w:spacing w:after="0" w:line="294" w:lineRule="auto"/>
        <w:tabs>
          <w:tab w:leader="none" w:pos="5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CYB004 (IV) and SPL028 (IM and IV) were well-tolerated with no serious adverse events, and the majority of adverse events were mild to moderate and self-limiting.</w:t>
      </w:r>
    </w:p>
    <w:p>
      <w:pPr>
        <w:spacing w:after="0" w:line="18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January 23, 2024, the Company announced that it had received FDA clearance to initiate a Phase 2a study of CYB004 in GAD.</w:t>
      </w:r>
    </w:p>
    <w:p>
      <w:pPr>
        <w:spacing w:after="0" w:line="254" w:lineRule="exact"/>
        <w:rPr>
          <w:sz w:val="20"/>
          <w:szCs w:val="20"/>
          <w:color w:val="auto"/>
        </w:rPr>
      </w:pPr>
    </w:p>
    <w:p>
      <w:pPr>
        <w:ind w:left="3" w:right="20"/>
        <w:spacing w:after="0" w:line="310" w:lineRule="auto"/>
        <w:rPr>
          <w:sz w:val="20"/>
          <w:szCs w:val="20"/>
          <w:color w:val="auto"/>
        </w:rPr>
      </w:pPr>
      <w:r>
        <w:rPr>
          <w:rFonts w:ascii="Times New Roman" w:cs="Times New Roman" w:eastAsia="Times New Roman" w:hAnsi="Times New Roman"/>
          <w:sz w:val="18"/>
          <w:szCs w:val="18"/>
          <w:color w:val="auto"/>
        </w:rPr>
        <w:t>The Company spent approximately $5,272 on its Deuterated Dimethyltryptamine Program during the nine months ended December 31, 2023, related to the milestones detailed below.</w:t>
      </w:r>
    </w:p>
    <w:p>
      <w:pPr>
        <w:spacing w:after="0" w:line="132" w:lineRule="exact"/>
        <w:rPr>
          <w:sz w:val="20"/>
          <w:szCs w:val="20"/>
          <w:color w:val="auto"/>
        </w:rPr>
      </w:pPr>
    </w:p>
    <w:p>
      <w:pPr>
        <w:ind w:left="3" w:right="20"/>
        <w:spacing w:after="0" w:line="310" w:lineRule="auto"/>
        <w:rPr>
          <w:sz w:val="20"/>
          <w:szCs w:val="20"/>
          <w:color w:val="auto"/>
        </w:rPr>
      </w:pPr>
      <w:r>
        <w:rPr>
          <w:rFonts w:ascii="Times New Roman" w:cs="Times New Roman" w:eastAsia="Times New Roman" w:hAnsi="Times New Roman"/>
          <w:sz w:val="18"/>
          <w:szCs w:val="18"/>
          <w:color w:val="auto"/>
        </w:rPr>
        <w:t>As the Company continues to progress its Deuterated Dimethyltryptamine Program, additional milestones related to its clinical development have been identified. The Company intends to:</w:t>
      </w:r>
    </w:p>
    <w:p>
      <w:pPr>
        <w:spacing w:after="0" w:line="169" w:lineRule="exact"/>
        <w:rPr>
          <w:sz w:val="20"/>
          <w:szCs w:val="20"/>
          <w:color w:val="auto"/>
        </w:rPr>
      </w:pPr>
    </w:p>
    <w:p>
      <w:pPr>
        <w:ind w:left="563" w:hanging="272"/>
        <w:spacing w:after="0"/>
        <w:tabs>
          <w:tab w:leader="none" w:pos="563" w:val="left"/>
        </w:tabs>
        <w:numPr>
          <w:ilvl w:val="0"/>
          <w:numId w:val="30"/>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initiate a Phase 2a GAD study in Q1 2024</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153987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both"/>
        <w:ind w:left="3" w:right="20" w:hanging="3"/>
        <w:spacing w:after="0" w:line="230" w:lineRule="auto"/>
        <w:tabs>
          <w:tab w:leader="none" w:pos="19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advancement of the Company’s Deuterated Dimethyltryptamine Program (CYB004) program beyond providing topline data from the Phase 1 CYB004-E trial in January 2024 and completing FDA IND submission for CYB004 in January 2024 is contingent on the Company’s ability to continue raising capital under its current and future financing arrangements. No assurances can be given that the Company will be able to raise the additional capital that it may require for its anticipated future development. See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for further information. See also footnote 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3"/>
          </w:cols>
          <w:pgMar w:left="317" w:top="713" w:right="319" w:bottom="1440" w:gutter="0" w:footer="0" w:header="0"/>
        </w:sectPr>
      </w:pPr>
    </w:p>
    <w:bookmarkStart w:id="48" w:name="page49"/>
    <w:bookmarkEnd w:id="48"/>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The Company expects to spend approximately $7,245</w:t>
      </w:r>
      <w:r>
        <w:rPr>
          <w:rFonts w:ascii="Times New Roman" w:cs="Times New Roman" w:eastAsia="Times New Roman" w:hAnsi="Times New Roman"/>
          <w:sz w:val="23"/>
          <w:szCs w:val="23"/>
          <w:color w:val="auto"/>
          <w:vertAlign w:val="superscript"/>
        </w:rPr>
        <w:t>15,16</w:t>
      </w:r>
      <w:r>
        <w:rPr>
          <w:rFonts w:ascii="Times New Roman" w:cs="Times New Roman" w:eastAsia="Times New Roman" w:hAnsi="Times New Roman"/>
          <w:sz w:val="18"/>
          <w:szCs w:val="18"/>
          <w:color w:val="auto"/>
        </w:rPr>
        <w:t xml:space="preserve"> to complete FDA IND submission for CYB004 in January 2024 of which approximately $2,272 was spent during the nine months ended December 31, 2023 and approximately $4,973 was spent in the financial year ended March 31, 2023, resulting in an approximate remaining spend as of December 31, 2023 of $162 by Q1 2024. The Company expects to spend approximately $5,733</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 xml:space="preserve"> to provide topline data from the Phase 1 CYB004-E trial in January 2024 of which approximately $2,725 was spent during the nine months ended December 31, 2023 and approximately $2,797 was spent in the financial year ended March 31, 2023 resulting in an approximate remaining spend as of December 31, 2023 of $211 by Q1 2024.</w:t>
      </w:r>
    </w:p>
    <w:p>
      <w:pPr>
        <w:spacing w:after="0" w:line="207" w:lineRule="exact"/>
        <w:rPr>
          <w:sz w:val="20"/>
          <w:szCs w:val="20"/>
          <w:color w:val="auto"/>
        </w:rPr>
      </w:pPr>
    </w:p>
    <w:p>
      <w:pPr>
        <w:jc w:val="both"/>
        <w:ind w:left="3" w:right="20"/>
        <w:spacing w:after="0" w:line="235" w:lineRule="auto"/>
        <w:rPr>
          <w:sz w:val="20"/>
          <w:szCs w:val="20"/>
          <w:color w:val="auto"/>
        </w:rPr>
      </w:pPr>
      <w:r>
        <w:rPr>
          <w:rFonts w:ascii="Times New Roman" w:cs="Times New Roman" w:eastAsia="Times New Roman" w:hAnsi="Times New Roman"/>
          <w:sz w:val="18"/>
          <w:szCs w:val="18"/>
          <w:color w:val="auto"/>
        </w:rPr>
        <w:t>The Company expects to spend approximately $1,270</w:t>
      </w:r>
      <w:r>
        <w:rPr>
          <w:rFonts w:ascii="Times New Roman" w:cs="Times New Roman" w:eastAsia="Times New Roman" w:hAnsi="Times New Roman"/>
          <w:sz w:val="23"/>
          <w:szCs w:val="23"/>
          <w:color w:val="auto"/>
          <w:vertAlign w:val="superscript"/>
        </w:rPr>
        <w:t>18</w:t>
      </w:r>
      <w:r>
        <w:rPr>
          <w:rFonts w:ascii="Times New Roman" w:cs="Times New Roman" w:eastAsia="Times New Roman" w:hAnsi="Times New Roman"/>
          <w:sz w:val="18"/>
          <w:szCs w:val="18"/>
          <w:color w:val="auto"/>
        </w:rPr>
        <w:t xml:space="preserve"> to initiate a Phase 2a GAD study in Q1 2024 of which approximately $271 was spent during the nine months ended December 31, 2023, a, resulting in an approximate remaining spend as of December 31, 2023 of $999 by Q1 2024.</w:t>
      </w:r>
    </w:p>
    <w:p>
      <w:pPr>
        <w:spacing w:after="0" w:line="242" w:lineRule="exact"/>
        <w:rPr>
          <w:sz w:val="20"/>
          <w:szCs w:val="20"/>
          <w:color w:val="auto"/>
        </w:rPr>
      </w:pPr>
    </w:p>
    <w:p>
      <w:pPr>
        <w:jc w:val="both"/>
        <w:ind w:left="3"/>
        <w:spacing w:after="0" w:line="310" w:lineRule="auto"/>
        <w:rPr>
          <w:sz w:val="20"/>
          <w:szCs w:val="20"/>
          <w:color w:val="auto"/>
        </w:rPr>
      </w:pPr>
      <w:r>
        <w:rPr>
          <w:rFonts w:ascii="Times New Roman" w:cs="Times New Roman" w:eastAsia="Times New Roman" w:hAnsi="Times New Roman"/>
          <w:sz w:val="18"/>
          <w:szCs w:val="18"/>
          <w:color w:val="auto"/>
        </w:rPr>
        <w:t>The Company intends to continue funding the Deuterated Dimethyltryptamine (CYB004) Program, subject to the Company's ability to continue raising capital under its current and future financing. See "Subsequent Events".</w:t>
      </w:r>
    </w:p>
    <w:p>
      <w:pPr>
        <w:spacing w:after="0" w:line="157" w:lineRule="exact"/>
        <w:rPr>
          <w:sz w:val="20"/>
          <w:szCs w:val="20"/>
          <w:color w:val="auto"/>
        </w:rPr>
      </w:pPr>
    </w:p>
    <w:p>
      <w:pPr>
        <w:ind w:left="3" w:right="800"/>
        <w:spacing w:after="0" w:line="299" w:lineRule="auto"/>
        <w:rPr>
          <w:sz w:val="20"/>
          <w:szCs w:val="20"/>
          <w:color w:val="auto"/>
        </w:rPr>
      </w:pPr>
      <w:r>
        <w:rPr>
          <w:rFonts w:ascii="Times New Roman" w:cs="Times New Roman" w:eastAsia="Times New Roman" w:hAnsi="Times New Roman"/>
          <w:sz w:val="18"/>
          <w:szCs w:val="18"/>
          <w:color w:val="auto"/>
        </w:rPr>
        <w:t>In addition, following the acquisition of Small Pharma, the Company is continuing to assess and will provide further information and updates upon completion of the integration of Small Pharma’s business, including the anticipated spend associated with the SPL028 study</w:t>
      </w:r>
      <w:r>
        <w:rPr>
          <w:rFonts w:ascii="Times New Roman" w:cs="Times New Roman" w:eastAsia="Times New Roman" w:hAnsi="Times New Roman"/>
          <w:sz w:val="23"/>
          <w:szCs w:val="23"/>
          <w:color w:val="auto"/>
          <w:vertAlign w:val="superscript"/>
        </w:rPr>
        <w:t>19</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Phenethylamine Derivatives Program (CYB005)</w:t>
      </w:r>
    </w:p>
    <w:p>
      <w:pPr>
        <w:spacing w:after="0" w:line="234"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3987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44" w:lineRule="exact"/>
        <w:rPr>
          <w:sz w:val="20"/>
          <w:szCs w:val="20"/>
          <w:color w:val="auto"/>
        </w:rPr>
      </w:pPr>
    </w:p>
    <w:p>
      <w:pPr>
        <w:jc w:val="both"/>
        <w:ind w:left="3" w:right="20" w:hanging="3"/>
        <w:spacing w:after="0" w:line="245" w:lineRule="auto"/>
        <w:tabs>
          <w:tab w:leader="none" w:pos="178"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63" w:lineRule="exact"/>
        <w:rPr>
          <w:rFonts w:ascii="Times New Roman" w:cs="Times New Roman" w:eastAsia="Times New Roman" w:hAnsi="Times New Roman"/>
          <w:sz w:val="25"/>
          <w:szCs w:val="25"/>
          <w:color w:val="auto"/>
          <w:vertAlign w:val="superscript"/>
        </w:rPr>
      </w:pPr>
    </w:p>
    <w:p>
      <w:pPr>
        <w:jc w:val="both"/>
        <w:ind w:left="3" w:hanging="3"/>
        <w:spacing w:after="0" w:line="267" w:lineRule="auto"/>
        <w:tabs>
          <w:tab w:leader="none" w:pos="178"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this milestone. The Company had previously estimated that its spending to complete FDA IND submission for CYB004 would be $7,180.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2023, during the period from April 1, 2022 to December 31, 2023 and expected spend during Q1 2024.</w:t>
      </w:r>
    </w:p>
    <w:p>
      <w:pPr>
        <w:spacing w:after="0" w:line="55" w:lineRule="exact"/>
        <w:rPr>
          <w:rFonts w:ascii="Times New Roman" w:cs="Times New Roman" w:eastAsia="Times New Roman" w:hAnsi="Times New Roman"/>
          <w:sz w:val="24"/>
          <w:szCs w:val="24"/>
          <w:color w:val="auto"/>
          <w:vertAlign w:val="superscript"/>
        </w:rPr>
      </w:pPr>
    </w:p>
    <w:p>
      <w:pPr>
        <w:jc w:val="both"/>
        <w:ind w:left="3" w:right="20" w:hanging="3"/>
        <w:spacing w:after="0" w:line="224" w:lineRule="auto"/>
        <w:tabs>
          <w:tab w:leader="none" w:pos="19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this milestone. The Company had previously estimated that its spending to advance the Phase 1 CYB004-E trial would be $5,174. Anticipated timing and spending regarding drug development is based on reasonable assumptions informed by current knowledge and information available to the Company. Such statements are informed by, among</w:t>
      </w:r>
    </w:p>
    <w:p>
      <w:pPr>
        <w:spacing w:after="0" w:line="16" w:lineRule="exact"/>
        <w:rPr>
          <w:rFonts w:ascii="Times New Roman" w:cs="Times New Roman" w:eastAsia="Times New Roman" w:hAnsi="Times New Roman"/>
          <w:sz w:val="24"/>
          <w:szCs w:val="24"/>
          <w:color w:val="auto"/>
          <w:vertAlign w:val="superscript"/>
        </w:rPr>
      </w:pPr>
    </w:p>
    <w:p>
      <w:pPr>
        <w:jc w:val="both"/>
        <w:ind w:left="3" w:right="20"/>
        <w:spacing w:after="0" w:line="273"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2023, during the period from April 1, 2022 to December 31, 2023 and expected spend during Q1 2024.</w:t>
      </w:r>
    </w:p>
    <w:p>
      <w:pPr>
        <w:spacing w:after="0" w:line="1" w:lineRule="exact"/>
        <w:rPr>
          <w:rFonts w:ascii="Times New Roman" w:cs="Times New Roman" w:eastAsia="Times New Roman" w:hAnsi="Times New Roman"/>
          <w:sz w:val="24"/>
          <w:szCs w:val="24"/>
          <w:color w:val="auto"/>
          <w:vertAlign w:val="superscript"/>
        </w:rPr>
      </w:pPr>
    </w:p>
    <w:p>
      <w:pPr>
        <w:ind w:left="163" w:hanging="163"/>
        <w:spacing w:after="0" w:line="187" w:lineRule="auto"/>
        <w:tabs>
          <w:tab w:leader="none" w:pos="163"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Refer to footnotes 14 and 15.</w:t>
      </w:r>
    </w:p>
    <w:p>
      <w:pPr>
        <w:spacing w:after="0" w:line="56" w:lineRule="exact"/>
        <w:rPr>
          <w:rFonts w:ascii="Times New Roman" w:cs="Times New Roman" w:eastAsia="Times New Roman" w:hAnsi="Times New Roman"/>
          <w:sz w:val="23"/>
          <w:szCs w:val="23"/>
          <w:color w:val="auto"/>
          <w:vertAlign w:val="superscript"/>
        </w:rPr>
      </w:pPr>
    </w:p>
    <w:p>
      <w:pPr>
        <w:ind w:left="183" w:hanging="183"/>
        <w:spacing w:after="0" w:line="181" w:lineRule="auto"/>
        <w:tabs>
          <w:tab w:leader="none" w:pos="183"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See footnotes 9 and 17.</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63"/>
          </w:cols>
          <w:pgMar w:left="317" w:top="713" w:right="319" w:bottom="1440" w:gutter="0" w:footer="0" w:header="0"/>
        </w:sectPr>
      </w:pPr>
    </w:p>
    <w:bookmarkStart w:id="49" w:name="page50"/>
    <w:bookmarkEnd w:id="49"/>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chronic dosing. The Company is investigating the effects of phenethylamine derivatives on neuroplasticity, and for the potential treatment of psychiatric disorders, neuroinflammation and other neurological conditions.</w:t>
      </w:r>
      <w:r>
        <w:rPr>
          <w:rFonts w:ascii="Times New Roman" w:cs="Times New Roman" w:eastAsia="Times New Roman" w:hAnsi="Times New Roman"/>
          <w:sz w:val="23"/>
          <w:szCs w:val="23"/>
          <w:color w:val="auto"/>
          <w:vertAlign w:val="superscript"/>
        </w:rPr>
        <w:t>20</w:t>
      </w:r>
    </w:p>
    <w:p>
      <w:pPr>
        <w:spacing w:after="0" w:line="107" w:lineRule="exact"/>
        <w:rPr>
          <w:sz w:val="20"/>
          <w:szCs w:val="20"/>
          <w:color w:val="auto"/>
        </w:rPr>
      </w:pPr>
    </w:p>
    <w:p>
      <w:pPr>
        <w:jc w:val="both"/>
        <w:ind w:left="3" w:right="20"/>
        <w:spacing w:after="0" w:line="292" w:lineRule="auto"/>
        <w:rPr>
          <w:sz w:val="20"/>
          <w:szCs w:val="20"/>
          <w:color w:val="auto"/>
        </w:rPr>
      </w:pPr>
      <w:r>
        <w:rPr>
          <w:rFonts w:ascii="Times New Roman" w:cs="Times New Roman" w:eastAsia="Times New Roman" w:hAnsi="Times New Roman"/>
          <w:sz w:val="18"/>
          <w:szCs w:val="18"/>
          <w:color w:val="auto"/>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cGMP.</w:t>
      </w:r>
    </w:p>
    <w:p>
      <w:pPr>
        <w:spacing w:after="0" w:line="199" w:lineRule="exact"/>
        <w:rPr>
          <w:sz w:val="20"/>
          <w:szCs w:val="20"/>
          <w:color w:val="auto"/>
        </w:rPr>
      </w:pPr>
    </w:p>
    <w:p>
      <w:pPr>
        <w:jc w:val="both"/>
        <w:ind w:left="3" w:right="20"/>
        <w:spacing w:after="0" w:line="292" w:lineRule="auto"/>
        <w:rPr>
          <w:sz w:val="20"/>
          <w:szCs w:val="20"/>
          <w:color w:val="auto"/>
        </w:rPr>
      </w:pPr>
      <w:r>
        <w:rPr>
          <w:rFonts w:ascii="Times New Roman" w:cs="Times New Roman" w:eastAsia="Times New Roman" w:hAnsi="Times New Roman"/>
          <w:sz w:val="18"/>
          <w:szCs w:val="18"/>
          <w:color w:val="auto"/>
        </w:rPr>
        <w:t>In addition, utilizing the expertise of selected third parties, the Company intends to oversee the study of the pharmacokinetic profiles of its formulations in a number of animal models and the completion of Absorption, Distribution, Metabolism, and Excretion ("ADME")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196"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8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spent approximately $83 on its preclinical Phenethylamine Derivatives Program during the nine months ended December 31, 2023.</w:t>
      </w:r>
    </w:p>
    <w:p>
      <w:pPr>
        <w:spacing w:after="0" w:line="254" w:lineRule="exact"/>
        <w:rPr>
          <w:sz w:val="20"/>
          <w:szCs w:val="20"/>
          <w:color w:val="auto"/>
        </w:rPr>
      </w:pPr>
    </w:p>
    <w:p>
      <w:pPr>
        <w:jc w:val="both"/>
        <w:ind w:left="3" w:right="20"/>
        <w:spacing w:after="0" w:line="303" w:lineRule="auto"/>
        <w:rPr>
          <w:sz w:val="20"/>
          <w:szCs w:val="20"/>
          <w:color w:val="auto"/>
        </w:rPr>
      </w:pPr>
      <w:r>
        <w:rPr>
          <w:rFonts w:ascii="Times New Roman" w:cs="Times New Roman" w:eastAsia="Times New Roman" w:hAnsi="Times New Roman"/>
          <w:sz w:val="18"/>
          <w:szCs w:val="18"/>
          <w:color w:val="auto"/>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2024</w:t>
      </w:r>
      <w:r>
        <w:rPr>
          <w:rFonts w:ascii="Times New Roman" w:cs="Times New Roman" w:eastAsia="Times New Roman" w:hAnsi="Times New Roman"/>
          <w:sz w:val="23"/>
          <w:szCs w:val="23"/>
          <w:color w:val="auto"/>
          <w:vertAlign w:val="superscript"/>
        </w:rPr>
        <w:t>21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153987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381" w:lineRule="exact"/>
        <w:rPr>
          <w:sz w:val="20"/>
          <w:szCs w:val="20"/>
          <w:color w:val="auto"/>
        </w:rPr>
      </w:pPr>
    </w:p>
    <w:p>
      <w:pPr>
        <w:jc w:val="both"/>
        <w:ind w:left="3" w:hanging="3"/>
        <w:spacing w:after="0" w:line="244" w:lineRule="auto"/>
        <w:tabs>
          <w:tab w:leader="none" w:pos="178"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56" w:lineRule="exact"/>
        <w:rPr>
          <w:rFonts w:ascii="Times New Roman" w:cs="Times New Roman" w:eastAsia="Times New Roman" w:hAnsi="Times New Roman"/>
          <w:sz w:val="25"/>
          <w:szCs w:val="25"/>
          <w:color w:val="auto"/>
          <w:vertAlign w:val="superscript"/>
        </w:rPr>
      </w:pPr>
    </w:p>
    <w:p>
      <w:pPr>
        <w:jc w:val="both"/>
        <w:ind w:left="3" w:right="20" w:hanging="3"/>
        <w:spacing w:after="0" w:line="210" w:lineRule="auto"/>
        <w:tabs>
          <w:tab w:leader="none" w:pos="19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9. The Company is prioritizing its progression of its Deuterated Psilocybin Analog Program (CYB003). The advancement of the Company’s Phenethylamine Derivatives Program (CYB005) is contingent on the Company's ability to continue raising capital under its current and future financing arrangements. No assurances can be given that the Company will be able to raise the additional capital that it may require for its anticipated future development. See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for further information.</w:t>
      </w:r>
    </w:p>
    <w:p>
      <w:pPr>
        <w:spacing w:after="0" w:line="200" w:lineRule="exact"/>
        <w:rPr>
          <w:sz w:val="20"/>
          <w:szCs w:val="20"/>
          <w:color w:val="auto"/>
        </w:rPr>
      </w:pPr>
    </w:p>
    <w:p>
      <w:pPr>
        <w:spacing w:after="0" w:line="39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3"/>
          </w:cols>
          <w:pgMar w:left="317" w:top="725" w:right="319" w:bottom="1440" w:gutter="0" w:footer="0" w:header="0"/>
        </w:sectPr>
      </w:pPr>
    </w:p>
    <w:bookmarkStart w:id="50" w:name="page51"/>
    <w:bookmarkEnd w:id="50"/>
    <w:p>
      <w:pPr>
        <w:jc w:val="both"/>
        <w:ind w:left="3" w:right="20"/>
        <w:spacing w:after="0" w:line="253" w:lineRule="auto"/>
        <w:rPr>
          <w:sz w:val="20"/>
          <w:szCs w:val="20"/>
          <w:color w:val="auto"/>
        </w:rPr>
      </w:pPr>
      <w:r>
        <w:rPr>
          <w:rFonts w:ascii="Times New Roman" w:cs="Times New Roman" w:eastAsia="Times New Roman" w:hAnsi="Times New Roman"/>
          <w:sz w:val="18"/>
          <w:szCs w:val="18"/>
          <w:color w:val="auto"/>
        </w:rPr>
        <w:t>The Company expects to spend approximately $900</w:t>
      </w:r>
      <w:r>
        <w:rPr>
          <w:rFonts w:ascii="Times New Roman" w:cs="Times New Roman" w:eastAsia="Times New Roman" w:hAnsi="Times New Roman"/>
          <w:sz w:val="23"/>
          <w:szCs w:val="23"/>
          <w:color w:val="auto"/>
          <w:vertAlign w:val="superscript"/>
        </w:rPr>
        <w:t>22</w:t>
      </w:r>
      <w:r>
        <w:rPr>
          <w:rFonts w:ascii="Times New Roman" w:cs="Times New Roman" w:eastAsia="Times New Roman" w:hAnsi="Times New Roman"/>
          <w:sz w:val="18"/>
          <w:szCs w:val="18"/>
          <w:color w:val="auto"/>
        </w:rPr>
        <w:t xml:space="preserve"> to complete preclinical development of a phenethylamine drug candidate by 2024</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of which approximately $83 was spent during the nine months ended December 31, 2023, and approximately $782 was spent during the financial year ended March 31, 2023 resulting in an approximate remaining spend as of December 31, 2023 of $35. The Company intends to continue funding the Phenethylamine Derivatives Program (CYB005) Program.</w:t>
      </w:r>
    </w:p>
    <w:p>
      <w:pPr>
        <w:spacing w:after="0" w:line="2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Programs</w:t>
      </w:r>
    </w:p>
    <w:p>
      <w:pPr>
        <w:spacing w:after="0" w:line="2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Digital Therapy Platform</w:t>
      </w:r>
    </w:p>
    <w:p>
      <w:pPr>
        <w:spacing w:after="0" w:line="48" w:lineRule="exact"/>
        <w:rPr>
          <w:sz w:val="20"/>
          <w:szCs w:val="20"/>
          <w:color w:val="auto"/>
        </w:rPr>
      </w:pPr>
    </w:p>
    <w:p>
      <w:pPr>
        <w:jc w:val="both"/>
        <w:ind w:left="3" w:right="20"/>
        <w:spacing w:after="0" w:line="298" w:lineRule="auto"/>
        <w:rPr>
          <w:sz w:val="20"/>
          <w:szCs w:val="20"/>
          <w:color w:val="auto"/>
        </w:rPr>
      </w:pPr>
      <w:r>
        <w:rPr>
          <w:rFonts w:ascii="Times New Roman" w:cs="Times New Roman" w:eastAsia="Times New Roman" w:hAnsi="Times New Roman"/>
          <w:sz w:val="18"/>
          <w:szCs w:val="18"/>
          <w:color w:val="auto"/>
        </w:rPr>
        <w:t>The Company has been working on the creation of a patient digital therapy platform (the “</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w:t>
      </w:r>
    </w:p>
    <w:p>
      <w:pPr>
        <w:spacing w:after="0" w:line="167" w:lineRule="exact"/>
        <w:rPr>
          <w:sz w:val="20"/>
          <w:szCs w:val="20"/>
          <w:color w:val="auto"/>
        </w:rPr>
      </w:pPr>
    </w:p>
    <w:p>
      <w:pPr>
        <w:jc w:val="both"/>
        <w:ind w:left="3"/>
        <w:spacing w:after="0" w:line="302" w:lineRule="auto"/>
        <w:rPr>
          <w:sz w:val="20"/>
          <w:szCs w:val="20"/>
          <w:color w:val="auto"/>
        </w:rPr>
      </w:pPr>
      <w:r>
        <w:rPr>
          <w:rFonts w:ascii="Times New Roman" w:cs="Times New Roman" w:eastAsia="Times New Roman" w:hAnsi="Times New Roman"/>
          <w:sz w:val="18"/>
          <w:szCs w:val="18"/>
          <w:color w:val="auto"/>
        </w:rPr>
        <w:t>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w:t>
      </w:r>
    </w:p>
    <w:p>
      <w:pPr>
        <w:spacing w:after="0" w:line="177" w:lineRule="exact"/>
        <w:rPr>
          <w:sz w:val="20"/>
          <w:szCs w:val="20"/>
          <w:color w:val="auto"/>
        </w:rPr>
      </w:pPr>
    </w:p>
    <w:p>
      <w:pPr>
        <w:jc w:val="both"/>
        <w:ind w:left="3" w:right="20"/>
        <w:spacing w:after="0" w:line="324" w:lineRule="auto"/>
        <w:rPr>
          <w:sz w:val="20"/>
          <w:szCs w:val="20"/>
          <w:color w:val="auto"/>
        </w:rPr>
      </w:pPr>
      <w:r>
        <w:rPr>
          <w:rFonts w:ascii="Times New Roman" w:cs="Times New Roman" w:eastAsia="Times New Roman" w:hAnsi="Times New Roman"/>
          <w:sz w:val="18"/>
          <w:szCs w:val="18"/>
          <w:color w:val="auto"/>
        </w:rPr>
        <w:t>Proof-of-concept testing for the Company's Digital Platform was completed in Q2 2022. The Company is currently evaluating paths forward for its Digital Platform program.</w:t>
      </w:r>
    </w:p>
    <w:p>
      <w:pPr>
        <w:spacing w:after="0" w:line="1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Kernel Collaboration</w:t>
      </w:r>
    </w:p>
    <w:p>
      <w:pPr>
        <w:spacing w:after="0" w:line="266" w:lineRule="exact"/>
        <w:rPr>
          <w:sz w:val="20"/>
          <w:szCs w:val="20"/>
          <w:color w:val="auto"/>
        </w:rPr>
      </w:pPr>
    </w:p>
    <w:p>
      <w:pPr>
        <w:jc w:val="both"/>
        <w:ind w:left="3" w:right="20"/>
        <w:spacing w:after="0" w:line="315" w:lineRule="auto"/>
        <w:rPr>
          <w:sz w:val="20"/>
          <w:szCs w:val="20"/>
          <w:color w:val="auto"/>
        </w:rPr>
      </w:pPr>
      <w:r>
        <w:rPr>
          <w:rFonts w:ascii="Times New Roman" w:cs="Times New Roman" w:eastAsia="Times New Roman" w:hAnsi="Times New Roman"/>
          <w:sz w:val="18"/>
          <w:szCs w:val="18"/>
          <w:color w:val="auto"/>
        </w:rPr>
        <w:t>On January 11, 2021, the Company announced that it entered into an agreement with HI, LLC dba Kernel (“</w:t>
      </w:r>
      <w:r>
        <w:rPr>
          <w:rFonts w:ascii="Times New Roman" w:cs="Times New Roman" w:eastAsia="Times New Roman" w:hAnsi="Times New Roman"/>
          <w:sz w:val="18"/>
          <w:szCs w:val="18"/>
          <w:b w:val="1"/>
          <w:bCs w:val="1"/>
          <w:color w:val="auto"/>
        </w:rPr>
        <w:t>Kernel</w:t>
      </w:r>
      <w:r>
        <w:rPr>
          <w:rFonts w:ascii="Times New Roman" w:cs="Times New Roman" w:eastAsia="Times New Roman" w:hAnsi="Times New Roman"/>
          <w:sz w:val="18"/>
          <w:szCs w:val="18"/>
          <w:color w:val="auto"/>
        </w:rPr>
        <w:t>”) that will enable the Company to use the Kernel Flow technology (</w:t>
      </w:r>
      <w:r>
        <w:rPr>
          <w:rFonts w:ascii="Times New Roman" w:cs="Times New Roman" w:eastAsia="Times New Roman" w:hAnsi="Times New Roman"/>
          <w:sz w:val="18"/>
          <w:szCs w:val="18"/>
          <w:b w:val="1"/>
          <w:bCs w:val="1"/>
          <w:color w:val="auto"/>
        </w:rPr>
        <w:t>"Flow"</w:t>
      </w:r>
      <w:r>
        <w:rPr>
          <w:rFonts w:ascii="Times New Roman" w:cs="Times New Roman" w:eastAsia="Times New Roman" w:hAnsi="Times New Roman"/>
          <w:sz w:val="18"/>
          <w:szCs w:val="18"/>
          <w:color w:val="auto"/>
        </w:rPr>
        <w:t>) to potentially measure neural activity during psychedelic therapy.</w:t>
      </w:r>
    </w:p>
    <w:p>
      <w:pPr>
        <w:spacing w:after="0" w:line="152" w:lineRule="exact"/>
        <w:rPr>
          <w:sz w:val="20"/>
          <w:szCs w:val="20"/>
          <w:color w:val="auto"/>
        </w:rPr>
      </w:pPr>
    </w:p>
    <w:p>
      <w:pPr>
        <w:jc w:val="both"/>
        <w:ind w:left="3" w:right="20"/>
        <w:spacing w:after="0" w:line="275" w:lineRule="auto"/>
        <w:rPr>
          <w:sz w:val="20"/>
          <w:szCs w:val="20"/>
          <w:color w:val="auto"/>
        </w:rPr>
      </w:pPr>
      <w:r>
        <w:rPr>
          <w:rFonts w:ascii="Times New Roman" w:cs="Times New Roman" w:eastAsia="Times New Roman" w:hAnsi="Times New Roman"/>
          <w:sz w:val="18"/>
          <w:szCs w:val="18"/>
          <w:color w:val="auto"/>
        </w:rPr>
        <w:t>On October 26, 2021, the Company announced that the FDA had authorized an IND application to proceed with a Cybin-sponsored feasibility study using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confirmed Flow's ability to successfully measure neuro-effect of ketamine over 10 days.</w:t>
      </w:r>
      <w:r>
        <w:rPr>
          <w:rFonts w:ascii="Times New Roman" w:cs="Times New Roman" w:eastAsia="Times New Roman" w:hAnsi="Times New Roman"/>
          <w:sz w:val="23"/>
          <w:szCs w:val="23"/>
          <w:color w:val="auto"/>
          <w:vertAlign w:val="superscript"/>
        </w:rPr>
        <w:t>24</w:t>
      </w:r>
      <w:r>
        <w:rPr>
          <w:rFonts w:ascii="Times New Roman" w:cs="Times New Roman" w:eastAsia="Times New Roman" w:hAnsi="Times New Roman"/>
          <w:sz w:val="18"/>
          <w:szCs w:val="18"/>
          <w:color w:val="auto"/>
        </w:rPr>
        <w:t xml:space="preserve"> The Company completed its feasibility study sponsorship utilizing Flow in Q3 2022.</w:t>
      </w:r>
    </w:p>
    <w:p>
      <w:pPr>
        <w:spacing w:after="0" w:line="167"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On January 18, 2023, the Company announced promising results from the completed feasibility study, evaluating Flow's wearable technology to measure ketamine's psychedelic effect on cerebral cortex hemodynamics. Key findings from the study provided proof-of-principle for Flow as a portable functional system that provides real-time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153987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38" w:lineRule="exact"/>
        <w:rPr>
          <w:sz w:val="20"/>
          <w:szCs w:val="20"/>
          <w:color w:val="auto"/>
        </w:rPr>
      </w:pPr>
    </w:p>
    <w:p>
      <w:pPr>
        <w:jc w:val="both"/>
        <w:ind w:left="3" w:right="20" w:hanging="3"/>
        <w:spacing w:after="0" w:line="234" w:lineRule="auto"/>
        <w:tabs>
          <w:tab w:leader="none" w:pos="19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Reflects actual spend during the financial year ended March 31, 2023, the nine months ended December 31, 2023, and expected spend during the period from January 1, 2024 until the achievement of preclinical development of a phenethylamine drug candidate by December 31, 2024.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65" w:lineRule="exact"/>
        <w:rPr>
          <w:rFonts w:ascii="Times New Roman" w:cs="Times New Roman" w:eastAsia="Times New Roman" w:hAnsi="Times New Roman"/>
          <w:sz w:val="25"/>
          <w:szCs w:val="25"/>
          <w:color w:val="auto"/>
          <w:vertAlign w:val="superscript"/>
        </w:rPr>
      </w:pPr>
    </w:p>
    <w:p>
      <w:pPr>
        <w:jc w:val="both"/>
        <w:ind w:left="3" w:right="20" w:hanging="3"/>
        <w:spacing w:after="0" w:line="233" w:lineRule="auto"/>
        <w:tabs>
          <w:tab w:leader="none" w:pos="202"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by Q 2023. The Company now expects to complete preclinical development of phenethylamine drug candidate by the end of Q4 2024.Change in anticipated timing due to the prioritization of the CYB003 Program. Anticipated spending and timelines regarding drug development are based on reasonable assumptions informed by current knowledge and information available to the Company. See also footnote 9.</w:t>
      </w:r>
    </w:p>
    <w:p>
      <w:pPr>
        <w:spacing w:after="0" w:line="4" w:lineRule="exact"/>
        <w:rPr>
          <w:rFonts w:ascii="Times New Roman" w:cs="Times New Roman" w:eastAsia="Times New Roman" w:hAnsi="Times New Roman"/>
          <w:sz w:val="25"/>
          <w:szCs w:val="25"/>
          <w:color w:val="auto"/>
          <w:vertAlign w:val="superscript"/>
        </w:rPr>
      </w:pPr>
    </w:p>
    <w:p>
      <w:pPr>
        <w:jc w:val="both"/>
        <w:ind w:left="3" w:hanging="3"/>
        <w:spacing w:after="0" w:line="235" w:lineRule="auto"/>
        <w:tabs>
          <w:tab w:leader="none" w:pos="139"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Preliminary data from the piloting suggested that ketamine-induced changes in functional connectivity persisted for several days after administration. Flow successfully measured the neuro-effect of ketamine over 11 days (baseline at Days 1-5, dosing at Day 6, follow-up at Days 7-11), and confirmed changes in functional connectivity that are consistent with current scientific research (</w:t>
      </w:r>
      <w:r>
        <w:rPr>
          <w:rFonts w:ascii="Times New Roman" w:cs="Times New Roman" w:eastAsia="Times New Roman" w:hAnsi="Times New Roman"/>
          <w:sz w:val="15"/>
          <w:szCs w:val="15"/>
          <w:i w:val="1"/>
          <w:iCs w:val="1"/>
          <w:color w:val="auto"/>
        </w:rPr>
        <w:t>Scheidegger et al 2012; Zacharias et al 2019; Li et al 2022</w:t>
      </w:r>
      <w:r>
        <w:rPr>
          <w:rFonts w:ascii="Times New Roman" w:cs="Times New Roman" w:eastAsia="Times New Roman" w:hAnsi="Times New Roman"/>
          <w:sz w:val="15"/>
          <w:szCs w:val="15"/>
          <w:color w:val="auto"/>
        </w:rPr>
        <w:t>). The piloting was conducted to ensure the efficiency of the feasibility study design. Participants in the pilot received either a low dose of ketamine and/or a placebo while wearing the Flow headset.</w:t>
      </w:r>
    </w:p>
    <w:p>
      <w:pPr>
        <w:spacing w:after="0" w:line="200" w:lineRule="exact"/>
        <w:rPr>
          <w:sz w:val="20"/>
          <w:szCs w:val="20"/>
          <w:color w:val="auto"/>
        </w:rPr>
      </w:pPr>
    </w:p>
    <w:p>
      <w:pPr>
        <w:spacing w:after="0" w:line="39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3"/>
          </w:cols>
          <w:pgMar w:left="317" w:top="713" w:right="319" w:bottom="1440" w:gutter="0" w:footer="0" w:header="0"/>
        </w:sectPr>
      </w:pPr>
    </w:p>
    <w:bookmarkStart w:id="51" w:name="page52"/>
    <w:bookmarkEnd w:id="51"/>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Flow demonstrated reliable measurements of pulse rate ("PR") and pulse rate variability ("PRV"),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w:t>
      </w:r>
    </w:p>
    <w:p>
      <w:pPr>
        <w:spacing w:after="0" w:line="18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 xml:space="preserve">On July 20, 2023, the Company commended Kernel on their publication titled "Measuring acute effects of subanesthetic ketamine on cerebrovascular hemodynamics in humans using TD-fNIRS" in the journal </w:t>
      </w:r>
      <w:r>
        <w:rPr>
          <w:rFonts w:ascii="Times New Roman" w:cs="Times New Roman" w:eastAsia="Times New Roman" w:hAnsi="Times New Roman"/>
          <w:sz w:val="19"/>
          <w:szCs w:val="19"/>
          <w:i w:val="1"/>
          <w:iCs w:val="1"/>
          <w:color w:val="auto"/>
        </w:rPr>
        <w:t>Scientific Reports</w:t>
      </w:r>
      <w:r>
        <w:rPr>
          <w:rFonts w:ascii="Times New Roman" w:cs="Times New Roman" w:eastAsia="Times New Roman" w:hAnsi="Times New Roman"/>
          <w:sz w:val="18"/>
          <w:szCs w:val="18"/>
          <w:color w:val="auto"/>
        </w:rPr>
        <w:t xml:space="preserve"> from the Nature Portfolio of Journals. The publication highlights the results of the Cybin-sponsored Kernel Flow1 feasibility study demonstrating the capabilities of the Flow1 system to capture and analyze brain changes resulting from the administration of a psychoactive substance. The feasibility study is the largest functional near-infrared spectroscopy (“</w:t>
      </w:r>
      <w:r>
        <w:rPr>
          <w:rFonts w:ascii="Times New Roman" w:cs="Times New Roman" w:eastAsia="Times New Roman" w:hAnsi="Times New Roman"/>
          <w:sz w:val="19"/>
          <w:szCs w:val="19"/>
          <w:b w:val="1"/>
          <w:bCs w:val="1"/>
          <w:color w:val="auto"/>
        </w:rPr>
        <w:t>fNIRS”)</w:t>
      </w:r>
      <w:r>
        <w:rPr>
          <w:rFonts w:ascii="Times New Roman" w:cs="Times New Roman" w:eastAsia="Times New Roman" w:hAnsi="Times New Roman"/>
          <w:sz w:val="18"/>
          <w:szCs w:val="18"/>
          <w:color w:val="auto"/>
        </w:rPr>
        <w:t xml:space="preserve"> study to measure the acute effect of a psychedelic and is the first ever fNIRS neuroimaging study evaluating ketamine in humans. 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Results from the study are intended to inform the next steps forward for this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from the study are intended to inform the next steps forward for this program.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1 Kernel Flow Feasibility Study</w:t>
      </w:r>
    </w:p>
    <w:p>
      <w:pPr>
        <w:spacing w:after="0" w:line="2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spacing w:after="0" w:line="19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The main objective of the feasibility study was to evaluate a participant’s experience wearing Flow while in an altered state of consciousness following the administration of ketamine.</w:t>
      </w:r>
    </w:p>
    <w:p>
      <w:pPr>
        <w:spacing w:after="0" w:line="181"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As part of the Company’s sponsorship of the feasibility study, the Company will retain an exclusive interest in any innovations that are discovered or developed through its independent analysis of the study findings.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on Use of Proceeds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August Prospectus Supplement</w:t>
      </w:r>
    </w:p>
    <w:p>
      <w:pPr>
        <w:spacing w:after="0" w:line="25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The table below covers the period beginning July 1, 2023 until June 30, 2024, and describes the differences between the Company’s anticipated use of proceeds of $10,018 as previously disclosed in the Company’s prospectus supplement dated August 1, 2023 (the “</w:t>
      </w:r>
      <w:r>
        <w:rPr>
          <w:rFonts w:ascii="Times New Roman" w:cs="Times New Roman" w:eastAsia="Times New Roman" w:hAnsi="Times New Roman"/>
          <w:sz w:val="19"/>
          <w:szCs w:val="19"/>
          <w:b w:val="1"/>
          <w:bCs w:val="1"/>
          <w:color w:val="auto"/>
        </w:rPr>
        <w:t>August Prospectus Supplement</w:t>
      </w:r>
      <w:r>
        <w:rPr>
          <w:rFonts w:ascii="Times New Roman" w:cs="Times New Roman" w:eastAsia="Times New Roman" w:hAnsi="Times New Roman"/>
          <w:sz w:val="18"/>
          <w:szCs w:val="18"/>
          <w:color w:val="auto"/>
        </w:rPr>
        <w:t xml:space="preserve">”) to the Company’s short form base shelf prospectus dated July 5, 2021 (the “ </w:t>
      </w:r>
      <w:r>
        <w:rPr>
          <w:rFonts w:ascii="Times New Roman" w:cs="Times New Roman" w:eastAsia="Times New Roman" w:hAnsi="Times New Roman"/>
          <w:sz w:val="19"/>
          <w:szCs w:val="19"/>
          <w:b w:val="1"/>
          <w:bCs w:val="1"/>
          <w:color w:val="auto"/>
        </w:rPr>
        <w:t>2021 Base Shelf Prospectus</w:t>
      </w:r>
      <w:r>
        <w:rPr>
          <w:rFonts w:ascii="Times New Roman" w:cs="Times New Roman" w:eastAsia="Times New Roman" w:hAnsi="Times New Roman"/>
          <w:sz w:val="18"/>
          <w:szCs w:val="18"/>
          <w:color w:val="auto"/>
        </w:rPr>
        <w:t>”), the revised estimated costs as at December 31, 2023, for the same period, and the actual use of proceeds as at December 31,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0"/>
          </w:cols>
          <w:pgMar w:left="320" w:top="725" w:right="319" w:bottom="1440" w:gutter="0" w:footer="0" w:header="0"/>
        </w:sectPr>
      </w:pPr>
    </w:p>
    <w:bookmarkStart w:id="52" w:name="page53"/>
    <w:bookmarkEnd w:id="52"/>
    <w:tbl>
      <w:tblPr>
        <w:tblLayout w:type="fixed"/>
        <w:tblInd w:w="13" w:type="dxa"/>
        <w:tblCellMar>
          <w:top w:w="0" w:type="dxa"/>
          <w:left w:w="0" w:type="dxa"/>
          <w:bottom w:w="0" w:type="dxa"/>
          <w:right w:w="0" w:type="dxa"/>
        </w:tblCellMar>
      </w:tblPr>
      <w:tr>
        <w:trPr>
          <w:trHeight w:val="226"/>
        </w:trPr>
        <w:tc>
          <w:tcPr>
            <w:tcW w:w="4580" w:type="dxa"/>
            <w:vAlign w:val="bottom"/>
            <w:tcBorders>
              <w:top w:val="single" w:sz="8" w:color="auto"/>
              <w:left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Previous Disclosure</w:t>
            </w:r>
          </w:p>
        </w:tc>
        <w:tc>
          <w:tcPr>
            <w:tcW w:w="152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Regarding Use</w:t>
            </w:r>
          </w:p>
        </w:tc>
        <w:tc>
          <w:tcPr>
            <w:tcW w:w="15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8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w:t>
            </w: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Actual Use of Proceeds</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Revised Estimated Use of</w:t>
            </w:r>
          </w:p>
        </w:tc>
        <w:tc>
          <w:tcPr>
            <w:tcW w:w="0" w:type="dxa"/>
            <w:vAlign w:val="bottom"/>
          </w:tcPr>
          <w:p>
            <w:pPr>
              <w:spacing w:after="0"/>
              <w:rPr>
                <w:sz w:val="1"/>
                <w:szCs w:val="1"/>
                <w:color w:val="auto"/>
              </w:rPr>
            </w:pPr>
          </w:p>
        </w:tc>
      </w:tr>
      <w:tr>
        <w:trPr>
          <w:trHeight w:val="102"/>
        </w:trPr>
        <w:tc>
          <w:tcPr>
            <w:tcW w:w="458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August Prospectus</w:t>
            </w:r>
          </w:p>
        </w:tc>
        <w:tc>
          <w:tcPr>
            <w:tcW w:w="152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580" w:type="dxa"/>
            <w:vAlign w:val="bottom"/>
            <w:tcBorders>
              <w:left w:val="single" w:sz="8" w:color="auto"/>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1520" w:type="dxa"/>
            <w:vAlign w:val="bottom"/>
            <w:tcBorders>
              <w:right w:val="single" w:sz="8" w:color="auto"/>
            </w:tcBorders>
          </w:tcPr>
          <w:p>
            <w:pPr>
              <w:jc w:val="center"/>
              <w:spacing w:after="0" w:line="73" w:lineRule="exact"/>
              <w:rPr>
                <w:sz w:val="20"/>
                <w:szCs w:val="20"/>
                <w:color w:val="auto"/>
              </w:rPr>
            </w:pPr>
            <w:r>
              <w:rPr>
                <w:rFonts w:ascii="Times New Roman" w:cs="Times New Roman" w:eastAsia="Times New Roman" w:hAnsi="Times New Roman"/>
                <w:sz w:val="8"/>
                <w:szCs w:val="8"/>
                <w:b w:val="1"/>
                <w:bCs w:val="1"/>
                <w:color w:val="auto"/>
              </w:rPr>
              <w:t>as at December 31,</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Proceeds</w:t>
            </w:r>
          </w:p>
        </w:tc>
        <w:tc>
          <w:tcPr>
            <w:tcW w:w="0" w:type="dxa"/>
            <w:vAlign w:val="bottom"/>
          </w:tcPr>
          <w:p>
            <w:pPr>
              <w:spacing w:after="0"/>
              <w:rPr>
                <w:sz w:val="1"/>
                <w:szCs w:val="1"/>
                <w:color w:val="auto"/>
              </w:rPr>
            </w:pPr>
          </w:p>
        </w:tc>
      </w:tr>
      <w:tr>
        <w:trPr>
          <w:trHeight w:val="119"/>
        </w:trPr>
        <w:tc>
          <w:tcPr>
            <w:tcW w:w="458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Supplement</w:t>
            </w: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580" w:type="dxa"/>
            <w:vAlign w:val="bottom"/>
            <w:tcBorders>
              <w:left w:val="single" w:sz="8" w:color="auto"/>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4580" w:type="dxa"/>
            <w:vAlign w:val="bottom"/>
            <w:tcBorders>
              <w:left w:val="single" w:sz="8" w:color="auto"/>
              <w:right w:val="single" w:sz="8" w:color="auto"/>
            </w:tcBorders>
          </w:tcPr>
          <w:p>
            <w:pPr>
              <w:spacing w:after="0"/>
              <w:rPr>
                <w:sz w:val="5"/>
                <w:szCs w:val="5"/>
                <w:color w:val="auto"/>
              </w:rPr>
            </w:pPr>
          </w:p>
        </w:tc>
        <w:tc>
          <w:tcPr>
            <w:tcW w:w="1620" w:type="dxa"/>
            <w:vAlign w:val="bottom"/>
            <w:tcBorders>
              <w:right w:val="single" w:sz="8" w:color="auto"/>
            </w:tcBorders>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58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(July 1, 2023 to June 30</w:t>
            </w:r>
          </w:p>
        </w:tc>
        <w:tc>
          <w:tcPr>
            <w:tcW w:w="15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580" w:type="dxa"/>
            <w:vAlign w:val="bottom"/>
            <w:tcBorders>
              <w:left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5"/>
                <w:szCs w:val="15"/>
                <w:b w:val="1"/>
                <w:bCs w:val="1"/>
                <w:color w:val="auto"/>
              </w:rPr>
              <w:t>Use of Available Funds ($000’s)</w:t>
            </w:r>
            <w:r>
              <w:rPr>
                <w:rFonts w:ascii="Times New Roman" w:cs="Times New Roman" w:eastAsia="Times New Roman" w:hAnsi="Times New Roman"/>
                <w:sz w:val="18"/>
                <w:szCs w:val="18"/>
                <w:b w:val="1"/>
                <w:bCs w:val="1"/>
                <w:color w:val="auto"/>
                <w:vertAlign w:val="superscript"/>
              </w:rPr>
              <w:t>(1)(2)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2024)</w:t>
            </w:r>
          </w:p>
        </w:tc>
        <w:tc>
          <w:tcPr>
            <w:tcW w:w="152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Psilocybin Analog Program</w:t>
            </w:r>
          </w:p>
        </w:tc>
        <w:tc>
          <w:tcPr>
            <w:tcW w:w="16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Complete FDA submission of Phase 1/2a data</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$2,500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$2,500</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Dimethyltryptamine Program</w:t>
            </w:r>
          </w:p>
        </w:tc>
        <w:tc>
          <w:tcPr>
            <w:tcW w:w="16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Provide topline data from Phase 1 CYB004-E trial</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$1,269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$1,269</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$1,269</w:t>
            </w:r>
          </w:p>
        </w:tc>
        <w:tc>
          <w:tcPr>
            <w:tcW w:w="0" w:type="dxa"/>
            <w:vAlign w:val="bottom"/>
          </w:tcPr>
          <w:p>
            <w:pPr>
              <w:spacing w:after="0"/>
              <w:rPr>
                <w:sz w:val="1"/>
                <w:szCs w:val="1"/>
                <w:color w:val="auto"/>
              </w:rPr>
            </w:pPr>
          </w:p>
        </w:tc>
      </w:tr>
      <w:tr>
        <w:trPr>
          <w:trHeight w:val="186"/>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Complete FDA IND submission</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$1,373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$1,373</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$1,373</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Phenethylamine Development Program</w:t>
            </w:r>
          </w:p>
        </w:tc>
        <w:tc>
          <w:tcPr>
            <w:tcW w:w="16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6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18"/>
                <w:szCs w:val="18"/>
                <w:color w:val="auto"/>
                <w:vertAlign w:val="superscript"/>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$4,876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$4,876</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$4,876</w:t>
            </w: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$10,018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$9,267</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$10,018</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84" w:lineRule="exact"/>
        <w:rPr>
          <w:sz w:val="20"/>
          <w:szCs w:val="20"/>
          <w:color w:val="auto"/>
        </w:rPr>
      </w:pPr>
    </w:p>
    <w:p>
      <w:pPr>
        <w:ind w:left="403" w:hanging="403"/>
        <w:spacing w:after="0"/>
        <w:tabs>
          <w:tab w:leader="none" w:pos="403"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amounts have been converted from USD to CAD at an exchange rate of 1.35:1.</w:t>
      </w:r>
    </w:p>
    <w:p>
      <w:pPr>
        <w:spacing w:after="0" w:line="17"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amounts do not reflect the entire anticipated expenditures or budget related to the listed programs. For further information see “</w:t>
      </w:r>
      <w:r>
        <w:rPr>
          <w:rFonts w:ascii="Times New Roman" w:cs="Times New Roman" w:eastAsia="Times New Roman" w:hAnsi="Times New Roman"/>
          <w:sz w:val="15"/>
          <w:szCs w:val="15"/>
          <w:i w:val="1"/>
          <w:iCs w:val="1"/>
          <w:color w:val="auto"/>
        </w:rPr>
        <w:t>Non-Revenue Generating Projects</w:t>
      </w: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jc w:val="both"/>
        <w:ind w:left="403" w:hanging="403"/>
        <w:spacing w:after="0" w:line="298" w:lineRule="auto"/>
        <w:tabs>
          <w:tab w:leader="none" w:pos="396"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personnel costs, professional services, overhead expenses and general expenses to be incurred by the Company in the normal course of business. In addition, the Company intends to use a portion of these proceeds to continue funding both its Deuterated Psilocybin Analog and Deuterated Dimethyltryptamine programs. The allocation between these programs and specific milestones within the programs have not yet been determined.</w:t>
      </w:r>
    </w:p>
    <w:p>
      <w:pPr>
        <w:spacing w:after="0" w:line="17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November Prospectus Supplement</w:t>
      </w:r>
    </w:p>
    <w:p>
      <w:pPr>
        <w:spacing w:after="0" w:line="242" w:lineRule="exact"/>
        <w:rPr>
          <w:sz w:val="20"/>
          <w:szCs w:val="20"/>
          <w:color w:val="auto"/>
        </w:rPr>
      </w:pPr>
    </w:p>
    <w:p>
      <w:pPr>
        <w:jc w:val="both"/>
        <w:ind w:left="3"/>
        <w:spacing w:after="0" w:line="281" w:lineRule="auto"/>
        <w:rPr>
          <w:sz w:val="20"/>
          <w:szCs w:val="20"/>
          <w:color w:val="auto"/>
        </w:rPr>
      </w:pPr>
      <w:r>
        <w:rPr>
          <w:rFonts w:ascii="Times New Roman" w:cs="Times New Roman" w:eastAsia="Times New Roman" w:hAnsi="Times New Roman"/>
          <w:sz w:val="18"/>
          <w:szCs w:val="18"/>
          <w:color w:val="auto"/>
        </w:rPr>
        <w:t>The table below covers the period beginning November 1, 2023 until October 31, 2024, and describes the differences between the Company’s anticipated use of proceeds of $28,070 as previously disclosed in the Company’s prospectus supplement dated November 10, 2023 (the “</w:t>
      </w:r>
      <w:r>
        <w:rPr>
          <w:rFonts w:ascii="Times New Roman" w:cs="Times New Roman" w:eastAsia="Times New Roman" w:hAnsi="Times New Roman"/>
          <w:sz w:val="18"/>
          <w:szCs w:val="18"/>
          <w:b w:val="1"/>
          <w:bCs w:val="1"/>
          <w:color w:val="auto"/>
        </w:rPr>
        <w:t>November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to the Company’s base shelf prospectus dated August 17, 2023 (the “</w:t>
      </w:r>
      <w:r>
        <w:rPr>
          <w:rFonts w:ascii="Times New Roman" w:cs="Times New Roman" w:eastAsia="Times New Roman" w:hAnsi="Times New Roman"/>
          <w:sz w:val="18"/>
          <w:szCs w:val="18"/>
          <w:b w:val="1"/>
          <w:bCs w:val="1"/>
          <w:color w:val="auto"/>
        </w:rPr>
        <w:t>2023 Base Shelf Prospectus</w:t>
      </w:r>
      <w:r>
        <w:rPr>
          <w:rFonts w:ascii="Times New Roman" w:cs="Times New Roman" w:eastAsia="Times New Roman" w:hAnsi="Times New Roman"/>
          <w:sz w:val="18"/>
          <w:szCs w:val="18"/>
          <w:color w:val="auto"/>
        </w:rPr>
        <w:t>”), the revised estimated costs as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2023, for the same period, and the actual use of proceeds as at December 31, 2023.</w:t>
      </w:r>
    </w:p>
    <w:p>
      <w:pPr>
        <w:spacing w:after="0" w:line="196" w:lineRule="exact"/>
        <w:rPr>
          <w:sz w:val="20"/>
          <w:szCs w:val="20"/>
          <w:color w:val="auto"/>
        </w:rPr>
      </w:pPr>
    </w:p>
    <w:tbl>
      <w:tblPr>
        <w:tblLayout w:type="fixed"/>
        <w:tblInd w:w="13" w:type="dxa"/>
        <w:tblCellMar>
          <w:top w:w="0" w:type="dxa"/>
          <w:left w:w="0" w:type="dxa"/>
          <w:bottom w:w="0" w:type="dxa"/>
          <w:right w:w="0" w:type="dxa"/>
        </w:tblCellMar>
      </w:tblPr>
      <w:tr>
        <w:trPr>
          <w:trHeight w:val="226"/>
        </w:trPr>
        <w:tc>
          <w:tcPr>
            <w:tcW w:w="4580" w:type="dxa"/>
            <w:vAlign w:val="bottom"/>
            <w:tcBorders>
              <w:top w:val="single" w:sz="8" w:color="auto"/>
              <w:left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Previous Disclosure</w:t>
            </w:r>
          </w:p>
        </w:tc>
        <w:tc>
          <w:tcPr>
            <w:tcW w:w="1540" w:type="dxa"/>
            <w:vAlign w:val="bottom"/>
            <w:tcBorders>
              <w:top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8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Regarding Use</w:t>
            </w:r>
          </w:p>
        </w:tc>
        <w:tc>
          <w:tcPr>
            <w:tcW w:w="154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8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Actual Use of Proceeds</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Revised Estimated Use of</w:t>
            </w:r>
          </w:p>
        </w:tc>
        <w:tc>
          <w:tcPr>
            <w:tcW w:w="0" w:type="dxa"/>
            <w:vAlign w:val="bottom"/>
          </w:tcPr>
          <w:p>
            <w:pPr>
              <w:spacing w:after="0"/>
              <w:rPr>
                <w:sz w:val="1"/>
                <w:szCs w:val="1"/>
                <w:color w:val="auto"/>
              </w:rPr>
            </w:pPr>
          </w:p>
        </w:tc>
      </w:tr>
      <w:tr>
        <w:trPr>
          <w:trHeight w:val="102"/>
        </w:trPr>
        <w:tc>
          <w:tcPr>
            <w:tcW w:w="458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November Prospectus</w:t>
            </w:r>
          </w:p>
        </w:tc>
        <w:tc>
          <w:tcPr>
            <w:tcW w:w="154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580" w:type="dxa"/>
            <w:vAlign w:val="bottom"/>
            <w:tcBorders>
              <w:left w:val="single" w:sz="8" w:color="auto"/>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1540" w:type="dxa"/>
            <w:vAlign w:val="bottom"/>
            <w:tcBorders>
              <w:right w:val="single" w:sz="8" w:color="auto"/>
            </w:tcBorders>
          </w:tcPr>
          <w:p>
            <w:pPr>
              <w:jc w:val="center"/>
              <w:spacing w:after="0" w:line="73" w:lineRule="exact"/>
              <w:rPr>
                <w:sz w:val="20"/>
                <w:szCs w:val="20"/>
                <w:color w:val="auto"/>
              </w:rPr>
            </w:pPr>
            <w:r>
              <w:rPr>
                <w:rFonts w:ascii="Times New Roman" w:cs="Times New Roman" w:eastAsia="Times New Roman" w:hAnsi="Times New Roman"/>
                <w:sz w:val="8"/>
                <w:szCs w:val="8"/>
                <w:b w:val="1"/>
                <w:bCs w:val="1"/>
                <w:color w:val="auto"/>
              </w:rPr>
              <w:t>as at December 31,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Proceeds</w:t>
            </w:r>
          </w:p>
        </w:tc>
        <w:tc>
          <w:tcPr>
            <w:tcW w:w="0" w:type="dxa"/>
            <w:vAlign w:val="bottom"/>
          </w:tcPr>
          <w:p>
            <w:pPr>
              <w:spacing w:after="0"/>
              <w:rPr>
                <w:sz w:val="1"/>
                <w:szCs w:val="1"/>
                <w:color w:val="auto"/>
              </w:rPr>
            </w:pPr>
          </w:p>
        </w:tc>
      </w:tr>
      <w:tr>
        <w:trPr>
          <w:trHeight w:val="119"/>
        </w:trPr>
        <w:tc>
          <w:tcPr>
            <w:tcW w:w="458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Supplement</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580" w:type="dxa"/>
            <w:vAlign w:val="bottom"/>
            <w:tcBorders>
              <w:left w:val="single" w:sz="8" w:color="auto"/>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1540" w:type="dxa"/>
            <w:vAlign w:val="bottom"/>
            <w:tcBorders>
              <w:right w:val="single" w:sz="8" w:color="auto"/>
            </w:tcBorders>
            <w:vMerge w:val="continue"/>
          </w:tcPr>
          <w:p>
            <w:pPr>
              <w:spacing w:after="0"/>
              <w:rPr>
                <w:sz w:val="6"/>
                <w:szCs w:val="6"/>
                <w:color w:val="auto"/>
              </w:rPr>
            </w:pPr>
          </w:p>
        </w:tc>
        <w:tc>
          <w:tcPr>
            <w:tcW w:w="1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4580" w:type="dxa"/>
            <w:vAlign w:val="bottom"/>
            <w:tcBorders>
              <w:left w:val="single" w:sz="8" w:color="auto"/>
              <w:right w:val="single" w:sz="8" w:color="auto"/>
            </w:tcBorders>
          </w:tcPr>
          <w:p>
            <w:pPr>
              <w:spacing w:after="0"/>
              <w:rPr>
                <w:sz w:val="4"/>
                <w:szCs w:val="4"/>
                <w:color w:val="auto"/>
              </w:rPr>
            </w:pPr>
          </w:p>
        </w:tc>
        <w:tc>
          <w:tcPr>
            <w:tcW w:w="1620" w:type="dxa"/>
            <w:vAlign w:val="bottom"/>
            <w:tcBorders>
              <w:right w:val="single" w:sz="8" w:color="auto"/>
            </w:tcBorders>
            <w:vMerge w:val="continue"/>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458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(November 1, 2023, to</w:t>
            </w:r>
          </w:p>
        </w:tc>
        <w:tc>
          <w:tcPr>
            <w:tcW w:w="15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580" w:type="dxa"/>
            <w:vAlign w:val="bottom"/>
            <w:tcBorders>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5"/>
                <w:szCs w:val="15"/>
                <w:b w:val="1"/>
                <w:bCs w:val="1"/>
                <w:color w:val="auto"/>
              </w:rPr>
              <w:t>Use of Available Funds (USD $000’s)</w:t>
            </w:r>
            <w:r>
              <w:rPr>
                <w:rFonts w:ascii="Times New Roman" w:cs="Times New Roman" w:eastAsia="Times New Roman" w:hAnsi="Times New Roman"/>
                <w:sz w:val="18"/>
                <w:szCs w:val="18"/>
                <w:b w:val="1"/>
                <w:bCs w:val="1"/>
                <w:color w:val="auto"/>
                <w:vertAlign w:val="superscript"/>
              </w:rPr>
              <w:t>(1)(2)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October 31, 2024)</w:t>
            </w:r>
          </w:p>
        </w:tc>
        <w:tc>
          <w:tcPr>
            <w:tcW w:w="154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Psilocybin Analog Program</w:t>
            </w:r>
          </w:p>
        </w:tc>
        <w:tc>
          <w:tcPr>
            <w:tcW w:w="16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Initiate a Phase 3 Study of CYB003 in MDD</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$6,393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$6,393</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Dimethyltryptamine Program</w:t>
            </w:r>
          </w:p>
        </w:tc>
        <w:tc>
          <w:tcPr>
            <w:tcW w:w="16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Initiate a Phase 2 Proof-Of-Concept Study</w:t>
            </w:r>
            <w:r>
              <w:rPr>
                <w:rFonts w:ascii="Times New Roman" w:cs="Times New Roman" w:eastAsia="Times New Roman" w:hAnsi="Times New Roman"/>
                <w:sz w:val="18"/>
                <w:szCs w:val="18"/>
                <w:color w:val="auto"/>
                <w:vertAlign w:val="superscript"/>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$597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$271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$597</w:t>
            </w:r>
          </w:p>
        </w:tc>
        <w:tc>
          <w:tcPr>
            <w:tcW w:w="0" w:type="dxa"/>
            <w:vAlign w:val="bottom"/>
          </w:tcPr>
          <w:p>
            <w:pPr>
              <w:spacing w:after="0"/>
              <w:rPr>
                <w:sz w:val="1"/>
                <w:szCs w:val="1"/>
                <w:color w:val="auto"/>
              </w:rPr>
            </w:pPr>
          </w:p>
        </w:tc>
      </w:tr>
      <w:tr>
        <w:trPr>
          <w:trHeight w:val="186"/>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Initiate a Subcutaneous Formulation Study</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$780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Phenethylamine Development Program</w:t>
            </w:r>
          </w:p>
        </w:tc>
        <w:tc>
          <w:tcPr>
            <w:tcW w:w="16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6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18"/>
                <w:szCs w:val="18"/>
                <w:color w:val="auto"/>
                <w:vertAlign w:val="superscript"/>
              </w:rPr>
              <w:t>(4)</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$20,300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$14,167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$21,080</w:t>
            </w: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$28,070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$14,438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$28,070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3"/>
          </w:cols>
          <w:pgMar w:left="317" w:top="726" w:right="339" w:bottom="1440" w:gutter="0" w:footer="0" w:header="0"/>
        </w:sectPr>
      </w:pPr>
    </w:p>
    <w:bookmarkStart w:id="53" w:name="page54"/>
    <w:bookmarkEnd w:id="53"/>
    <w:p>
      <w:pPr>
        <w:ind w:left="3"/>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24" w:lineRule="exact"/>
        <w:rPr>
          <w:sz w:val="20"/>
          <w:szCs w:val="20"/>
          <w:color w:val="auto"/>
        </w:rPr>
      </w:pPr>
    </w:p>
    <w:p>
      <w:pPr>
        <w:ind w:left="403" w:hanging="403"/>
        <w:spacing w:after="0"/>
        <w:tabs>
          <w:tab w:leader="none" w:pos="403"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 the chart are in USD. Certain amounts have been converted from CAD to USD at an exchange rate of 0.74:1.</w:t>
      </w:r>
    </w:p>
    <w:p>
      <w:pPr>
        <w:spacing w:after="0" w:line="19"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amounts do not reflect the entire anticipated expenditures or budget related to the listed programs. For further information see “</w:t>
      </w:r>
      <w:r>
        <w:rPr>
          <w:rFonts w:ascii="Times New Roman" w:cs="Times New Roman" w:eastAsia="Times New Roman" w:hAnsi="Times New Roman"/>
          <w:sz w:val="15"/>
          <w:szCs w:val="15"/>
          <w:i w:val="1"/>
          <w:iCs w:val="1"/>
          <w:color w:val="auto"/>
        </w:rPr>
        <w:t>Non-Revenue Generating Projects</w:t>
      </w:r>
      <w:r>
        <w:rPr>
          <w:rFonts w:ascii="Times New Roman" w:cs="Times New Roman" w:eastAsia="Times New Roman" w:hAnsi="Times New Roman"/>
          <w:sz w:val="15"/>
          <w:szCs w:val="15"/>
          <w:color w:val="auto"/>
        </w:rPr>
        <w:t>”.</w:t>
      </w:r>
    </w:p>
    <w:p>
      <w:pPr>
        <w:spacing w:after="0" w:line="35"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milestone is now denoted as 'initiate a Phase 2a GAD study'. For further information see "Deuterated Dimethyltryptamine Program".</w:t>
      </w:r>
    </w:p>
    <w:p>
      <w:pPr>
        <w:spacing w:after="0" w:line="21" w:lineRule="exact"/>
        <w:rPr>
          <w:rFonts w:ascii="Times New Roman" w:cs="Times New Roman" w:eastAsia="Times New Roman" w:hAnsi="Times New Roman"/>
          <w:sz w:val="15"/>
          <w:szCs w:val="15"/>
          <w:color w:val="auto"/>
        </w:rPr>
      </w:pPr>
    </w:p>
    <w:p>
      <w:pPr>
        <w:jc w:val="both"/>
        <w:ind w:left="403" w:right="20" w:hanging="403"/>
        <w:spacing w:after="0" w:line="298" w:lineRule="auto"/>
        <w:tabs>
          <w:tab w:leader="none" w:pos="396"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personnel costs, professional services, overhead expenses and general expenses to be incurred by the Company in the normal course of business. In addition, the Company intends to use a portion of these proceeds to continue funding both its Deuterated Psilocybin Analog and Deuterated Dimethyltryptamine programs. The allocation between these programs and specific milestones within the programs have not yet been determined.</w:t>
      </w:r>
    </w:p>
    <w:p>
      <w:pPr>
        <w:spacing w:after="0" w:line="194" w:lineRule="exact"/>
        <w:rPr>
          <w:sz w:val="20"/>
          <w:szCs w:val="20"/>
          <w:color w:val="auto"/>
        </w:rPr>
      </w:pPr>
    </w:p>
    <w:p>
      <w:pPr>
        <w:jc w:val="both"/>
        <w:ind w:left="3" w:right="20"/>
        <w:spacing w:after="0" w:line="303" w:lineRule="auto"/>
        <w:rPr>
          <w:sz w:val="20"/>
          <w:szCs w:val="20"/>
          <w:color w:val="auto"/>
        </w:rPr>
      </w:pPr>
      <w:r>
        <w:rPr>
          <w:rFonts w:ascii="Times New Roman" w:cs="Times New Roman" w:eastAsia="Times New Roman" w:hAnsi="Times New Roman"/>
          <w:sz w:val="19"/>
          <w:szCs w:val="19"/>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6" w:lineRule="exact"/>
        <w:rPr>
          <w:sz w:val="20"/>
          <w:szCs w:val="20"/>
          <w:color w:val="auto"/>
        </w:rPr>
      </w:pPr>
    </w:p>
    <w:p>
      <w:pPr>
        <w:jc w:val="both"/>
        <w:ind w:left="3" w:right="20"/>
        <w:spacing w:after="0" w:line="303" w:lineRule="auto"/>
        <w:rPr>
          <w:sz w:val="20"/>
          <w:szCs w:val="20"/>
          <w:color w:val="auto"/>
        </w:rPr>
      </w:pPr>
      <w:r>
        <w:rPr>
          <w:rFonts w:ascii="Times New Roman" w:cs="Times New Roman" w:eastAsia="Times New Roman" w:hAnsi="Times New Roman"/>
          <w:sz w:val="19"/>
          <w:szCs w:val="19"/>
          <w:color w:val="auto"/>
        </w:rPr>
        <w:t>The expected use of net proceeds from the Company’s financing activities, as presented above,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1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Relationships with Third Parties</w:t>
      </w:r>
    </w:p>
    <w:p>
      <w:pPr>
        <w:spacing w:after="0" w:line="258" w:lineRule="exact"/>
        <w:rPr>
          <w:sz w:val="20"/>
          <w:szCs w:val="20"/>
          <w:color w:val="auto"/>
        </w:rPr>
      </w:pPr>
    </w:p>
    <w:p>
      <w:pPr>
        <w:jc w:val="both"/>
        <w:ind w:left="3" w:right="20"/>
        <w:spacing w:after="0" w:line="296" w:lineRule="auto"/>
        <w:rPr>
          <w:sz w:val="20"/>
          <w:szCs w:val="20"/>
          <w:color w:val="auto"/>
        </w:rPr>
      </w:pPr>
      <w:r>
        <w:rPr>
          <w:rFonts w:ascii="Times New Roman" w:cs="Times New Roman" w:eastAsia="Times New Roman" w:hAnsi="Times New Roman"/>
          <w:sz w:val="18"/>
          <w:szCs w:val="18"/>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University of Washington</w:t>
      </w:r>
    </w:p>
    <w:p>
      <w:pPr>
        <w:spacing w:after="0" w:line="40" w:lineRule="exact"/>
        <w:rPr>
          <w:sz w:val="20"/>
          <w:szCs w:val="20"/>
          <w:color w:val="auto"/>
        </w:rPr>
      </w:pPr>
    </w:p>
    <w:p>
      <w:pPr>
        <w:jc w:val="both"/>
        <w:ind w:left="3" w:right="20"/>
        <w:spacing w:after="0" w:line="324" w:lineRule="auto"/>
        <w:rPr>
          <w:sz w:val="20"/>
          <w:szCs w:val="20"/>
          <w:color w:val="auto"/>
        </w:rPr>
      </w:pPr>
      <w:r>
        <w:rPr>
          <w:rFonts w:ascii="Times New Roman" w:cs="Times New Roman" w:eastAsia="Times New Roman" w:hAnsi="Times New Roman"/>
          <w:sz w:val="18"/>
          <w:szCs w:val="18"/>
          <w:color w:val="auto"/>
        </w:rPr>
        <w:t>The Company has licensed the use of its EMBARK psychological support model to the University of Washington for a randomized, placebo-controlled clinical trial of psilocybin for frontline clinicians experiencing COVID-19 related distress.</w:t>
      </w:r>
    </w:p>
    <w:p>
      <w:pPr>
        <w:spacing w:after="0" w:line="1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Greenbrook TMS</w:t>
      </w:r>
    </w:p>
    <w:p>
      <w:pPr>
        <w:spacing w:after="0" w:line="52"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Clinilabs Drug Development Corporation</w:t>
      </w:r>
    </w:p>
    <w:p>
      <w:pPr>
        <w:spacing w:after="0" w:line="40" w:lineRule="exact"/>
        <w:rPr>
          <w:sz w:val="20"/>
          <w:szCs w:val="20"/>
          <w:color w:val="auto"/>
        </w:rPr>
      </w:pPr>
    </w:p>
    <w:p>
      <w:pPr>
        <w:jc w:val="both"/>
        <w:ind w:left="3"/>
        <w:spacing w:after="0" w:line="324" w:lineRule="auto"/>
        <w:rPr>
          <w:sz w:val="20"/>
          <w:szCs w:val="20"/>
          <w:color w:val="auto"/>
        </w:rPr>
      </w:pPr>
      <w:r>
        <w:rPr>
          <w:rFonts w:ascii="Times New Roman" w:cs="Times New Roman" w:eastAsia="Times New Roman" w:hAnsi="Times New Roman"/>
          <w:sz w:val="18"/>
          <w:szCs w:val="18"/>
          <w:color w:val="auto"/>
        </w:rPr>
        <w:t>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psilocybin analog.</w:t>
      </w:r>
    </w:p>
    <w:p>
      <w:pPr>
        <w:spacing w:after="0" w:line="1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Entheon Biomedical Corp.</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63"/>
          </w:cols>
          <w:pgMar w:left="317" w:top="1035" w:right="319" w:bottom="1440" w:gutter="0" w:footer="0" w:header="0"/>
        </w:sectPr>
      </w:pPr>
    </w:p>
    <w:bookmarkStart w:id="54" w:name="page55"/>
    <w:bookmarkEnd w:id="54"/>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18"/>
          <w:szCs w:val="18"/>
          <w:b w:val="1"/>
          <w:bCs w:val="1"/>
          <w:color w:val="auto"/>
        </w:rPr>
        <w:t>CHDR</w:t>
      </w:r>
      <w:r>
        <w:rPr>
          <w:rFonts w:ascii="Times New Roman" w:cs="Times New Roman" w:eastAsia="Times New Roman" w:hAnsi="Times New Roman"/>
          <w:sz w:val="18"/>
          <w:szCs w:val="18"/>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19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Mindset Pharma Inc.</w:t>
      </w:r>
    </w:p>
    <w:p>
      <w:pPr>
        <w:spacing w:after="0" w:line="36" w:lineRule="exact"/>
        <w:rPr>
          <w:sz w:val="20"/>
          <w:szCs w:val="20"/>
          <w:color w:val="auto"/>
        </w:rPr>
      </w:pPr>
    </w:p>
    <w:p>
      <w:pPr>
        <w:jc w:val="both"/>
        <w:ind w:left="3"/>
        <w:spacing w:after="0" w:line="293" w:lineRule="auto"/>
        <w:rPr>
          <w:sz w:val="20"/>
          <w:szCs w:val="20"/>
          <w:color w:val="auto"/>
        </w:rPr>
      </w:pPr>
      <w:r>
        <w:rPr>
          <w:rFonts w:ascii="Times New Roman" w:cs="Times New Roman" w:eastAsia="Times New Roman" w:hAnsi="Times New Roman"/>
          <w:sz w:val="18"/>
          <w:szCs w:val="18"/>
          <w:color w:val="auto"/>
        </w:rPr>
        <w:t>On September 27, 2022, the Company entered into an agreement, as amended, with Mindset Pharma Inc. (“</w:t>
      </w:r>
      <w:r>
        <w:rPr>
          <w:rFonts w:ascii="Times New Roman" w:cs="Times New Roman" w:eastAsia="Times New Roman" w:hAnsi="Times New Roman"/>
          <w:sz w:val="18"/>
          <w:szCs w:val="18"/>
          <w:b w:val="1"/>
          <w:bCs w:val="1"/>
          <w:color w:val="auto"/>
        </w:rPr>
        <w:t>Mindset</w:t>
      </w:r>
      <w:r>
        <w:rPr>
          <w:rFonts w:ascii="Times New Roman" w:cs="Times New Roman" w:eastAsia="Times New Roman" w:hAnsi="Times New Roman"/>
          <w:sz w:val="18"/>
          <w:szCs w:val="18"/>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Exchange.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18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Worldwide Clinical Trials</w:t>
      </w:r>
    </w:p>
    <w:p>
      <w:pPr>
        <w:spacing w:after="0" w:line="52"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20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Partners</w:t>
      </w:r>
    </w:p>
    <w:p>
      <w:pPr>
        <w:spacing w:after="0" w:line="40" w:lineRule="exact"/>
        <w:rPr>
          <w:sz w:val="20"/>
          <w:szCs w:val="20"/>
          <w:color w:val="auto"/>
        </w:rPr>
      </w:pPr>
    </w:p>
    <w:p>
      <w:pPr>
        <w:jc w:val="both"/>
        <w:ind w:left="3" w:right="20"/>
        <w:spacing w:after="0" w:line="277" w:lineRule="auto"/>
        <w:rPr>
          <w:sz w:val="20"/>
          <w:szCs w:val="20"/>
          <w:color w:val="auto"/>
        </w:rPr>
      </w:pPr>
      <w:r>
        <w:rPr>
          <w:rFonts w:ascii="Times New Roman" w:cs="Times New Roman" w:eastAsia="Times New Roman" w:hAnsi="Times New Roman"/>
          <w:sz w:val="18"/>
          <w:szCs w:val="18"/>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3"/>
          <w:szCs w:val="23"/>
          <w:color w:val="auto"/>
          <w:vertAlign w:val="superscript"/>
        </w:rPr>
        <w:t>25</w:t>
      </w:r>
      <w:r>
        <w:rPr>
          <w:rFonts w:ascii="Times New Roman" w:cs="Times New Roman" w:eastAsia="Times New Roman" w:hAnsi="Times New Roman"/>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10"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44" w:lineRule="exact"/>
        <w:rPr>
          <w:sz w:val="20"/>
          <w:szCs w:val="20"/>
          <w:color w:val="auto"/>
        </w:rPr>
      </w:pPr>
    </w:p>
    <w:p>
      <w:pPr>
        <w:jc w:val="both"/>
        <w:ind w:left="3"/>
        <w:spacing w:after="0" w:line="292" w:lineRule="auto"/>
        <w:rPr>
          <w:sz w:val="20"/>
          <w:szCs w:val="20"/>
          <w:color w:val="auto"/>
        </w:rPr>
      </w:pPr>
      <w:r>
        <w:rPr>
          <w:rFonts w:ascii="Times New Roman" w:cs="Times New Roman" w:eastAsia="Times New Roman" w:hAnsi="Times New Roman"/>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99"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3987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44" w:lineRule="exact"/>
        <w:rPr>
          <w:sz w:val="20"/>
          <w:szCs w:val="20"/>
          <w:color w:val="auto"/>
        </w:rPr>
      </w:pPr>
    </w:p>
    <w:p>
      <w:pPr>
        <w:ind w:left="3" w:hanging="3"/>
        <w:spacing w:after="0" w:line="204" w:lineRule="auto"/>
        <w:tabs>
          <w:tab w:leader="none" w:pos="179"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3"/>
          </w:cols>
          <w:pgMar w:left="317" w:top="725" w:right="319" w:bottom="1440" w:gutter="0" w:footer="0" w:header="0"/>
        </w:sectPr>
      </w:pPr>
    </w:p>
    <w:bookmarkStart w:id="55" w:name="page56"/>
    <w:bookmarkEnd w:id="55"/>
    <w:p>
      <w:pPr>
        <w:jc w:val="both"/>
        <w:spacing w:after="0" w:line="295" w:lineRule="auto"/>
        <w:rPr>
          <w:sz w:val="20"/>
          <w:szCs w:val="20"/>
          <w:color w:val="auto"/>
        </w:rPr>
      </w:pPr>
      <w:r>
        <w:rPr>
          <w:rFonts w:ascii="Times New Roman" w:cs="Times New Roman" w:eastAsia="Times New Roman" w:hAnsi="Times New Roman"/>
          <w:sz w:val="18"/>
          <w:szCs w:val="18"/>
          <w:color w:val="auto"/>
        </w:rPr>
        <w:t>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19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Other than as described in the AIF and herein, to the knowledge of management, there are no other particular significant events or milestones that must occur for the Company’s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9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3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Cybin has title to thirteen granted US patents and thirty nine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0" w:type="dxa"/>
            <w:vAlign w:val="bottom"/>
            <w:tcBorders>
              <w:top w:val="single" w:sz="8" w:color="auto"/>
              <w:left w:val="single" w:sz="8" w:color="auto"/>
              <w:right w:val="single" w:sz="8" w:color="auto"/>
            </w:tcBorders>
            <w:shd w:val="clear" w:color="auto" w:fill="BFBFBF"/>
          </w:tcPr>
          <w:p>
            <w:pPr>
              <w:spacing w:after="0"/>
              <w:rPr>
                <w:sz w:val="14"/>
                <w:szCs w:val="14"/>
                <w:color w:val="auto"/>
              </w:rPr>
            </w:pPr>
          </w:p>
        </w:tc>
        <w:tc>
          <w:tcPr>
            <w:tcW w:w="1580" w:type="dxa"/>
            <w:vAlign w:val="bottom"/>
            <w:tcBorders>
              <w:top w:val="single" w:sz="8" w:color="auto"/>
              <w:right w:val="single" w:sz="8" w:color="auto"/>
            </w:tcBorders>
            <w:vMerge w:val="restart"/>
            <w:shd w:val="clear" w:color="auto" w:fill="BFBFBF"/>
          </w:tcPr>
          <w:p>
            <w:pPr>
              <w:ind w:left="24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360" w:type="dxa"/>
            <w:vAlign w:val="bottom"/>
            <w:tcBorders>
              <w:top w:val="single" w:sz="8" w:color="auto"/>
              <w:right w:val="single" w:sz="8" w:color="auto"/>
            </w:tcBorders>
            <w:shd w:val="clear" w:color="auto" w:fill="BFBFBF"/>
          </w:tcPr>
          <w:p>
            <w:pPr>
              <w:ind w:left="160"/>
              <w:spacing w:after="0" w:line="170" w:lineRule="exact"/>
              <w:rPr>
                <w:sz w:val="20"/>
                <w:szCs w:val="20"/>
                <w:color w:val="auto"/>
              </w:rPr>
            </w:pPr>
            <w:r>
              <w:rPr>
                <w:rFonts w:ascii="Times New Roman" w:cs="Times New Roman" w:eastAsia="Times New Roman" w:hAnsi="Times New Roman"/>
                <w:sz w:val="16"/>
                <w:szCs w:val="16"/>
                <w:b w:val="1"/>
                <w:bCs w:val="1"/>
                <w:color w:val="auto"/>
              </w:rPr>
              <w:t>Jurisdiction of</w:t>
            </w:r>
          </w:p>
        </w:tc>
        <w:tc>
          <w:tcPr>
            <w:tcW w:w="5560" w:type="dxa"/>
            <w:vAlign w:val="bottom"/>
            <w:tcBorders>
              <w:top w:val="single" w:sz="8" w:color="auto"/>
              <w:right w:val="single" w:sz="8" w:color="auto"/>
            </w:tcBorders>
            <w:vMerge w:val="restart"/>
            <w:shd w:val="clear" w:color="auto" w:fill="BFBFBF"/>
          </w:tcPr>
          <w:p>
            <w:pPr>
              <w:ind w:left="2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shd w:val="clear" w:color="auto" w:fill="BFBFBF"/>
          </w:tcPr>
          <w:p>
            <w:pPr>
              <w:spacing w:after="0"/>
              <w:rPr>
                <w:sz w:val="11"/>
                <w:szCs w:val="11"/>
                <w:color w:val="auto"/>
              </w:rPr>
            </w:pPr>
          </w:p>
        </w:tc>
        <w:tc>
          <w:tcPr>
            <w:tcW w:w="1580" w:type="dxa"/>
            <w:vAlign w:val="bottom"/>
            <w:tcBorders>
              <w:right w:val="single" w:sz="8" w:color="auto"/>
            </w:tcBorders>
            <w:vMerge w:val="continue"/>
            <w:shd w:val="clear" w:color="auto" w:fill="BFBFBF"/>
          </w:tcPr>
          <w:p>
            <w:pPr>
              <w:spacing w:after="0"/>
              <w:rPr>
                <w:sz w:val="11"/>
                <w:szCs w:val="11"/>
                <w:color w:val="auto"/>
              </w:rPr>
            </w:pPr>
          </w:p>
        </w:tc>
        <w:tc>
          <w:tcPr>
            <w:tcW w:w="1360" w:type="dxa"/>
            <w:vAlign w:val="bottom"/>
            <w:tcBorders>
              <w:right w:val="single" w:sz="8" w:color="auto"/>
            </w:tcBorders>
            <w:vMerge w:val="restart"/>
            <w:shd w:val="clear" w:color="auto" w:fill="BFBFBF"/>
          </w:tcPr>
          <w:p>
            <w:pPr>
              <w:ind w:left="46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5560" w:type="dxa"/>
            <w:vAlign w:val="bottom"/>
            <w:tcBorders>
              <w:right w:val="single" w:sz="8" w:color="auto"/>
            </w:tcBorders>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580" w:type="dxa"/>
            <w:vAlign w:val="bottom"/>
            <w:tcBorders>
              <w:bottom w:val="single" w:sz="8" w:color="auto"/>
              <w:right w:val="single" w:sz="8" w:color="auto"/>
            </w:tcBorders>
            <w:shd w:val="clear" w:color="auto" w:fill="BFBFBF"/>
          </w:tcPr>
          <w:p>
            <w:pPr>
              <w:spacing w:after="0"/>
              <w:rPr>
                <w:sz w:val="7"/>
                <w:szCs w:val="7"/>
                <w:color w:val="auto"/>
              </w:rPr>
            </w:pPr>
          </w:p>
        </w:tc>
        <w:tc>
          <w:tcPr>
            <w:tcW w:w="136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556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1</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11,242,318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2</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11,724,985</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3</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11,746,088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11,834,410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5</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2018311307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725" w:right="33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18"/>
        </w:trPr>
        <w:tc>
          <w:tcPr>
            <w:tcW w:w="2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1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2020378647</w:t>
            </w: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top w:val="single" w:sz="8" w:color="auto"/>
              <w:bottom w:val="single" w:sz="8" w:color="auto"/>
              <w:right w:val="single" w:sz="8" w:color="auto"/>
            </w:tcBorders>
          </w:tcPr>
          <w:p>
            <w:pPr>
              <w:spacing w:after="0"/>
              <w:rPr>
                <w:sz w:val="18"/>
                <w:szCs w:val="18"/>
                <w:color w:val="auto"/>
              </w:rPr>
            </w:pPr>
          </w:p>
        </w:tc>
        <w:tc>
          <w:tcPr>
            <w:tcW w:w="2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2020381103</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2021334933</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2021204158</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right w:val="single" w:sz="8" w:color="auto"/>
            </w:tcBorders>
          </w:tcPr>
          <w:p>
            <w:pPr>
              <w:spacing w:after="0"/>
              <w:rPr>
                <w:sz w:val="13"/>
                <w:szCs w:val="13"/>
                <w:color w:val="auto"/>
              </w:rPr>
            </w:pPr>
          </w:p>
        </w:tc>
        <w:tc>
          <w:tcPr>
            <w:tcW w:w="26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8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1120220000000</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3104072</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bottom w:val="single" w:sz="8" w:color="auto"/>
              <w:right w:val="single" w:sz="8" w:color="auto"/>
            </w:tcBorders>
          </w:tcPr>
          <w:p>
            <w:pPr>
              <w:spacing w:after="0"/>
              <w:rPr>
                <w:sz w:val="17"/>
                <w:szCs w:val="17"/>
                <w:color w:val="auto"/>
              </w:rPr>
            </w:pPr>
          </w:p>
        </w:tc>
        <w:tc>
          <w:tcPr>
            <w:tcW w:w="5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Drug Substance Compositions Comprising N,N-Dimethyltryptamine</w:t>
            </w: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3160337</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3179161</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right w:val="single" w:sz="8" w:color="auto"/>
            </w:tcBorders>
          </w:tcPr>
          <w:p>
            <w:pPr>
              <w:spacing w:after="0"/>
              <w:rPr>
                <w:sz w:val="13"/>
                <w:szCs w:val="13"/>
                <w:color w:val="auto"/>
              </w:rPr>
            </w:pPr>
          </w:p>
        </w:tc>
        <w:tc>
          <w:tcPr>
            <w:tcW w:w="26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8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ZL202080087091.0</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3463323</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55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Solid Oral Dosage Forms of 2R,6R-Hydroxynorketamine or Derivatives Thereof</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16</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3687515</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17</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3532457</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18</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3826632</w:t>
            </w:r>
          </w:p>
        </w:tc>
        <w:tc>
          <w:tcPr>
            <w:tcW w:w="9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6"/>
                <w:szCs w:val="16"/>
                <w:color w:val="auto"/>
                <w:w w:val="99"/>
              </w:rPr>
              <w:t>Patent</w:t>
            </w:r>
          </w:p>
        </w:tc>
        <w:tc>
          <w:tcPr>
            <w:tcW w:w="26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right w:val="single" w:sz="8" w:color="auto"/>
            </w:tcBorders>
          </w:tcPr>
          <w:p>
            <w:pPr>
              <w:spacing w:after="0"/>
              <w:rPr>
                <w:sz w:val="11"/>
                <w:szCs w:val="11"/>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8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19</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3844147</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3873883</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3902541</w:t>
            </w:r>
          </w:p>
        </w:tc>
        <w:tc>
          <w:tcPr>
            <w:tcW w:w="9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6"/>
                <w:szCs w:val="16"/>
                <w:color w:val="auto"/>
                <w:w w:val="99"/>
              </w:rPr>
              <w:t>Patent</w:t>
            </w:r>
          </w:p>
        </w:tc>
        <w:tc>
          <w:tcPr>
            <w:tcW w:w="26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right w:val="single" w:sz="8" w:color="auto"/>
            </w:tcBorders>
          </w:tcPr>
          <w:p>
            <w:pPr>
              <w:spacing w:after="0"/>
              <w:rPr>
                <w:sz w:val="11"/>
                <w:szCs w:val="11"/>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8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4031529</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51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40010285</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40042383</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40035970</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26</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40056359</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40060666</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28</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40065709</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right w:val="single" w:sz="8" w:color="auto"/>
            </w:tcBorders>
          </w:tcPr>
          <w:p>
            <w:pPr>
              <w:spacing w:after="0"/>
              <w:rPr>
                <w:sz w:val="13"/>
                <w:szCs w:val="13"/>
                <w:color w:val="auto"/>
              </w:rPr>
            </w:pPr>
          </w:p>
        </w:tc>
        <w:tc>
          <w:tcPr>
            <w:tcW w:w="26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8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29</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40064531</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30</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507114</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26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8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292753</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7288154</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3"/>
                <w:szCs w:val="13"/>
                <w:color w:val="auto"/>
              </w:rPr>
            </w:pPr>
          </w:p>
        </w:tc>
        <w:tc>
          <w:tcPr>
            <w:tcW w:w="26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8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2023 500532</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2022 546635</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35</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2023 533436</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36</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404310</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Mexico</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37</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788543</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New Zealand</w:t>
            </w:r>
          </w:p>
        </w:tc>
        <w:tc>
          <w:tcPr>
            <w:tcW w:w="460" w:type="dxa"/>
            <w:vAlign w:val="bottom"/>
            <w:tcBorders>
              <w:bottom w:val="single" w:sz="8" w:color="auto"/>
              <w:right w:val="single" w:sz="8" w:color="auto"/>
            </w:tcBorders>
          </w:tcPr>
          <w:p>
            <w:pPr>
              <w:spacing w:after="0"/>
              <w:rPr>
                <w:sz w:val="17"/>
                <w:szCs w:val="17"/>
                <w:color w:val="auto"/>
              </w:rPr>
            </w:pPr>
          </w:p>
        </w:tc>
        <w:tc>
          <w:tcPr>
            <w:tcW w:w="556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Dimethyltryptamine derivatives and their use in psychedelic-assisted psychotherapy</w:t>
            </w: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38</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794833</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460" w:type="dxa"/>
            <w:vAlign w:val="bottom"/>
            <w:tcBorders>
              <w:right w:val="single" w:sz="8" w:color="auto"/>
            </w:tcBorders>
          </w:tcPr>
          <w:p>
            <w:pPr>
              <w:spacing w:after="0"/>
              <w:rPr>
                <w:sz w:val="13"/>
                <w:szCs w:val="13"/>
                <w:color w:val="auto"/>
              </w:rPr>
            </w:pPr>
          </w:p>
        </w:tc>
        <w:tc>
          <w:tcPr>
            <w:tcW w:w="26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8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39</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2589605</w:t>
            </w:r>
          </w:p>
        </w:tc>
        <w:tc>
          <w:tcPr>
            <w:tcW w:w="13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Republic of Korea</w:t>
            </w:r>
          </w:p>
        </w:tc>
        <w:tc>
          <w:tcPr>
            <w:tcW w:w="5560" w:type="dxa"/>
            <w:vAlign w:val="bottom"/>
            <w:tcBorders>
              <w:right w:val="single" w:sz="8" w:color="auto"/>
            </w:tcBorders>
            <w:gridSpan w:val="6"/>
          </w:tcPr>
          <w:p>
            <w:pPr>
              <w:spacing w:after="0" w:line="154"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214"/>
        </w:trPr>
        <w:tc>
          <w:tcPr>
            <w:tcW w:w="2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1360" w:type="dxa"/>
            <w:vAlign w:val="bottom"/>
            <w:tcBorders>
              <w:bottom w:val="single" w:sz="8" w:color="auto"/>
              <w:right w:val="single" w:sz="8" w:color="auto"/>
            </w:tcBorders>
            <w:gridSpan w:val="2"/>
            <w:vMerge w:val="continue"/>
          </w:tcPr>
          <w:p>
            <w:pPr>
              <w:spacing w:after="0"/>
              <w:rPr>
                <w:sz w:val="18"/>
                <w:szCs w:val="18"/>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2585978</w:t>
            </w:r>
          </w:p>
        </w:tc>
        <w:tc>
          <w:tcPr>
            <w:tcW w:w="1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2586940</w:t>
            </w:r>
          </w:p>
        </w:tc>
        <w:tc>
          <w:tcPr>
            <w:tcW w:w="1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2592822</w:t>
            </w:r>
          </w:p>
        </w:tc>
        <w:tc>
          <w:tcPr>
            <w:tcW w:w="1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2595776</w:t>
            </w:r>
          </w:p>
        </w:tc>
        <w:tc>
          <w:tcPr>
            <w:tcW w:w="1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11,377,416</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11,771,681</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46</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11,773,062</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Compounds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47</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11,643,390</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bottom w:val="single" w:sz="8" w:color="auto"/>
              <w:right w:val="single" w:sz="8" w:color="auto"/>
            </w:tcBorders>
          </w:tcPr>
          <w:p>
            <w:pPr>
              <w:spacing w:after="0"/>
              <w:rPr>
                <w:sz w:val="17"/>
                <w:szCs w:val="17"/>
                <w:color w:val="auto"/>
              </w:rPr>
            </w:pPr>
          </w:p>
        </w:tc>
        <w:tc>
          <w:tcPr>
            <w:tcW w:w="5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Synthesis of N,N-Dimethyltryptamine-Type Compounds, Methods, and Uses</w:t>
            </w: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139"/>
          </w:cols>
          <w:pgMar w:left="320" w:top="726" w:right="1440"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18"/>
        </w:trPr>
        <w:tc>
          <w:tcPr>
            <w:tcW w:w="280" w:type="dxa"/>
            <w:vAlign w:val="bottom"/>
            <w:tcBorders>
              <w:top w:val="single" w:sz="8" w:color="auto"/>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48</w:t>
            </w:r>
          </w:p>
        </w:tc>
        <w:tc>
          <w:tcPr>
            <w:tcW w:w="1580" w:type="dxa"/>
            <w:vAlign w:val="bottom"/>
            <w:tcBorders>
              <w:top w:val="single" w:sz="8" w:color="auto"/>
              <w:bottom w:val="single" w:sz="8" w:color="auto"/>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11,471,417</w:t>
            </w:r>
          </w:p>
        </w:tc>
        <w:tc>
          <w:tcPr>
            <w:tcW w:w="13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49</w:t>
            </w:r>
          </w:p>
        </w:tc>
        <w:tc>
          <w:tcPr>
            <w:tcW w:w="1580" w:type="dxa"/>
            <w:vAlign w:val="bottom"/>
            <w:tcBorders>
              <w:bottom w:val="single" w:sz="8" w:color="auto"/>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11,406,619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50</w:t>
            </w:r>
          </w:p>
        </w:tc>
        <w:tc>
          <w:tcPr>
            <w:tcW w:w="1580" w:type="dxa"/>
            <w:vAlign w:val="bottom"/>
            <w:tcBorders>
              <w:bottom w:val="single" w:sz="8" w:color="auto"/>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11,697,638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5-Methoxy-N,N-Dimethyltryptamine Crystalline Forms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51</w:t>
            </w:r>
          </w:p>
        </w:tc>
        <w:tc>
          <w:tcPr>
            <w:tcW w:w="1580" w:type="dxa"/>
            <w:vAlign w:val="bottom"/>
            <w:tcBorders>
              <w:bottom w:val="single" w:sz="8" w:color="auto"/>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11,660,289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52</w:t>
            </w:r>
          </w:p>
        </w:tc>
        <w:tc>
          <w:tcPr>
            <w:tcW w:w="1580" w:type="dxa"/>
            <w:vAlign w:val="bottom"/>
            <w:tcBorders>
              <w:bottom w:val="single" w:sz="8" w:color="auto"/>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11,578,039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r>
    </w:tbl>
    <w:p>
      <w:pPr>
        <w:spacing w:after="0" w:line="30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 addition, Cybin has title to seventeen provisional patent applications, nineteen US non-provisional patent applications, one hundred and twenty six national (non-US) patent applications, and fourteen Patent Cooperation Treaty (“PCT”) applications, including claims directed to compositions of matter and methods of use in support of its research and development and preclinical and clinical trial programs.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0" w:type="dxa"/>
            <w:vAlign w:val="bottom"/>
            <w:tcBorders>
              <w:top w:val="single" w:sz="8" w:color="auto"/>
              <w:left w:val="single" w:sz="8" w:color="auto"/>
              <w:right w:val="single" w:sz="8" w:color="auto"/>
            </w:tcBorders>
            <w:shd w:val="clear" w:color="auto" w:fill="BFBFBF"/>
          </w:tcPr>
          <w:p>
            <w:pPr>
              <w:spacing w:after="0"/>
              <w:rPr>
                <w:sz w:val="14"/>
                <w:szCs w:val="14"/>
                <w:color w:val="auto"/>
              </w:rPr>
            </w:pPr>
          </w:p>
        </w:tc>
        <w:tc>
          <w:tcPr>
            <w:tcW w:w="1420" w:type="dxa"/>
            <w:vAlign w:val="bottom"/>
            <w:tcBorders>
              <w:top w:val="single" w:sz="8" w:color="auto"/>
              <w:right w:val="single" w:sz="8" w:color="auto"/>
            </w:tcBorders>
            <w:shd w:val="clear" w:color="auto" w:fill="BFBFBF"/>
          </w:tcPr>
          <w:p>
            <w:pPr>
              <w:ind w:left="40"/>
              <w:spacing w:after="0" w:line="170" w:lineRule="exact"/>
              <w:rPr>
                <w:sz w:val="20"/>
                <w:szCs w:val="20"/>
                <w:color w:val="auto"/>
              </w:rPr>
            </w:pPr>
            <w:r>
              <w:rPr>
                <w:rFonts w:ascii="Times New Roman" w:cs="Times New Roman" w:eastAsia="Times New Roman" w:hAnsi="Times New Roman"/>
                <w:sz w:val="16"/>
                <w:szCs w:val="16"/>
                <w:b w:val="1"/>
                <w:bCs w:val="1"/>
                <w:color w:val="auto"/>
              </w:rPr>
              <w:t>Patent Application</w:t>
            </w:r>
          </w:p>
        </w:tc>
        <w:tc>
          <w:tcPr>
            <w:tcW w:w="1100" w:type="dxa"/>
            <w:vAlign w:val="bottom"/>
            <w:tcBorders>
              <w:top w:val="single" w:sz="8" w:color="auto"/>
              <w:right w:val="single" w:sz="8" w:color="auto"/>
            </w:tcBorders>
            <w:shd w:val="clear" w:color="auto" w:fill="BFBFBF"/>
          </w:tcPr>
          <w:p>
            <w:pPr>
              <w:ind w:left="40"/>
              <w:spacing w:after="0" w:line="170" w:lineRule="exact"/>
              <w:rPr>
                <w:sz w:val="20"/>
                <w:szCs w:val="20"/>
                <w:color w:val="auto"/>
              </w:rPr>
            </w:pPr>
            <w:r>
              <w:rPr>
                <w:rFonts w:ascii="Times New Roman" w:cs="Times New Roman" w:eastAsia="Times New Roman" w:hAnsi="Times New Roman"/>
                <w:sz w:val="16"/>
                <w:szCs w:val="16"/>
                <w:b w:val="1"/>
                <w:bCs w:val="1"/>
                <w:color w:val="auto"/>
              </w:rPr>
              <w:t>Jurisdiction of</w:t>
            </w:r>
          </w:p>
        </w:tc>
        <w:tc>
          <w:tcPr>
            <w:tcW w:w="1260" w:type="dxa"/>
            <w:vAlign w:val="bottom"/>
            <w:tcBorders>
              <w:top w:val="single" w:sz="8" w:color="auto"/>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760" w:type="dxa"/>
            <w:vAlign w:val="bottom"/>
            <w:tcBorders>
              <w:top w:val="single" w:sz="8" w:color="auto"/>
            </w:tcBorders>
            <w:shd w:val="clear" w:color="auto" w:fill="BFBFBF"/>
          </w:tcPr>
          <w:p>
            <w:pPr>
              <w:spacing w:after="0"/>
              <w:rPr>
                <w:sz w:val="14"/>
                <w:szCs w:val="14"/>
                <w:color w:val="auto"/>
              </w:rPr>
            </w:pPr>
          </w:p>
        </w:tc>
        <w:tc>
          <w:tcPr>
            <w:tcW w:w="300" w:type="dxa"/>
            <w:vAlign w:val="bottom"/>
            <w:tcBorders>
              <w:top w:val="single" w:sz="8" w:color="auto"/>
            </w:tcBorders>
            <w:shd w:val="clear" w:color="auto" w:fill="BFBFBF"/>
          </w:tcPr>
          <w:p>
            <w:pPr>
              <w:spacing w:after="0"/>
              <w:rPr>
                <w:sz w:val="14"/>
                <w:szCs w:val="14"/>
                <w:color w:val="auto"/>
              </w:rPr>
            </w:pPr>
          </w:p>
        </w:tc>
        <w:tc>
          <w:tcPr>
            <w:tcW w:w="1020" w:type="dxa"/>
            <w:vAlign w:val="bottom"/>
            <w:tcBorders>
              <w:top w:val="single" w:sz="8" w:color="auto"/>
            </w:tcBorders>
            <w:gridSpan w:val="3"/>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520" w:type="dxa"/>
            <w:vAlign w:val="bottom"/>
            <w:tcBorders>
              <w:top w:val="single" w:sz="8" w:color="auto"/>
            </w:tcBorders>
            <w:shd w:val="clear" w:color="auto" w:fill="BFBFBF"/>
          </w:tcPr>
          <w:p>
            <w:pPr>
              <w:spacing w:after="0"/>
              <w:rPr>
                <w:sz w:val="14"/>
                <w:szCs w:val="14"/>
                <w:color w:val="auto"/>
              </w:rPr>
            </w:pPr>
          </w:p>
        </w:tc>
        <w:tc>
          <w:tcPr>
            <w:tcW w:w="300" w:type="dxa"/>
            <w:vAlign w:val="bottom"/>
            <w:tcBorders>
              <w:top w:val="single" w:sz="8" w:color="auto"/>
            </w:tcBorders>
            <w:shd w:val="clear" w:color="auto" w:fill="BFBFBF"/>
          </w:tcPr>
          <w:p>
            <w:pPr>
              <w:spacing w:after="0"/>
              <w:rPr>
                <w:sz w:val="14"/>
                <w:szCs w:val="14"/>
                <w:color w:val="auto"/>
              </w:rPr>
            </w:pPr>
          </w:p>
        </w:tc>
        <w:tc>
          <w:tcPr>
            <w:tcW w:w="300" w:type="dxa"/>
            <w:vAlign w:val="bottom"/>
            <w:tcBorders>
              <w:top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shd w:val="clear" w:color="auto" w:fill="BFBFBF"/>
          </w:tcPr>
          <w:p>
            <w:pPr>
              <w:spacing w:after="0"/>
              <w:rPr>
                <w:sz w:val="11"/>
                <w:szCs w:val="11"/>
                <w:color w:val="auto"/>
              </w:rPr>
            </w:pPr>
          </w:p>
        </w:tc>
        <w:tc>
          <w:tcPr>
            <w:tcW w:w="1420" w:type="dxa"/>
            <w:vAlign w:val="bottom"/>
            <w:tcBorders>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00" w:type="dxa"/>
            <w:vAlign w:val="bottom"/>
            <w:tcBorders>
              <w:right w:val="single" w:sz="8" w:color="auto"/>
            </w:tcBorders>
            <w:vMerge w:val="restart"/>
            <w:shd w:val="clear" w:color="auto" w:fill="BFBFBF"/>
          </w:tcPr>
          <w:p>
            <w:pPr>
              <w:ind w:left="34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1260" w:type="dxa"/>
            <w:vAlign w:val="bottom"/>
            <w:tcBorders>
              <w:right w:val="single" w:sz="8" w:color="auto"/>
            </w:tcBorders>
            <w:vMerge w:val="continue"/>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300" w:type="dxa"/>
            <w:vAlign w:val="bottom"/>
            <w:shd w:val="clear" w:color="auto" w:fill="BFBFBF"/>
          </w:tcPr>
          <w:p>
            <w:pPr>
              <w:spacing w:after="0"/>
              <w:rPr>
                <w:sz w:val="11"/>
                <w:szCs w:val="11"/>
                <w:color w:val="auto"/>
              </w:rPr>
            </w:pPr>
          </w:p>
        </w:tc>
        <w:tc>
          <w:tcPr>
            <w:tcW w:w="1020" w:type="dxa"/>
            <w:vAlign w:val="bottom"/>
            <w:gridSpan w:val="3"/>
            <w:vMerge w:val="continue"/>
            <w:shd w:val="clear" w:color="auto" w:fill="BFBFBF"/>
          </w:tcPr>
          <w:p>
            <w:pPr>
              <w:spacing w:after="0"/>
              <w:rPr>
                <w:sz w:val="11"/>
                <w:szCs w:val="11"/>
                <w:color w:val="auto"/>
              </w:rPr>
            </w:pPr>
          </w:p>
        </w:tc>
        <w:tc>
          <w:tcPr>
            <w:tcW w:w="520" w:type="dxa"/>
            <w:vAlign w:val="bottom"/>
            <w:shd w:val="clear" w:color="auto" w:fill="BFBFBF"/>
          </w:tcPr>
          <w:p>
            <w:pPr>
              <w:spacing w:after="0"/>
              <w:rPr>
                <w:sz w:val="11"/>
                <w:szCs w:val="11"/>
                <w:color w:val="auto"/>
              </w:rPr>
            </w:pPr>
          </w:p>
        </w:tc>
        <w:tc>
          <w:tcPr>
            <w:tcW w:w="300" w:type="dxa"/>
            <w:vAlign w:val="bottom"/>
            <w:shd w:val="clear" w:color="auto" w:fill="BFBFBF"/>
          </w:tcPr>
          <w:p>
            <w:pPr>
              <w:spacing w:after="0"/>
              <w:rPr>
                <w:sz w:val="11"/>
                <w:szCs w:val="11"/>
                <w:color w:val="auto"/>
              </w:rPr>
            </w:pPr>
          </w:p>
        </w:tc>
        <w:tc>
          <w:tcPr>
            <w:tcW w:w="30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8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42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110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1260" w:type="dxa"/>
            <w:vAlign w:val="bottom"/>
            <w:tcBorders>
              <w:bottom w:val="single" w:sz="8" w:color="auto"/>
              <w:right w:val="single" w:sz="8" w:color="auto"/>
            </w:tcBorders>
            <w:shd w:val="clear" w:color="auto" w:fill="BFBFBF"/>
          </w:tcPr>
          <w:p>
            <w:pPr>
              <w:spacing w:after="0"/>
              <w:rPr>
                <w:sz w:val="7"/>
                <w:szCs w:val="7"/>
                <w:color w:val="auto"/>
              </w:rPr>
            </w:pPr>
          </w:p>
        </w:tc>
        <w:tc>
          <w:tcPr>
            <w:tcW w:w="760" w:type="dxa"/>
            <w:vAlign w:val="bottom"/>
            <w:tcBorders>
              <w:bottom w:val="single" w:sz="8" w:color="auto"/>
            </w:tcBorders>
            <w:shd w:val="clear" w:color="auto" w:fill="BFBFBF"/>
          </w:tcPr>
          <w:p>
            <w:pPr>
              <w:spacing w:after="0"/>
              <w:rPr>
                <w:sz w:val="7"/>
                <w:szCs w:val="7"/>
                <w:color w:val="auto"/>
              </w:rPr>
            </w:pPr>
          </w:p>
        </w:tc>
        <w:tc>
          <w:tcPr>
            <w:tcW w:w="300" w:type="dxa"/>
            <w:vAlign w:val="bottom"/>
            <w:tcBorders>
              <w:bottom w:val="single" w:sz="8" w:color="auto"/>
            </w:tcBorders>
            <w:shd w:val="clear" w:color="auto" w:fill="BFBFBF"/>
          </w:tcPr>
          <w:p>
            <w:pPr>
              <w:spacing w:after="0"/>
              <w:rPr>
                <w:sz w:val="7"/>
                <w:szCs w:val="7"/>
                <w:color w:val="auto"/>
              </w:rPr>
            </w:pPr>
          </w:p>
        </w:tc>
        <w:tc>
          <w:tcPr>
            <w:tcW w:w="300" w:type="dxa"/>
            <w:vAlign w:val="bottom"/>
            <w:tcBorders>
              <w:bottom w:val="single" w:sz="8" w:color="auto"/>
            </w:tcBorders>
            <w:shd w:val="clear" w:color="auto" w:fill="BFBFBF"/>
          </w:tcPr>
          <w:p>
            <w:pPr>
              <w:spacing w:after="0"/>
              <w:rPr>
                <w:sz w:val="7"/>
                <w:szCs w:val="7"/>
                <w:color w:val="auto"/>
              </w:rPr>
            </w:pPr>
          </w:p>
        </w:tc>
        <w:tc>
          <w:tcPr>
            <w:tcW w:w="420" w:type="dxa"/>
            <w:vAlign w:val="bottom"/>
            <w:tcBorders>
              <w:bottom w:val="single" w:sz="8" w:color="auto"/>
            </w:tcBorders>
            <w:shd w:val="clear" w:color="auto" w:fill="BFBFBF"/>
          </w:tcPr>
          <w:p>
            <w:pPr>
              <w:spacing w:after="0"/>
              <w:rPr>
                <w:sz w:val="7"/>
                <w:szCs w:val="7"/>
                <w:color w:val="auto"/>
              </w:rPr>
            </w:pPr>
          </w:p>
        </w:tc>
        <w:tc>
          <w:tcPr>
            <w:tcW w:w="300" w:type="dxa"/>
            <w:vAlign w:val="bottom"/>
            <w:tcBorders>
              <w:bottom w:val="single" w:sz="8" w:color="auto"/>
            </w:tcBorders>
            <w:shd w:val="clear" w:color="auto" w:fill="BFBFBF"/>
          </w:tcPr>
          <w:p>
            <w:pPr>
              <w:spacing w:after="0"/>
              <w:rPr>
                <w:sz w:val="7"/>
                <w:szCs w:val="7"/>
                <w:color w:val="auto"/>
              </w:rPr>
            </w:pPr>
          </w:p>
        </w:tc>
        <w:tc>
          <w:tcPr>
            <w:tcW w:w="520" w:type="dxa"/>
            <w:vAlign w:val="bottom"/>
            <w:tcBorders>
              <w:bottom w:val="single" w:sz="8" w:color="auto"/>
            </w:tcBorders>
            <w:shd w:val="clear" w:color="auto" w:fill="BFBFBF"/>
          </w:tcPr>
          <w:p>
            <w:pPr>
              <w:spacing w:after="0"/>
              <w:rPr>
                <w:sz w:val="7"/>
                <w:szCs w:val="7"/>
                <w:color w:val="auto"/>
              </w:rPr>
            </w:pPr>
          </w:p>
        </w:tc>
        <w:tc>
          <w:tcPr>
            <w:tcW w:w="300" w:type="dxa"/>
            <w:vAlign w:val="bottom"/>
            <w:tcBorders>
              <w:bottom w:val="single" w:sz="8" w:color="auto"/>
            </w:tcBorders>
            <w:shd w:val="clear" w:color="auto" w:fill="BFBFBF"/>
          </w:tcPr>
          <w:p>
            <w:pPr>
              <w:spacing w:after="0"/>
              <w:rPr>
                <w:sz w:val="7"/>
                <w:szCs w:val="7"/>
                <w:color w:val="auto"/>
              </w:rPr>
            </w:pPr>
          </w:p>
        </w:tc>
        <w:tc>
          <w:tcPr>
            <w:tcW w:w="30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PCT/EP2022/069109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3" w:lineRule="exact"/>
              <w:rPr>
                <w:sz w:val="20"/>
                <w:szCs w:val="20"/>
                <w:color w:val="auto"/>
              </w:rPr>
            </w:pPr>
            <w:r>
              <w:rPr>
                <w:rFonts w:ascii="Times New Roman" w:cs="Times New Roman" w:eastAsia="Times New Roman" w:hAnsi="Times New Roman"/>
                <w:sz w:val="16"/>
                <w:szCs w:val="16"/>
                <w:color w:val="auto"/>
              </w:rPr>
              <w:t>Integrated Data Collection Devices for Use in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gridSpan w:val="8"/>
            <w:vMerge w:val="restart"/>
          </w:tcPr>
          <w:p>
            <w:pPr>
              <w:ind w:left="20"/>
              <w:spacing w:after="0"/>
              <w:rPr>
                <w:sz w:val="20"/>
                <w:szCs w:val="20"/>
                <w:color w:val="auto"/>
              </w:rPr>
            </w:pPr>
            <w:r>
              <w:rPr>
                <w:rFonts w:ascii="Times New Roman" w:cs="Times New Roman" w:eastAsia="Times New Roman" w:hAnsi="Times New Roman"/>
                <w:sz w:val="16"/>
                <w:szCs w:val="16"/>
                <w:color w:val="auto"/>
              </w:rPr>
              <w:t>Various Therapeutic and Wellness Applications</w:t>
            </w: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PCT/EP2022/058574</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PCT/EP2022/076073</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6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6"/>
                <w:szCs w:val="16"/>
                <w:color w:val="auto"/>
              </w:rPr>
              <w:t>Formulations  Of</w:t>
            </w:r>
          </w:p>
        </w:tc>
        <w:tc>
          <w:tcPr>
            <w:tcW w:w="7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Psilocybin</w:t>
            </w:r>
          </w:p>
        </w:tc>
        <w:tc>
          <w:tcPr>
            <w:tcW w:w="820" w:type="dxa"/>
            <w:vAlign w:val="bottom"/>
            <w:gridSpan w:val="2"/>
          </w:tcPr>
          <w:p>
            <w:pPr>
              <w:ind w:left="140"/>
              <w:spacing w:after="0" w:line="150" w:lineRule="exact"/>
              <w:rPr>
                <w:sz w:val="20"/>
                <w:szCs w:val="20"/>
                <w:color w:val="auto"/>
              </w:rPr>
            </w:pPr>
            <w:r>
              <w:rPr>
                <w:rFonts w:ascii="Times New Roman" w:cs="Times New Roman" w:eastAsia="Times New Roman" w:hAnsi="Times New Roman"/>
                <w:sz w:val="16"/>
                <w:szCs w:val="16"/>
                <w:color w:val="auto"/>
              </w:rPr>
              <w:t>Analogs</w:t>
            </w:r>
          </w:p>
        </w:tc>
        <w:tc>
          <w:tcPr>
            <w:tcW w:w="30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18/056,958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3"/>
          </w:tcPr>
          <w:p>
            <w:pPr>
              <w:jc w:val="center"/>
              <w:ind w:left="39"/>
              <w:spacing w:after="0" w:line="154" w:lineRule="exact"/>
              <w:rPr>
                <w:sz w:val="20"/>
                <w:szCs w:val="20"/>
                <w:color w:val="auto"/>
              </w:rPr>
            </w:pPr>
            <w:r>
              <w:rPr>
                <w:rFonts w:ascii="Times New Roman" w:cs="Times New Roman" w:eastAsia="Times New Roman" w:hAnsi="Times New Roman"/>
                <w:sz w:val="16"/>
                <w:szCs w:val="16"/>
                <w:color w:val="auto"/>
                <w:w w:val="99"/>
              </w:rPr>
              <w:t>Tryptamine</w:t>
            </w:r>
          </w:p>
        </w:tc>
        <w:tc>
          <w:tcPr>
            <w:tcW w:w="112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17/999,310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3"/>
          </w:tcPr>
          <w:p>
            <w:pPr>
              <w:jc w:val="center"/>
              <w:ind w:left="39"/>
              <w:spacing w:after="0" w:line="154" w:lineRule="exact"/>
              <w:rPr>
                <w:sz w:val="20"/>
                <w:szCs w:val="20"/>
                <w:color w:val="auto"/>
              </w:rPr>
            </w:pPr>
            <w:r>
              <w:rPr>
                <w:rFonts w:ascii="Times New Roman" w:cs="Times New Roman" w:eastAsia="Times New Roman" w:hAnsi="Times New Roman"/>
                <w:sz w:val="16"/>
                <w:szCs w:val="16"/>
                <w:color w:val="auto"/>
                <w:w w:val="99"/>
              </w:rPr>
              <w:t>Tryptamine</w:t>
            </w:r>
          </w:p>
        </w:tc>
        <w:tc>
          <w:tcPr>
            <w:tcW w:w="112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PCT/EP2023/050702</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PCT/EP2023/053744</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PCT/EP2023/053752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18/041,731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18/041,728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63/487,078</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Methods of Treating Disorders</w:t>
            </w: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18/027,810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0" w:lineRule="exact"/>
              <w:rPr>
                <w:sz w:val="20"/>
                <w:szCs w:val="20"/>
                <w:color w:val="auto"/>
              </w:rPr>
            </w:pPr>
            <w:r>
              <w:rPr>
                <w:rFonts w:ascii="Times New Roman" w:cs="Times New Roman" w:eastAsia="Times New Roman" w:hAnsi="Times New Roman"/>
                <w:sz w:val="16"/>
                <w:szCs w:val="16"/>
                <w:color w:val="auto"/>
              </w:rPr>
              <w:t>Methods   For   Delivery   of   Psychedelic</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3200" w:type="dxa"/>
            <w:vAlign w:val="bottom"/>
            <w:tcBorders>
              <w:right w:val="single" w:sz="8" w:color="auto"/>
            </w:tcBorders>
            <w:gridSpan w:val="8"/>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 By Inhalation and 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PCT/EP2023/057939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0" w:lineRule="exact"/>
              <w:rPr>
                <w:sz w:val="20"/>
                <w:szCs w:val="20"/>
                <w:color w:val="auto"/>
              </w:rPr>
            </w:pPr>
            <w:r>
              <w:rPr>
                <w:rFonts w:ascii="Times New Roman" w:cs="Times New Roman" w:eastAsia="Times New Roman" w:hAnsi="Times New Roman"/>
                <w:sz w:val="16"/>
                <w:szCs w:val="16"/>
                <w:color w:val="auto"/>
              </w:rPr>
              <w:t>Methods   For   Delivery   of   Psychedelic</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3200" w:type="dxa"/>
            <w:vAlign w:val="bottom"/>
            <w:tcBorders>
              <w:right w:val="single" w:sz="8" w:color="auto"/>
            </w:tcBorders>
            <w:gridSpan w:val="8"/>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 By Inhalation and 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14</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PCT/EP2023/058107</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63/464,265</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16</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63/507,059</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Companion Animal Treatments</w:t>
            </w: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17</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63/507,062</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18</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PCT/EP2023/066900</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w w:val="99"/>
              </w:rPr>
              <w:t>Formulations of Psilocybin</w:t>
            </w: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63/510,089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Processes</w:t>
            </w:r>
          </w:p>
        </w:tc>
        <w:tc>
          <w:tcPr>
            <w:tcW w:w="300" w:type="dxa"/>
            <w:vAlign w:val="bottom"/>
          </w:tcPr>
          <w:p>
            <w:pPr>
              <w:ind w:left="100"/>
              <w:spacing w:after="0" w:line="150" w:lineRule="exact"/>
              <w:rPr>
                <w:sz w:val="20"/>
                <w:szCs w:val="20"/>
                <w:color w:val="auto"/>
              </w:rPr>
            </w:pPr>
            <w:r>
              <w:rPr>
                <w:rFonts w:ascii="Times New Roman" w:cs="Times New Roman" w:eastAsia="Times New Roman" w:hAnsi="Times New Roman"/>
                <w:sz w:val="16"/>
                <w:szCs w:val="16"/>
                <w:color w:val="auto"/>
                <w:w w:val="96"/>
              </w:rPr>
              <w:t>for</w:t>
            </w:r>
          </w:p>
        </w:tc>
        <w:tc>
          <w:tcPr>
            <w:tcW w:w="1020" w:type="dxa"/>
            <w:vAlign w:val="bottom"/>
            <w:gridSpan w:val="3"/>
          </w:tcPr>
          <w:p>
            <w:pPr>
              <w:jc w:val="center"/>
              <w:spacing w:after="0" w:line="150" w:lineRule="exact"/>
              <w:rPr>
                <w:sz w:val="20"/>
                <w:szCs w:val="20"/>
                <w:color w:val="auto"/>
              </w:rPr>
            </w:pPr>
            <w:r>
              <w:rPr>
                <w:rFonts w:ascii="Times New Roman" w:cs="Times New Roman" w:eastAsia="Times New Roman" w:hAnsi="Times New Roman"/>
                <w:sz w:val="16"/>
                <w:szCs w:val="16"/>
                <w:color w:val="auto"/>
              </w:rPr>
              <w:t>Preparing</w:t>
            </w:r>
          </w:p>
        </w:tc>
        <w:tc>
          <w:tcPr>
            <w:tcW w:w="1120" w:type="dxa"/>
            <w:vAlign w:val="bottom"/>
            <w:tcBorders>
              <w:right w:val="single" w:sz="8" w:color="auto"/>
            </w:tcBorders>
            <w:gridSpan w:val="3"/>
          </w:tcPr>
          <w:p>
            <w:pPr>
              <w:jc w:val="right"/>
              <w:spacing w:after="0" w:line="150" w:lineRule="exact"/>
              <w:rPr>
                <w:sz w:val="20"/>
                <w:szCs w:val="20"/>
                <w:color w:val="auto"/>
              </w:rPr>
            </w:pPr>
            <w:r>
              <w:rPr>
                <w:rFonts w:ascii="Times New Roman" w:cs="Times New Roman" w:eastAsia="Times New Roman" w:hAnsi="Times New Roman"/>
                <w:sz w:val="16"/>
                <w:szCs w:val="16"/>
                <w:color w:val="auto"/>
              </w:rPr>
              <w:t>Phenethylamine</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Compounds</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63/512,466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gridSpan w:val="2"/>
          </w:tcPr>
          <w:p>
            <w:pPr>
              <w:jc w:val="center"/>
              <w:ind w:right="59"/>
              <w:spacing w:after="0" w:line="154" w:lineRule="exact"/>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Disorders</w:t>
            </w:r>
          </w:p>
        </w:tc>
        <w:tc>
          <w:tcPr>
            <w:tcW w:w="3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18/353,492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3"/>
          </w:tcPr>
          <w:p>
            <w:pPr>
              <w:jc w:val="center"/>
              <w:ind w:left="39"/>
              <w:spacing w:after="0" w:line="154" w:lineRule="exact"/>
              <w:rPr>
                <w:sz w:val="20"/>
                <w:szCs w:val="20"/>
                <w:color w:val="auto"/>
              </w:rPr>
            </w:pPr>
            <w:r>
              <w:rPr>
                <w:rFonts w:ascii="Times New Roman" w:cs="Times New Roman" w:eastAsia="Times New Roman" w:hAnsi="Times New Roman"/>
                <w:sz w:val="16"/>
                <w:szCs w:val="16"/>
                <w:color w:val="auto"/>
                <w:w w:val="99"/>
              </w:rPr>
              <w:t>Tryptamine</w:t>
            </w:r>
          </w:p>
        </w:tc>
        <w:tc>
          <w:tcPr>
            <w:tcW w:w="112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63/519,992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gridSpan w:val="2"/>
          </w:tcPr>
          <w:p>
            <w:pPr>
              <w:jc w:val="center"/>
              <w:ind w:right="59"/>
              <w:spacing w:after="0" w:line="154" w:lineRule="exact"/>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Disorders</w:t>
            </w:r>
          </w:p>
        </w:tc>
        <w:tc>
          <w:tcPr>
            <w:tcW w:w="3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18/547,100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w w:val="97"/>
              </w:rPr>
              <w:t>Analogs,</w:t>
            </w:r>
          </w:p>
        </w:tc>
        <w:tc>
          <w:tcPr>
            <w:tcW w:w="1540" w:type="dxa"/>
            <w:vAlign w:val="bottom"/>
            <w:gridSpan w:val="4"/>
          </w:tcPr>
          <w:p>
            <w:pPr>
              <w:ind w:left="100"/>
              <w:spacing w:after="0" w:line="154" w:lineRule="exact"/>
              <w:rPr>
                <w:sz w:val="20"/>
                <w:szCs w:val="20"/>
                <w:color w:val="auto"/>
              </w:rPr>
            </w:pPr>
            <w:r>
              <w:rPr>
                <w:rFonts w:ascii="Times New Roman" w:cs="Times New Roman" w:eastAsia="Times New Roman" w:hAnsi="Times New Roman"/>
                <w:sz w:val="16"/>
                <w:szCs w:val="16"/>
                <w:color w:val="auto"/>
              </w:rPr>
              <w:t>Salts, Compositions,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PCT/EP2023/073122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6"/>
              </w:rPr>
              <w:t>Tryptamine</w:t>
            </w:r>
          </w:p>
        </w:tc>
        <w:tc>
          <w:tcPr>
            <w:tcW w:w="1020" w:type="dxa"/>
            <w:vAlign w:val="bottom"/>
            <w:gridSpan w:val="3"/>
          </w:tcPr>
          <w:p>
            <w:pPr>
              <w:ind w:left="140"/>
              <w:spacing w:after="0" w:line="154" w:lineRule="exact"/>
              <w:rPr>
                <w:sz w:val="20"/>
                <w:szCs w:val="20"/>
                <w:color w:val="auto"/>
              </w:rPr>
            </w:pPr>
            <w:r>
              <w:rPr>
                <w:rFonts w:ascii="Times New Roman" w:cs="Times New Roman" w:eastAsia="Times New Roman" w:hAnsi="Times New Roman"/>
                <w:sz w:val="16"/>
                <w:szCs w:val="16"/>
                <w:color w:val="auto"/>
              </w:rPr>
              <w:t>Compounds,</w:t>
            </w:r>
          </w:p>
        </w:tc>
        <w:tc>
          <w:tcPr>
            <w:tcW w:w="112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18/493,231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3"/>
          </w:tcPr>
          <w:p>
            <w:pPr>
              <w:jc w:val="center"/>
              <w:ind w:left="39"/>
              <w:spacing w:after="0" w:line="154" w:lineRule="exact"/>
              <w:rPr>
                <w:sz w:val="20"/>
                <w:szCs w:val="20"/>
                <w:color w:val="auto"/>
              </w:rPr>
            </w:pPr>
            <w:r>
              <w:rPr>
                <w:rFonts w:ascii="Times New Roman" w:cs="Times New Roman" w:eastAsia="Times New Roman" w:hAnsi="Times New Roman"/>
                <w:sz w:val="16"/>
                <w:szCs w:val="16"/>
                <w:color w:val="auto"/>
                <w:w w:val="99"/>
              </w:rPr>
              <w:t>Tryptamine</w:t>
            </w:r>
          </w:p>
        </w:tc>
        <w:tc>
          <w:tcPr>
            <w:tcW w:w="112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PCT/EP2023/080027</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06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w w:val="98"/>
              </w:rPr>
              <w:t>Phenethylamine</w:t>
            </w:r>
          </w:p>
        </w:tc>
        <w:tc>
          <w:tcPr>
            <w:tcW w:w="1020" w:type="dxa"/>
            <w:vAlign w:val="bottom"/>
            <w:gridSpan w:val="3"/>
          </w:tcPr>
          <w:p>
            <w:pPr>
              <w:ind w:left="160"/>
              <w:spacing w:after="0" w:line="154" w:lineRule="exact"/>
              <w:rPr>
                <w:sz w:val="20"/>
                <w:szCs w:val="20"/>
                <w:color w:val="auto"/>
              </w:rPr>
            </w:pPr>
            <w:r>
              <w:rPr>
                <w:rFonts w:ascii="Times New Roman" w:cs="Times New Roman" w:eastAsia="Times New Roman" w:hAnsi="Times New Roman"/>
                <w:sz w:val="16"/>
                <w:szCs w:val="16"/>
                <w:color w:val="auto"/>
              </w:rPr>
              <w:t>Compounds,</w:t>
            </w:r>
          </w:p>
        </w:tc>
        <w:tc>
          <w:tcPr>
            <w:tcW w:w="1120" w:type="dxa"/>
            <w:vAlign w:val="bottom"/>
            <w:tcBorders>
              <w:right w:val="single" w:sz="8" w:color="auto"/>
            </w:tcBorders>
            <w:gridSpan w:val="3"/>
          </w:tcPr>
          <w:p>
            <w:pPr>
              <w:jc w:val="right"/>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and Methods of Use</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63/599,483</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28</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18/561,152</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w w:val="99"/>
              </w:rPr>
              <w:t>Formulations of Psilocybin</w:t>
            </w: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29</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63/600,179</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Companion Animal Treatments</w:t>
            </w: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63/602,888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gridSpan w:val="2"/>
          </w:tcPr>
          <w:p>
            <w:pPr>
              <w:jc w:val="center"/>
              <w:ind w:right="59"/>
              <w:spacing w:after="0" w:line="150" w:lineRule="exact"/>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Disorders</w:t>
            </w:r>
          </w:p>
        </w:tc>
        <w:tc>
          <w:tcPr>
            <w:tcW w:w="30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63/603,262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gridSpan w:val="2"/>
          </w:tcPr>
          <w:p>
            <w:pPr>
              <w:jc w:val="center"/>
              <w:ind w:right="59"/>
              <w:spacing w:after="0" w:line="154" w:lineRule="exact"/>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Disorders</w:t>
            </w:r>
          </w:p>
        </w:tc>
        <w:tc>
          <w:tcPr>
            <w:tcW w:w="3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63/603,886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gridSpan w:val="2"/>
          </w:tcPr>
          <w:p>
            <w:pPr>
              <w:jc w:val="center"/>
              <w:ind w:right="59"/>
              <w:spacing w:after="0" w:line="154" w:lineRule="exact"/>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Disorders</w:t>
            </w:r>
          </w:p>
        </w:tc>
        <w:tc>
          <w:tcPr>
            <w:tcW w:w="3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26" w:right="339" w:bottom="983"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726" w:right="339" w:bottom="983" w:gutter="0" w:footer="0" w:header="0"/>
          <w:type w:val="continuous"/>
        </w:sectPr>
      </w:pPr>
    </w:p>
    <w:bookmarkStart w:id="58" w:name="page59"/>
    <w:bookmarkEnd w:id="5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170"/>
        </w:trPr>
        <w:tc>
          <w:tcPr>
            <w:tcW w:w="280" w:type="dxa"/>
            <w:vAlign w:val="bottom"/>
            <w:tcBorders>
              <w:top w:val="single" w:sz="8" w:color="auto"/>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33</w:t>
            </w:r>
          </w:p>
        </w:tc>
        <w:tc>
          <w:tcPr>
            <w:tcW w:w="13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18/576,487</w:t>
            </w:r>
          </w:p>
        </w:tc>
        <w:tc>
          <w:tcPr>
            <w:tcW w:w="9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0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rPr>
              <w:t>Integrated</w:t>
            </w:r>
          </w:p>
        </w:tc>
        <w:tc>
          <w:tcPr>
            <w:tcW w:w="2520" w:type="dxa"/>
            <w:vAlign w:val="bottom"/>
            <w:tcBorders>
              <w:top w:val="single" w:sz="8" w:color="auto"/>
              <w:right w:val="single" w:sz="8" w:color="auto"/>
            </w:tcBorders>
            <w:gridSpan w:val="4"/>
          </w:tcPr>
          <w:p>
            <w:pPr>
              <w:jc w:val="right"/>
              <w:spacing w:after="0" w:line="170" w:lineRule="exact"/>
              <w:rPr>
                <w:sz w:val="20"/>
                <w:szCs w:val="20"/>
                <w:color w:val="auto"/>
              </w:rPr>
            </w:pPr>
            <w:r>
              <w:rPr>
                <w:rFonts w:ascii="Times New Roman" w:cs="Times New Roman" w:eastAsia="Times New Roman" w:hAnsi="Times New Roman"/>
                <w:sz w:val="16"/>
                <w:szCs w:val="16"/>
                <w:color w:val="auto"/>
              </w:rPr>
              <w:t>Data Collection Devices for Use in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322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6"/>
                <w:szCs w:val="16"/>
                <w:color w:val="auto"/>
              </w:rPr>
              <w:t>Various Therapeutic and Wellness Applications</w:t>
            </w: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793553</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297492</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3177454</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NC2022/0016662</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Colombia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MX/a/2022/014605</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202203191</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Chile</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10-2022-7040243</w:t>
            </w:r>
          </w:p>
        </w:tc>
        <w:tc>
          <w:tcPr>
            <w:tcW w:w="9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Republic</w:t>
            </w:r>
          </w:p>
        </w:tc>
        <w:tc>
          <w:tcPr>
            <w:tcW w:w="200" w:type="dxa"/>
            <w:vAlign w:val="bottom"/>
            <w:tcBorders>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214"/>
        </w:trPr>
        <w:tc>
          <w:tcPr>
            <w:tcW w:w="2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320" w:type="dxa"/>
            <w:vAlign w:val="bottom"/>
            <w:tcBorders>
              <w:bottom w:val="single" w:sz="8" w:color="auto"/>
              <w:right w:val="single" w:sz="8" w:color="auto"/>
            </w:tcBorders>
            <w:vMerge w:val="continue"/>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Korea</w:t>
            </w:r>
          </w:p>
        </w:tc>
        <w:tc>
          <w:tcPr>
            <w:tcW w:w="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EP21808464.8</w:t>
            </w:r>
          </w:p>
        </w:tc>
        <w:tc>
          <w:tcPr>
            <w:tcW w:w="9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202180036163.3</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China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1120220235658</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Brazil</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2021276656</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11202254530T</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Singapore</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202213256</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2201007493</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Thailand</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1-2022-553135</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Philippines</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202227065770</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2022-571175</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62023078320.6</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Use</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3186357</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10-2023-7003815</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Korea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2021327136</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2023-512063</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21766581.9</w:t>
            </w:r>
          </w:p>
        </w:tc>
        <w:tc>
          <w:tcPr>
            <w:tcW w:w="9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62023079716.4</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3186359</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10-2023-7006128</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Korea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2021328671</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2023-512107</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21763068</w:t>
            </w:r>
          </w:p>
        </w:tc>
        <w:tc>
          <w:tcPr>
            <w:tcW w:w="9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62023079718</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5"/>
          </w:tcPr>
          <w:p>
            <w:pPr>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7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44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73"/>
        </w:trPr>
        <w:tc>
          <w:tcPr>
            <w:tcW w:w="280" w:type="dxa"/>
            <w:vAlign w:val="bottom"/>
            <w:tcBorders>
              <w:left w:val="single" w:sz="8" w:color="auto"/>
              <w:right w:val="single" w:sz="8" w:color="auto"/>
            </w:tcBorders>
            <w:vMerge w:val="restart"/>
          </w:tcPr>
          <w:p>
            <w:pPr>
              <w:jc w:val="right"/>
              <w:ind w:right="19"/>
              <w:spacing w:after="0" w:line="165" w:lineRule="exact"/>
              <w:rPr>
                <w:sz w:val="20"/>
                <w:szCs w:val="20"/>
                <w:color w:val="auto"/>
              </w:rPr>
            </w:pPr>
            <w:r>
              <w:rPr>
                <w:rFonts w:ascii="Times New Roman" w:cs="Times New Roman" w:eastAsia="Times New Roman" w:hAnsi="Times New Roman"/>
                <w:sz w:val="16"/>
                <w:szCs w:val="16"/>
                <w:color w:val="auto"/>
                <w:w w:val="99"/>
              </w:rPr>
              <w:t>64</w:t>
            </w:r>
          </w:p>
        </w:tc>
        <w:tc>
          <w:tcPr>
            <w:tcW w:w="1320" w:type="dxa"/>
            <w:vAlign w:val="bottom"/>
            <w:tcBorders>
              <w:right w:val="single" w:sz="8" w:color="auto"/>
            </w:tcBorders>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21786852</w:t>
            </w:r>
          </w:p>
        </w:tc>
        <w:tc>
          <w:tcPr>
            <w:tcW w:w="900" w:type="dxa"/>
            <w:vAlign w:val="bottom"/>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Pending</w:t>
            </w:r>
          </w:p>
        </w:tc>
        <w:tc>
          <w:tcPr>
            <w:tcW w:w="1140" w:type="dxa"/>
            <w:vAlign w:val="bottom"/>
            <w:gridSpan w:val="2"/>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Medications  By</w:t>
            </w:r>
          </w:p>
        </w:tc>
        <w:tc>
          <w:tcPr>
            <w:tcW w:w="780" w:type="dxa"/>
            <w:vAlign w:val="bottom"/>
            <w:vMerge w:val="restart"/>
          </w:tcPr>
          <w:p>
            <w:pPr>
              <w:jc w:val="center"/>
              <w:spacing w:after="0" w:line="165"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vMerge w:val="restart"/>
          </w:tcPr>
          <w:p>
            <w:pPr>
              <w:ind w:left="40"/>
              <w:spacing w:after="0" w:line="165"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vMerge w:val="restart"/>
          </w:tcPr>
          <w:p>
            <w:pPr>
              <w:jc w:val="right"/>
              <w:spacing w:after="0" w:line="165"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93"/>
        </w:trPr>
        <w:tc>
          <w:tcPr>
            <w:tcW w:w="28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80" w:type="dxa"/>
            <w:vAlign w:val="bottom"/>
            <w:tcBorders>
              <w:left w:val="single" w:sz="8" w:color="auto"/>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9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tcBorders>
            <w:gridSpan w:val="3"/>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10-2023-7007858</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Korea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Methods</w:t>
            </w:r>
          </w:p>
        </w:tc>
        <w:tc>
          <w:tcPr>
            <w:tcW w:w="440" w:type="dxa"/>
            <w:vAlign w:val="bottom"/>
          </w:tcPr>
          <w:p>
            <w:pPr>
              <w:ind w:left="100"/>
              <w:spacing w:after="0" w:line="150"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0"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14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Medications  By</w:t>
            </w: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2021354006</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Methods</w:t>
            </w:r>
          </w:p>
        </w:tc>
        <w:tc>
          <w:tcPr>
            <w:tcW w:w="440" w:type="dxa"/>
            <w:vAlign w:val="bottom"/>
          </w:tcPr>
          <w:p>
            <w:pPr>
              <w:ind w:left="100"/>
              <w:spacing w:after="0" w:line="150"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0"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14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Medications  By</w:t>
            </w: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2023-519831</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Methods</w:t>
            </w:r>
          </w:p>
        </w:tc>
        <w:tc>
          <w:tcPr>
            <w:tcW w:w="440" w:type="dxa"/>
            <w:vAlign w:val="bottom"/>
          </w:tcPr>
          <w:p>
            <w:pPr>
              <w:ind w:left="100"/>
              <w:spacing w:after="0" w:line="150"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0"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14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Medications  By</w:t>
            </w: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3194558</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Methods</w:t>
            </w:r>
          </w:p>
        </w:tc>
        <w:tc>
          <w:tcPr>
            <w:tcW w:w="440" w:type="dxa"/>
            <w:vAlign w:val="bottom"/>
          </w:tcPr>
          <w:p>
            <w:pPr>
              <w:ind w:left="100"/>
              <w:spacing w:after="0" w:line="150"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0"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14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Medications  By</w:t>
            </w: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62023079720.6</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Methods</w:t>
            </w:r>
          </w:p>
        </w:tc>
        <w:tc>
          <w:tcPr>
            <w:tcW w:w="440" w:type="dxa"/>
            <w:vAlign w:val="bottom"/>
          </w:tcPr>
          <w:p>
            <w:pPr>
              <w:ind w:left="100"/>
              <w:spacing w:after="0" w:line="150"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0"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14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Medications  By</w:t>
            </w: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802136</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Psilocybin</w:t>
            </w:r>
          </w:p>
        </w:tc>
        <w:tc>
          <w:tcPr>
            <w:tcW w:w="2520" w:type="dxa"/>
            <w:vAlign w:val="bottom"/>
            <w:tcBorders>
              <w:right w:val="single" w:sz="8" w:color="auto"/>
            </w:tcBorders>
            <w:gridSpan w:val="4"/>
          </w:tcPr>
          <w:p>
            <w:pPr>
              <w:jc w:val="right"/>
              <w:spacing w:after="0" w:line="150" w:lineRule="exact"/>
              <w:rPr>
                <w:sz w:val="20"/>
                <w:szCs w:val="20"/>
                <w:color w:val="auto"/>
              </w:rPr>
            </w:pPr>
            <w:r>
              <w:rPr>
                <w:rFonts w:ascii="Times New Roman" w:cs="Times New Roman" w:eastAsia="Times New Roman" w:hAnsi="Times New Roman"/>
                <w:sz w:val="16"/>
                <w:szCs w:val="16"/>
                <w:color w:val="auto"/>
              </w:rPr>
              <w:t>Analogs, Salts,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305457</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2520" w:type="dxa"/>
            <w:vAlign w:val="bottom"/>
            <w:tcBorders>
              <w:right w:val="single" w:sz="8" w:color="auto"/>
            </w:tcBorders>
            <w:gridSpan w:val="4"/>
          </w:tcPr>
          <w:p>
            <w:pPr>
              <w:jc w:val="right"/>
              <w:spacing w:after="0" w:line="154" w:lineRule="exact"/>
              <w:rPr>
                <w:sz w:val="20"/>
                <w:szCs w:val="20"/>
                <w:color w:val="auto"/>
              </w:rPr>
            </w:pPr>
            <w:r>
              <w:rPr>
                <w:rFonts w:ascii="Times New Roman" w:cs="Times New Roman" w:eastAsia="Times New Roman" w:hAnsi="Times New Roman"/>
                <w:sz w:val="16"/>
                <w:szCs w:val="16"/>
                <w:color w:val="auto"/>
              </w:rPr>
              <w:t>Analogs, Salts,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 w:right="1440" w:bottom="17"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019"/>
          </w:cols>
          <w:pgMar w:left="1440" w:top="349" w:right="1440"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170"/>
        </w:trPr>
        <w:tc>
          <w:tcPr>
            <w:tcW w:w="3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72</w:t>
            </w:r>
          </w:p>
        </w:tc>
        <w:tc>
          <w:tcPr>
            <w:tcW w:w="13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3212563</w:t>
            </w:r>
          </w:p>
        </w:tc>
        <w:tc>
          <w:tcPr>
            <w:tcW w:w="8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2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Borders>
              <w:top w:val="single" w:sz="8" w:color="auto"/>
            </w:tcBorders>
          </w:tcPr>
          <w:p>
            <w:pPr>
              <w:ind w:left="20"/>
              <w:spacing w:after="0" w:line="170"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Borders>
              <w:top w:val="single" w:sz="8" w:color="auto"/>
            </w:tcBorders>
            <w:gridSpan w:val="2"/>
          </w:tcPr>
          <w:p>
            <w:pPr>
              <w:spacing w:after="0" w:line="170"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Borders>
              <w:top w:val="single" w:sz="8" w:color="auto"/>
            </w:tcBorders>
          </w:tcPr>
          <w:p>
            <w:pPr>
              <w:ind w:left="60"/>
              <w:spacing w:after="0" w:line="170"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tcBorders>
              <w:top w:val="single" w:sz="8" w:color="auto"/>
            </w:tcBorders>
            <w:gridSpan w:val="2"/>
          </w:tcPr>
          <w:p>
            <w:pPr>
              <w:spacing w:after="0" w:line="170"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top w:val="single" w:sz="8" w:color="auto"/>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NC2023/0013714</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Columbia</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MX/a/2023/010843</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202302731</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Chile</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10-2023-7032581</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22716857.2</w:t>
            </w:r>
          </w:p>
        </w:tc>
        <w:tc>
          <w:tcPr>
            <w:tcW w:w="88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European</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8"/>
              </w:rPr>
              <w:t>Patent Office</w:t>
            </w: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202280022029.2</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1120230188946</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2022239825</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11202305618U</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Singapore</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202309486</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South Africa</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2301005753</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Thailand</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1-2023-552572</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202327063524</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2023-556906</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87</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2022277515</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88</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3216799</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22729558.1</w:t>
            </w:r>
          </w:p>
        </w:tc>
        <w:tc>
          <w:tcPr>
            <w:tcW w:w="88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8"/>
              </w:rPr>
              <w:t>Patent Office</w:t>
            </w: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920" w:type="dxa"/>
            <w:vAlign w:val="bottom"/>
            <w:gridSpan w:val="4"/>
            <w:vMerge w:val="continue"/>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90</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202327074210</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91</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2023-571283</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92</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10-2023-7041239</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93</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2022342266</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94</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1120220089198</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95</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3160334</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202291378</w:t>
            </w:r>
          </w:p>
        </w:tc>
        <w:tc>
          <w:tcPr>
            <w:tcW w:w="1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Organization</w:t>
            </w:r>
          </w:p>
        </w:tc>
        <w:tc>
          <w:tcPr>
            <w:tcW w:w="2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97</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202217028822</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98</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2022-526074</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10-2023-7033500</w:t>
            </w:r>
          </w:p>
        </w:tc>
        <w:tc>
          <w:tcPr>
            <w:tcW w:w="88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Republic</w:t>
            </w:r>
          </w:p>
        </w:tc>
        <w:tc>
          <w:tcPr>
            <w:tcW w:w="2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320" w:type="dxa"/>
            <w:vAlign w:val="bottom"/>
            <w:tcBorders>
              <w:bottom w:val="single" w:sz="8" w:color="auto"/>
              <w:right w:val="single" w:sz="8" w:color="auto"/>
            </w:tcBorders>
            <w:vMerge w:val="continue"/>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22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18/152,465</w:t>
            </w:r>
          </w:p>
        </w:tc>
        <w:tc>
          <w:tcPr>
            <w:tcW w:w="1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United States 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2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17/804,338</w:t>
            </w:r>
          </w:p>
        </w:tc>
        <w:tc>
          <w:tcPr>
            <w:tcW w:w="1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United States 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8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1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2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110143066</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Taiwan</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Deuterated Compounds</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2021391581</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340" w:type="dxa"/>
            <w:vAlign w:val="bottom"/>
          </w:tcPr>
          <w:p>
            <w:pPr>
              <w:ind w:left="12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780" w:type="dxa"/>
            <w:vAlign w:val="bottom"/>
            <w:gridSpan w:val="2"/>
          </w:tcPr>
          <w:p>
            <w:pPr>
              <w:ind w:left="10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9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gridSpan w:val="2"/>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2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tcBorders>
            <w:gridSpan w:val="5"/>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3203020</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40" w:type="dxa"/>
            <w:vAlign w:val="bottom"/>
          </w:tcPr>
          <w:p>
            <w:pPr>
              <w:ind w:left="1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8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9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gridSpan w:val="2"/>
          </w:tcPr>
          <w:p>
            <w:pPr>
              <w:ind w:left="40"/>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2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tcBorders>
            <w:gridSpan w:val="5"/>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202180090269.1</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40" w:type="dxa"/>
            <w:vAlign w:val="bottom"/>
          </w:tcPr>
          <w:p>
            <w:pPr>
              <w:ind w:left="1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8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9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gridSpan w:val="2"/>
          </w:tcPr>
          <w:p>
            <w:pPr>
              <w:ind w:left="40"/>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2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tcBorders>
            <w:gridSpan w:val="5"/>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23198784.3</w:t>
            </w:r>
          </w:p>
        </w:tc>
        <w:tc>
          <w:tcPr>
            <w:tcW w:w="88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European</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40" w:type="dxa"/>
            <w:vAlign w:val="bottom"/>
          </w:tcPr>
          <w:p>
            <w:pPr>
              <w:ind w:left="1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8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9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gridSpan w:val="2"/>
          </w:tcPr>
          <w:p>
            <w:pPr>
              <w:ind w:left="40"/>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8"/>
              </w:rPr>
              <w:t>Patent Office</w:t>
            </w: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2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tcBorders>
            <w:gridSpan w:val="5"/>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40078818</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22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40" w:type="dxa"/>
            <w:vAlign w:val="bottom"/>
          </w:tcPr>
          <w:p>
            <w:pPr>
              <w:ind w:left="1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8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9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gridSpan w:val="2"/>
          </w:tcPr>
          <w:p>
            <w:pPr>
              <w:ind w:left="40"/>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2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tcBorders>
            <w:gridSpan w:val="5"/>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726" w:right="1440"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139"/>
          </w:cols>
          <w:pgMar w:left="320" w:top="726" w:right="1440" w:bottom="1440" w:gutter="0" w:footer="0" w:header="0"/>
          <w:type w:val="continuous"/>
        </w:sectPr>
      </w:pPr>
    </w:p>
    <w:bookmarkStart w:id="62" w:name="page63"/>
    <w:bookmarkEnd w:id="62"/>
    <w:tbl>
      <w:tblPr>
        <w:tblLayout w:type="fixed"/>
        <w:tblInd w:w="10" w:type="dxa"/>
        <w:tblCellMar>
          <w:top w:w="0" w:type="dxa"/>
          <w:left w:w="0" w:type="dxa"/>
          <w:bottom w:w="0" w:type="dxa"/>
          <w:right w:w="0" w:type="dxa"/>
        </w:tblCellMar>
      </w:tblPr>
      <w:tr>
        <w:trPr>
          <w:trHeight w:val="170"/>
        </w:trPr>
        <w:tc>
          <w:tcPr>
            <w:tcW w:w="3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44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202317043169</w:t>
            </w:r>
          </w:p>
        </w:tc>
        <w:tc>
          <w:tcPr>
            <w:tcW w:w="6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rPr>
              <w:t>Deuterated</w:t>
            </w:r>
          </w:p>
        </w:tc>
        <w:tc>
          <w:tcPr>
            <w:tcW w:w="300" w:type="dxa"/>
            <w:vAlign w:val="bottom"/>
            <w:tcBorders>
              <w:top w:val="single" w:sz="8" w:color="auto"/>
            </w:tcBorders>
          </w:tcPr>
          <w:p>
            <w:pPr>
              <w:ind w:left="80"/>
              <w:spacing w:after="0" w:line="170"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Borders>
              <w:top w:val="single" w:sz="8" w:color="auto"/>
            </w:tcBorders>
          </w:tcPr>
          <w:p>
            <w:pPr>
              <w:ind w:left="100"/>
              <w:spacing w:after="0" w:line="170" w:lineRule="exact"/>
              <w:rPr>
                <w:sz w:val="20"/>
                <w:szCs w:val="20"/>
                <w:color w:val="auto"/>
              </w:rPr>
            </w:pPr>
            <w:r>
              <w:rPr>
                <w:rFonts w:ascii="Times New Roman" w:cs="Times New Roman" w:eastAsia="Times New Roman" w:hAnsi="Times New Roman"/>
                <w:sz w:val="16"/>
                <w:szCs w:val="16"/>
                <w:color w:val="auto"/>
              </w:rPr>
              <w:t>Partially</w:t>
            </w:r>
          </w:p>
        </w:tc>
        <w:tc>
          <w:tcPr>
            <w:tcW w:w="880" w:type="dxa"/>
            <w:vAlign w:val="bottom"/>
            <w:tcBorders>
              <w:top w:val="single" w:sz="8" w:color="auto"/>
            </w:tcBorders>
          </w:tcPr>
          <w:p>
            <w:pPr>
              <w:ind w:left="80"/>
              <w:spacing w:after="0" w:line="170"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top w:val="single" w:sz="8" w:color="auto"/>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27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tcBorders>
            <w:gridSpan w:val="4"/>
            <w:vMerge w:val="continue"/>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303288</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0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88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ind w:left="80"/>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27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tcBorders>
            <w:gridSpan w:val="4"/>
            <w:vMerge w:val="continue"/>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110</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2023-533243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0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88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ind w:left="80"/>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27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tcBorders>
            <w:gridSpan w:val="4"/>
            <w:vMerge w:val="continue"/>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111</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800961</w:t>
            </w: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0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88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ind w:left="80"/>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gridSpan w:val="2"/>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27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tcBorders>
            <w:gridSpan w:val="4"/>
            <w:vMerge w:val="continue"/>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112</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18/163,388</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2720" w:type="dxa"/>
            <w:vAlign w:val="bottom"/>
            <w:tcBorders>
              <w:bottom w:val="single" w:sz="8" w:color="auto"/>
            </w:tcBorders>
            <w:gridSpan w:val="4"/>
          </w:tcPr>
          <w:p>
            <w:pPr>
              <w:spacing w:after="0" w:line="133" w:lineRule="exact"/>
              <w:rPr>
                <w:sz w:val="20"/>
                <w:szCs w:val="20"/>
                <w:color w:val="auto"/>
              </w:rPr>
            </w:pPr>
            <w:r>
              <w:rPr>
                <w:rFonts w:ascii="Times New Roman" w:cs="Times New Roman" w:eastAsia="Times New Roman" w:hAnsi="Times New Roman"/>
                <w:sz w:val="15"/>
                <w:szCs w:val="15"/>
                <w:color w:val="auto"/>
              </w:rPr>
              <w:t>Dimethyltryptamine Compounds</w:t>
            </w: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113</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21 816489.5</w:t>
            </w:r>
          </w:p>
        </w:tc>
        <w:tc>
          <w:tcPr>
            <w:tcW w:w="62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w w:val="97"/>
              </w:rPr>
              <w:t>European</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Inhalable Formulations</w:t>
            </w:r>
          </w:p>
        </w:tc>
        <w:tc>
          <w:tcPr>
            <w:tcW w:w="88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gridSpan w:val="2"/>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114</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18/252,949</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Inhalable Formulations</w:t>
            </w:r>
          </w:p>
        </w:tc>
        <w:tc>
          <w:tcPr>
            <w:tcW w:w="8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115</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18/056,771</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116</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PCT/EP2022/082486</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3179335</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118</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202180044031.5</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119</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202390295</w:t>
            </w:r>
          </w:p>
        </w:tc>
        <w:tc>
          <w:tcPr>
            <w:tcW w:w="1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Organization</w:t>
            </w: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120</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21769080.9</w:t>
            </w:r>
          </w:p>
        </w:tc>
        <w:tc>
          <w:tcPr>
            <w:tcW w:w="62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w w:val="97"/>
              </w:rPr>
              <w:t>European</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gridSpan w:val="2"/>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121</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62023077767.9</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122</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202317008543</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123</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298129</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124</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PI 2023000584</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Malaysia</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125</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MX/a/2022/014128</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Mexico</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126</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793361</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127</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10-2022-7042030</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Republic</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Korea</w:t>
            </w:r>
          </w:p>
        </w:tc>
        <w:tc>
          <w:tcPr>
            <w:tcW w:w="46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128</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11202300697X</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Singapore</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129</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2023/01086</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130</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17/806,526</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Formulations</w:t>
            </w:r>
          </w:p>
        </w:tc>
        <w:tc>
          <w:tcPr>
            <w:tcW w:w="8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131</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63/488,613</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132</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63/488,628</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133</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63/493,428</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134</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63/513,140</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135</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63/585,000</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136</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PCT/EP2023/078480</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137</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PCT/EP2024/051569</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138</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202080087092.5</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139</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22214748</w:t>
            </w:r>
          </w:p>
        </w:tc>
        <w:tc>
          <w:tcPr>
            <w:tcW w:w="62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w w:val="97"/>
              </w:rPr>
              <w:t>European</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8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gridSpan w:val="2"/>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139"/>
          </w:cols>
          <w:pgMar w:left="320" w:top="726" w:right="1440"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218"/>
        </w:trPr>
        <w:tc>
          <w:tcPr>
            <w:tcW w:w="320" w:type="dxa"/>
            <w:vAlign w:val="bottom"/>
            <w:tcBorders>
              <w:top w:val="single" w:sz="8" w:color="auto"/>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140</w:t>
            </w:r>
          </w:p>
        </w:tc>
        <w:tc>
          <w:tcPr>
            <w:tcW w:w="1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202217028688</w:t>
            </w:r>
          </w:p>
        </w:tc>
        <w:tc>
          <w:tcPr>
            <w:tcW w:w="11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60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Method of Synthesis</w:t>
            </w:r>
          </w:p>
        </w:tc>
        <w:tc>
          <w:tcPr>
            <w:tcW w:w="2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141</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292754</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Method of Synthesis</w:t>
            </w: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142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21203394.8</w:t>
            </w:r>
          </w:p>
        </w:tc>
        <w:tc>
          <w:tcPr>
            <w:tcW w:w="110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44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Solid</w:t>
            </w:r>
          </w:p>
        </w:tc>
        <w:tc>
          <w:tcPr>
            <w:tcW w:w="62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6"/>
                <w:szCs w:val="16"/>
                <w:color w:val="auto"/>
              </w:rPr>
              <w:t>Oral</w:t>
            </w:r>
          </w:p>
        </w:tc>
        <w:tc>
          <w:tcPr>
            <w:tcW w:w="5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Dosage</w:t>
            </w:r>
          </w:p>
        </w:tc>
        <w:tc>
          <w:tcPr>
            <w:tcW w:w="600" w:type="dxa"/>
            <w:vAlign w:val="bottom"/>
            <w:gridSpan w:val="2"/>
          </w:tcPr>
          <w:p>
            <w:pPr>
              <w:ind w:left="160"/>
              <w:spacing w:after="0" w:line="150" w:lineRule="exact"/>
              <w:rPr>
                <w:sz w:val="20"/>
                <w:szCs w:val="20"/>
                <w:color w:val="auto"/>
              </w:rPr>
            </w:pPr>
            <w:r>
              <w:rPr>
                <w:rFonts w:ascii="Times New Roman" w:cs="Times New Roman" w:eastAsia="Times New Roman" w:hAnsi="Times New Roman"/>
                <w:sz w:val="16"/>
                <w:szCs w:val="16"/>
                <w:color w:val="auto"/>
              </w:rPr>
              <w:t>Forms</w:t>
            </w:r>
          </w:p>
        </w:tc>
        <w:tc>
          <w:tcPr>
            <w:tcW w:w="500" w:type="dxa"/>
            <w:vAlign w:val="bottom"/>
          </w:tcPr>
          <w:p>
            <w:pPr>
              <w:ind w:left="180"/>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54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w w:val="98"/>
              </w:rPr>
              <w:t>2R,6R-</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1"/>
                <w:szCs w:val="11"/>
                <w:color w:val="auto"/>
              </w:rPr>
            </w:pPr>
          </w:p>
        </w:tc>
        <w:tc>
          <w:tcPr>
            <w:tcW w:w="3240" w:type="dxa"/>
            <w:vAlign w:val="bottom"/>
            <w:tcBorders>
              <w:right w:val="single" w:sz="8" w:color="auto"/>
            </w:tcBorders>
            <w:gridSpan w:val="8"/>
            <w:vMerge w:val="restart"/>
          </w:tcPr>
          <w:p>
            <w:pPr>
              <w:ind w:left="20"/>
              <w:spacing w:after="0"/>
              <w:rPr>
                <w:sz w:val="20"/>
                <w:szCs w:val="20"/>
                <w:color w:val="auto"/>
              </w:rPr>
            </w:pPr>
            <w:r>
              <w:rPr>
                <w:rFonts w:ascii="Times New Roman" w:cs="Times New Roman" w:eastAsia="Times New Roman" w:hAnsi="Times New Roman"/>
                <w:sz w:val="16"/>
                <w:szCs w:val="16"/>
                <w:color w:val="auto"/>
              </w:rPr>
              <w:t>Hydroxynorketamine or Derivatives Thereof</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143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3076103</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4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Solid</w:t>
            </w:r>
          </w:p>
        </w:tc>
        <w:tc>
          <w:tcPr>
            <w:tcW w:w="38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w w:val="91"/>
              </w:rPr>
              <w:t>Oral</w:t>
            </w:r>
          </w:p>
        </w:tc>
        <w:tc>
          <w:tcPr>
            <w:tcW w:w="78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6"/>
                <w:szCs w:val="16"/>
                <w:color w:val="auto"/>
              </w:rPr>
              <w:t>Dosage</w:t>
            </w:r>
          </w:p>
        </w:tc>
        <w:tc>
          <w:tcPr>
            <w:tcW w:w="60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6"/>
                <w:szCs w:val="16"/>
                <w:color w:val="auto"/>
              </w:rPr>
              <w:t>Forms</w:t>
            </w:r>
          </w:p>
        </w:tc>
        <w:tc>
          <w:tcPr>
            <w:tcW w:w="1040" w:type="dxa"/>
            <w:vAlign w:val="bottom"/>
            <w:tcBorders>
              <w:right w:val="single" w:sz="8" w:color="auto"/>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auto"/>
              </w:rPr>
              <w:t>of  Ketamine</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gridSpan w:val="2"/>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144</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18/193,866</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 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Synthesis</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218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color w:val="auto"/>
              </w:rPr>
              <w:t>N,N-Dimethyltryptamine-Type</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1260" w:type="dxa"/>
            <w:vAlign w:val="bottom"/>
            <w:tcBorders>
              <w:bottom w:val="single" w:sz="8" w:color="auto"/>
              <w:right w:val="single" w:sz="8" w:color="auto"/>
            </w:tcBorders>
          </w:tcPr>
          <w:p>
            <w:pPr>
              <w:spacing w:after="0"/>
              <w:rPr>
                <w:sz w:val="11"/>
                <w:szCs w:val="11"/>
                <w:color w:val="auto"/>
              </w:rPr>
            </w:pPr>
          </w:p>
        </w:tc>
        <w:tc>
          <w:tcPr>
            <w:tcW w:w="2200" w:type="dxa"/>
            <w:vAlign w:val="bottom"/>
            <w:tcBorders>
              <w:bottom w:val="single" w:sz="8" w:color="auto"/>
            </w:tcBorders>
            <w:gridSpan w:val="6"/>
          </w:tcPr>
          <w:p>
            <w:pPr>
              <w:ind w:left="20"/>
              <w:spacing w:after="0" w:line="133" w:lineRule="exact"/>
              <w:rPr>
                <w:sz w:val="20"/>
                <w:szCs w:val="20"/>
                <w:color w:val="auto"/>
              </w:rPr>
            </w:pPr>
            <w:r>
              <w:rPr>
                <w:rFonts w:ascii="Times New Roman" w:cs="Times New Roman" w:eastAsia="Times New Roman" w:hAnsi="Times New Roman"/>
                <w:sz w:val="15"/>
                <w:szCs w:val="15"/>
                <w:color w:val="auto"/>
              </w:rPr>
              <w:t>Compounds, Methods, and Uses</w:t>
            </w:r>
          </w:p>
        </w:tc>
        <w:tc>
          <w:tcPr>
            <w:tcW w:w="50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145</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42021035588.9</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Therapeutic Compositions</w:t>
            </w: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146</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42022049384.5</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Therapeutic Compositions</w:t>
            </w: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147</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110119792</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Taiwan</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Therapeutic Compositions</w:t>
            </w: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148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1120220245661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149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202180046463.X</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202293451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continue"/>
          </w:tcPr>
          <w:p>
            <w:pPr>
              <w:spacing w:after="0"/>
              <w:rPr>
                <w:sz w:val="13"/>
                <w:szCs w:val="13"/>
                <w:color w:val="auto"/>
              </w:rPr>
            </w:pPr>
          </w:p>
        </w:tc>
        <w:tc>
          <w:tcPr>
            <w:tcW w:w="1320" w:type="dxa"/>
            <w:vAlign w:val="bottom"/>
            <w:tcBorders>
              <w:right w:val="single" w:sz="8" w:color="auto"/>
            </w:tcBorders>
            <w:vMerge w:val="continue"/>
          </w:tcPr>
          <w:p>
            <w:pPr>
              <w:spacing w:after="0"/>
              <w:rPr>
                <w:sz w:val="13"/>
                <w:szCs w:val="13"/>
                <w:color w:val="auto"/>
              </w:rPr>
            </w:pPr>
          </w:p>
        </w:tc>
        <w:tc>
          <w:tcPr>
            <w:tcW w:w="1100" w:type="dxa"/>
            <w:vAlign w:val="bottom"/>
            <w:tcBorders>
              <w:right w:val="single" w:sz="8" w:color="auto"/>
            </w:tcBorders>
            <w:vMerge w:val="continue"/>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8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3"/>
                <w:szCs w:val="13"/>
                <w:color w:val="auto"/>
              </w:rPr>
            </w:pPr>
          </w:p>
        </w:tc>
        <w:tc>
          <w:tcPr>
            <w:tcW w:w="82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70"/>
        </w:trPr>
        <w:tc>
          <w:tcPr>
            <w:tcW w:w="32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6"/>
                <w:szCs w:val="16"/>
                <w:color w:val="auto"/>
              </w:rPr>
              <w:t>Organization</w:t>
            </w:r>
          </w:p>
        </w:tc>
        <w:tc>
          <w:tcPr>
            <w:tcW w:w="1260" w:type="dxa"/>
            <w:vAlign w:val="bottom"/>
            <w:tcBorders>
              <w:right w:val="single" w:sz="8" w:color="auto"/>
            </w:tcBorders>
          </w:tcPr>
          <w:p>
            <w:pPr>
              <w:spacing w:after="0"/>
              <w:rPr>
                <w:sz w:val="14"/>
                <w:szCs w:val="14"/>
                <w:color w:val="auto"/>
              </w:rPr>
            </w:pPr>
          </w:p>
        </w:tc>
        <w:tc>
          <w:tcPr>
            <w:tcW w:w="22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gridSpan w:val="6"/>
            <w:vMerge w:val="continue"/>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42023070531.1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202217076779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298541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MX/a/2022/014900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2020286709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1120210243330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3142290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202080050439.9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202193338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continue"/>
          </w:tcPr>
          <w:p>
            <w:pPr>
              <w:spacing w:after="0"/>
              <w:rPr>
                <w:sz w:val="13"/>
                <w:szCs w:val="13"/>
                <w:color w:val="auto"/>
              </w:rPr>
            </w:pPr>
          </w:p>
        </w:tc>
        <w:tc>
          <w:tcPr>
            <w:tcW w:w="1320" w:type="dxa"/>
            <w:vAlign w:val="bottom"/>
            <w:tcBorders>
              <w:right w:val="single" w:sz="8" w:color="auto"/>
            </w:tcBorders>
            <w:vMerge w:val="continue"/>
          </w:tcPr>
          <w:p>
            <w:pPr>
              <w:spacing w:after="0"/>
              <w:rPr>
                <w:sz w:val="13"/>
                <w:szCs w:val="13"/>
                <w:color w:val="auto"/>
              </w:rPr>
            </w:pPr>
          </w:p>
        </w:tc>
        <w:tc>
          <w:tcPr>
            <w:tcW w:w="1100" w:type="dxa"/>
            <w:vAlign w:val="bottom"/>
            <w:tcBorders>
              <w:right w:val="single" w:sz="8" w:color="auto"/>
            </w:tcBorders>
            <w:vMerge w:val="continue"/>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8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3"/>
                <w:szCs w:val="13"/>
                <w:color w:val="auto"/>
              </w:rPr>
            </w:pPr>
          </w:p>
        </w:tc>
        <w:tc>
          <w:tcPr>
            <w:tcW w:w="82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70"/>
        </w:trPr>
        <w:tc>
          <w:tcPr>
            <w:tcW w:w="32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6"/>
                <w:szCs w:val="16"/>
                <w:color w:val="auto"/>
              </w:rPr>
              <w:t>Organization</w:t>
            </w:r>
          </w:p>
        </w:tc>
        <w:tc>
          <w:tcPr>
            <w:tcW w:w="1260" w:type="dxa"/>
            <w:vAlign w:val="bottom"/>
            <w:tcBorders>
              <w:right w:val="single" w:sz="8" w:color="auto"/>
            </w:tcBorders>
          </w:tcPr>
          <w:p>
            <w:pPr>
              <w:spacing w:after="0"/>
              <w:rPr>
                <w:sz w:val="14"/>
                <w:szCs w:val="14"/>
                <w:color w:val="auto"/>
              </w:rPr>
            </w:pPr>
          </w:p>
        </w:tc>
        <w:tc>
          <w:tcPr>
            <w:tcW w:w="22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gridSpan w:val="6"/>
            <w:vMerge w:val="continue"/>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1260" w:type="dxa"/>
            <w:vAlign w:val="bottom"/>
            <w:tcBorders>
              <w:right w:val="single" w:sz="8" w:color="auto"/>
            </w:tcBorders>
          </w:tcPr>
          <w:p>
            <w:pPr>
              <w:spacing w:after="0"/>
              <w:rPr>
                <w:sz w:val="13"/>
                <w:szCs w:val="13"/>
                <w:color w:val="auto"/>
              </w:rPr>
            </w:pP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Pr>
          <w:p>
            <w:pPr>
              <w:spacing w:after="0"/>
              <w:rPr>
                <w:sz w:val="13"/>
                <w:szCs w:val="13"/>
                <w:color w:val="auto"/>
              </w:rPr>
            </w:pP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73"/>
        </w:trPr>
        <w:tc>
          <w:tcPr>
            <w:tcW w:w="320" w:type="dxa"/>
            <w:vAlign w:val="bottom"/>
            <w:tcBorders>
              <w:left w:val="single" w:sz="8" w:color="auto"/>
              <w:right w:val="single" w:sz="8" w:color="auto"/>
            </w:tcBorders>
            <w:vMerge w:val="restart"/>
          </w:tcPr>
          <w:p>
            <w:pPr>
              <w:jc w:val="right"/>
              <w:spacing w:after="0" w:line="165" w:lineRule="exact"/>
              <w:rPr>
                <w:sz w:val="20"/>
                <w:szCs w:val="20"/>
                <w:color w:val="auto"/>
              </w:rPr>
            </w:pPr>
            <w:r>
              <w:rPr>
                <w:rFonts w:ascii="Times New Roman" w:cs="Times New Roman" w:eastAsia="Times New Roman" w:hAnsi="Times New Roman"/>
                <w:sz w:val="16"/>
                <w:szCs w:val="16"/>
                <w:color w:val="auto"/>
                <w:w w:val="99"/>
              </w:rPr>
              <w:t>160</w:t>
            </w:r>
          </w:p>
        </w:tc>
        <w:tc>
          <w:tcPr>
            <w:tcW w:w="1320" w:type="dxa"/>
            <w:vAlign w:val="bottom"/>
            <w:tcBorders>
              <w:right w:val="single" w:sz="8" w:color="auto"/>
            </w:tcBorders>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22173907.1</w:t>
            </w:r>
          </w:p>
        </w:tc>
        <w:tc>
          <w:tcPr>
            <w:tcW w:w="1100" w:type="dxa"/>
            <w:vAlign w:val="bottom"/>
            <w:tcBorders>
              <w:right w:val="single" w:sz="8" w:color="auto"/>
            </w:tcBorders>
            <w:vMerge w:val="continue"/>
          </w:tcPr>
          <w:p>
            <w:pPr>
              <w:spacing w:after="0"/>
              <w:rPr>
                <w:sz w:val="6"/>
                <w:szCs w:val="6"/>
                <w:color w:val="auto"/>
              </w:rPr>
            </w:pPr>
          </w:p>
        </w:tc>
        <w:tc>
          <w:tcPr>
            <w:tcW w:w="1260" w:type="dxa"/>
            <w:vAlign w:val="bottom"/>
            <w:tcBorders>
              <w:right w:val="single" w:sz="8" w:color="auto"/>
            </w:tcBorders>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vMerge w:val="restart"/>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restart"/>
          </w:tcPr>
          <w:p>
            <w:pPr>
              <w:ind w:left="100"/>
              <w:spacing w:after="0" w:line="165" w:lineRule="exact"/>
              <w:rPr>
                <w:sz w:val="20"/>
                <w:szCs w:val="20"/>
                <w:color w:val="auto"/>
              </w:rPr>
            </w:pPr>
            <w:r>
              <w:rPr>
                <w:rFonts w:ascii="Times New Roman" w:cs="Times New Roman" w:eastAsia="Times New Roman" w:hAnsi="Times New Roman"/>
                <w:sz w:val="16"/>
                <w:szCs w:val="16"/>
                <w:color w:val="auto"/>
                <w:w w:val="89"/>
              </w:rPr>
              <w:t>or</w:t>
            </w:r>
          </w:p>
        </w:tc>
        <w:tc>
          <w:tcPr>
            <w:tcW w:w="820" w:type="dxa"/>
            <w:vAlign w:val="bottom"/>
            <w:gridSpan w:val="2"/>
            <w:vMerge w:val="restart"/>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vMerge w:val="restart"/>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vMerge w:val="restart"/>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93"/>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20" w:type="dxa"/>
            <w:vAlign w:val="bottom"/>
            <w:tcBorders>
              <w:left w:val="single" w:sz="8" w:color="auto"/>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20" w:type="dxa"/>
            <w:vAlign w:val="bottom"/>
            <w:tcBorders>
              <w:left w:val="single" w:sz="8" w:color="auto"/>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tcBorders>
            <w:gridSpan w:val="6"/>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288617</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2021-571882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MX/a/2021/014728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14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139"/>
          </w:cols>
          <w:pgMar w:left="320" w:top="726" w:right="1440" w:bottom="1440" w:gutter="0" w:footer="0" w:header="0"/>
        </w:sectPr>
      </w:pPr>
    </w:p>
    <w:bookmarkStart w:id="64" w:name="page65"/>
    <w:bookmarkEnd w:id="64"/>
    <w:tbl>
      <w:tblPr>
        <w:tblLayout w:type="fixed"/>
        <w:tblInd w:w="10" w:type="dxa"/>
        <w:tblCellMar>
          <w:top w:w="0" w:type="dxa"/>
          <w:left w:w="0" w:type="dxa"/>
          <w:bottom w:w="0" w:type="dxa"/>
          <w:right w:w="0" w:type="dxa"/>
        </w:tblCellMar>
      </w:tblPr>
      <w:tr>
        <w:trPr>
          <w:trHeight w:val="170"/>
        </w:trPr>
        <w:tc>
          <w:tcPr>
            <w:tcW w:w="320" w:type="dxa"/>
            <w:vAlign w:val="bottom"/>
            <w:tcBorders>
              <w:top w:val="single" w:sz="8" w:color="auto"/>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164</w:t>
            </w:r>
          </w:p>
        </w:tc>
        <w:tc>
          <w:tcPr>
            <w:tcW w:w="12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783166</w:t>
            </w:r>
          </w:p>
        </w:tc>
        <w:tc>
          <w:tcPr>
            <w:tcW w:w="8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200" w:type="dxa"/>
            <w:vAlign w:val="bottom"/>
            <w:tcBorders>
              <w:top w:val="single" w:sz="8" w:color="auto"/>
              <w:right w:val="single" w:sz="8" w:color="auto"/>
            </w:tcBorders>
          </w:tcPr>
          <w:p>
            <w:pPr>
              <w:spacing w:after="0"/>
              <w:rPr>
                <w:sz w:val="14"/>
                <w:szCs w:val="14"/>
                <w:color w:val="auto"/>
              </w:rPr>
            </w:pPr>
          </w:p>
        </w:tc>
        <w:tc>
          <w:tcPr>
            <w:tcW w:w="13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rPr>
              <w:t>Therapeutic</w:t>
            </w:r>
          </w:p>
        </w:tc>
        <w:tc>
          <w:tcPr>
            <w:tcW w:w="1440" w:type="dxa"/>
            <w:vAlign w:val="bottom"/>
            <w:tcBorders>
              <w:top w:val="single" w:sz="8" w:color="auto"/>
            </w:tcBorders>
          </w:tcPr>
          <w:p>
            <w:pPr>
              <w:ind w:left="300"/>
              <w:spacing w:after="0" w:line="17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top w:val="single" w:sz="8" w:color="auto"/>
              <w:right w:val="single" w:sz="8" w:color="auto"/>
            </w:tcBorders>
          </w:tcPr>
          <w:p>
            <w:pPr>
              <w:ind w:left="140"/>
              <w:spacing w:after="0" w:line="17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3220" w:type="dxa"/>
            <w:vAlign w:val="bottom"/>
            <w:tcBorders>
              <w:right w:val="single" w:sz="8" w:color="auto"/>
            </w:tcBorders>
            <w:gridSpan w:val="3"/>
          </w:tcPr>
          <w:p>
            <w:pPr>
              <w:spacing w:after="0" w:line="165" w:lineRule="exact"/>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Republic</w:t>
            </w:r>
          </w:p>
        </w:tc>
        <w:tc>
          <w:tcPr>
            <w:tcW w:w="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1300" w:type="dxa"/>
            <w:vAlign w:val="bottom"/>
            <w:tcBorders>
              <w:right w:val="single" w:sz="8" w:color="auto"/>
            </w:tcBorders>
          </w:tcPr>
          <w:p>
            <w:pPr>
              <w:spacing w:after="0"/>
              <w:rPr>
                <w:sz w:val="13"/>
                <w:szCs w:val="13"/>
                <w:color w:val="auto"/>
              </w:rPr>
            </w:pPr>
          </w:p>
        </w:tc>
        <w:tc>
          <w:tcPr>
            <w:tcW w:w="8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1440" w:type="dxa"/>
            <w:vAlign w:val="bottom"/>
          </w:tcPr>
          <w:p>
            <w:pPr>
              <w:ind w:left="3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tcPr>
          <w:p>
            <w:pPr>
              <w:ind w:left="140"/>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73"/>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10-2021-7043410</w:t>
            </w:r>
          </w:p>
        </w:tc>
        <w:tc>
          <w:tcPr>
            <w:tcW w:w="880" w:type="dxa"/>
            <w:vAlign w:val="bottom"/>
            <w:vMerge w:val="continue"/>
          </w:tcPr>
          <w:p>
            <w:pPr>
              <w:spacing w:after="0"/>
              <w:rPr>
                <w:sz w:val="6"/>
                <w:szCs w:val="6"/>
                <w:color w:val="auto"/>
              </w:rPr>
            </w:pPr>
          </w:p>
        </w:tc>
        <w:tc>
          <w:tcPr>
            <w:tcW w:w="200" w:type="dxa"/>
            <w:vAlign w:val="bottom"/>
            <w:tcBorders>
              <w:right w:val="single" w:sz="8" w:color="auto"/>
            </w:tcBorders>
            <w:vMerge w:val="continue"/>
          </w:tcPr>
          <w:p>
            <w:pPr>
              <w:spacing w:after="0"/>
              <w:rPr>
                <w:sz w:val="6"/>
                <w:szCs w:val="6"/>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111"/>
        </w:trPr>
        <w:tc>
          <w:tcPr>
            <w:tcW w:w="320" w:type="dxa"/>
            <w:vAlign w:val="bottom"/>
            <w:tcBorders>
              <w:left w:val="single" w:sz="8" w:color="auto"/>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8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Korea</w:t>
            </w:r>
          </w:p>
        </w:tc>
        <w:tc>
          <w:tcPr>
            <w:tcW w:w="2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322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20" w:type="dxa"/>
            <w:vAlign w:val="bottom"/>
            <w:tcBorders>
              <w:left w:val="single" w:sz="8" w:color="auto"/>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9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17/616,345</w:t>
            </w: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1440" w:type="dxa"/>
            <w:vAlign w:val="bottom"/>
          </w:tcPr>
          <w:p>
            <w:pPr>
              <w:ind w:left="3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tcPr>
          <w:p>
            <w:pPr>
              <w:ind w:left="140"/>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continue"/>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1080" w:type="dxa"/>
            <w:vAlign w:val="bottom"/>
            <w:tcBorders>
              <w:right w:val="single" w:sz="8" w:color="auto"/>
            </w:tcBorders>
            <w:gridSpan w:val="2"/>
            <w:vMerge w:val="continue"/>
          </w:tcPr>
          <w:p>
            <w:pPr>
              <w:spacing w:after="0"/>
              <w:rPr>
                <w:sz w:val="13"/>
                <w:szCs w:val="13"/>
                <w:color w:val="auto"/>
              </w:rPr>
            </w:pPr>
          </w:p>
        </w:tc>
        <w:tc>
          <w:tcPr>
            <w:tcW w:w="1300" w:type="dxa"/>
            <w:vAlign w:val="bottom"/>
            <w:tcBorders>
              <w:right w:val="single" w:sz="8" w:color="auto"/>
            </w:tcBorders>
            <w:vMerge w:val="continue"/>
          </w:tcPr>
          <w:p>
            <w:pPr>
              <w:spacing w:after="0"/>
              <w:rPr>
                <w:sz w:val="13"/>
                <w:szCs w:val="13"/>
                <w:color w:val="auto"/>
              </w:rPr>
            </w:pP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2380" w:type="dxa"/>
            <w:vAlign w:val="bottom"/>
            <w:tcBorders>
              <w:right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170"/>
        </w:trPr>
        <w:tc>
          <w:tcPr>
            <w:tcW w:w="320" w:type="dxa"/>
            <w:vAlign w:val="bottom"/>
            <w:tcBorders>
              <w:left w:val="single" w:sz="8" w:color="auto"/>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88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America</w:t>
            </w: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tcBorders>
            <w:gridSpan w:val="2"/>
            <w:vMerge w:val="continue"/>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167</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2021284861</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21725377.2</w:t>
            </w:r>
          </w:p>
        </w:tc>
        <w:tc>
          <w:tcPr>
            <w:tcW w:w="8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169</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202217076899</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170</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298542</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171</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2022-574098</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172</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794813</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New Zealand</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173</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3118556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174</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202180046533.1</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175</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17/320,155</w:t>
            </w:r>
          </w:p>
        </w:tc>
        <w:tc>
          <w:tcPr>
            <w:tcW w:w="1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20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176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2302237.9</w:t>
            </w:r>
          </w:p>
        </w:tc>
        <w:tc>
          <w:tcPr>
            <w:tcW w:w="8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United</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Tryptophan-Based Compounds</w:t>
            </w: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Kingdom</w:t>
            </w:r>
          </w:p>
        </w:tc>
        <w:tc>
          <w:tcPr>
            <w:tcW w:w="2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w:t>
      </w:r>
    </w:p>
    <w:p>
      <w:pPr>
        <w:spacing w:after="0" w:line="17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17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has also filed applications for registration of twenty-six trademarks, including Changing Minds®, Cybin®, Embark®It’s not magic. It’s mushrooms™, It’s not magic, its science™, Journey™, Mushroom &amp; Friends™, Psilotonin™, Psychedelics to Therapeutics®, MindClef™, CYB™, and Revolutionizing Mental Healthcare™. The Company has registered the CYBIN trademark in the EU (reg. 18495520), the UK (reg. UK00003656496), and the US (reg. 6,852,975) the mark PSYCHEDELICS TO THERAPEUTICS in the UK (reg. UK00003717706), the mark CHANGING MINDS in Canada (TMA1195700), and the mark EMBARK in Canada (TMA1196747).</w:t>
      </w:r>
    </w:p>
    <w:p>
      <w:pPr>
        <w:spacing w:after="0" w:line="19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As a result of the Arrangement, the Company has registered trademarks with the United Kingdom Intellectual Property Office (registration no. UK00003244617), and the European Union Intellectual Property Office (registration no. 018396486), , and has filed an application for registration with the USPTO (application no. 90523956) and the Canadian Intellectual Property Office (application no 2084387).</w:t>
      </w:r>
    </w:p>
    <w:p>
      <w:pPr>
        <w:spacing w:after="0" w:line="19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60"/>
          </w:cols>
          <w:pgMar w:left="320" w:top="726"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Company generates new data it will continue to file or acquire additional patent applications throughout the Company’s development program.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Framework and Licensing Regime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6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61"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8"/>
          <w:szCs w:val="18"/>
          <w:color w:val="auto"/>
        </w:rPr>
        <w:t xml:space="preserve">Certain psychoactive compounds, such as psilocybin, are considered controlled substances under Schedule III of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is required.</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Health Canada has not approved psilocybin as a drug for any indication. However, there are legal routes through which psilocybin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 w:cs="Times New Roman" w:eastAsia="Times New Roman" w:hAnsi="Times New Roman"/>
          <w:sz w:val="19"/>
          <w:szCs w:val="19"/>
          <w:b w:val="1"/>
          <w:bCs w:val="1"/>
          <w:color w:val="auto"/>
        </w:rPr>
        <w:t>SAP</w:t>
      </w:r>
      <w:r>
        <w:rPr>
          <w:rFonts w:ascii="Times New Roman" w:cs="Times New Roman" w:eastAsia="Times New Roman" w:hAnsi="Times New Roman"/>
          <w:sz w:val="18"/>
          <w:szCs w:val="18"/>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Company has not applied for access under the SAP.</w:t>
      </w:r>
    </w:p>
    <w:p>
      <w:pPr>
        <w:spacing w:after="0" w:line="18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208"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60"/>
          </w:cols>
          <w:pgMar w:left="320" w:top="725" w:right="319" w:bottom="1440" w:gutter="0" w:footer="0" w:header="0"/>
        </w:sectPr>
      </w:pPr>
    </w:p>
    <w:bookmarkStart w:id="66" w:name="page67"/>
    <w:bookmarkEnd w:id="66"/>
    <w:p>
      <w:pPr>
        <w:ind w:left="3"/>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44" w:lineRule="exact"/>
        <w:rPr>
          <w:sz w:val="20"/>
          <w:szCs w:val="20"/>
          <w:color w:val="auto"/>
        </w:rPr>
      </w:pPr>
    </w:p>
    <w:p>
      <w:pPr>
        <w:jc w:val="both"/>
        <w:ind w:left="3" w:right="20"/>
        <w:spacing w:after="0" w:line="279" w:lineRule="auto"/>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Times New Roman" w:cs="Times New Roman" w:eastAsia="Times New Roman" w:hAnsi="Times New Roman"/>
          <w:sz w:val="23"/>
          <w:szCs w:val="23"/>
          <w:color w:val="auto"/>
          <w:vertAlign w:val="superscript"/>
        </w:rPr>
        <w:t>26</w:t>
      </w:r>
      <w:r>
        <w:rPr>
          <w:rFonts w:ascii="Times New Roman" w:cs="Times New Roman" w:eastAsia="Times New Roman" w:hAnsi="Times New Roman"/>
          <w:sz w:val="18"/>
          <w:szCs w:val="18"/>
          <w:color w:val="auto"/>
        </w:rPr>
        <w:t>. Anticipated timelines related to regulatory filings are based on reasonable assumptions informed by current knowledge and information available to the Company.</w:t>
      </w:r>
    </w:p>
    <w:p>
      <w:pPr>
        <w:spacing w:after="0" w:line="199" w:lineRule="exact"/>
        <w:rPr>
          <w:sz w:val="20"/>
          <w:szCs w:val="20"/>
          <w:color w:val="auto"/>
        </w:rPr>
      </w:pPr>
    </w:p>
    <w:p>
      <w:pPr>
        <w:jc w:val="both"/>
        <w:ind w:left="3"/>
        <w:spacing w:after="0" w:line="290" w:lineRule="auto"/>
        <w:rPr>
          <w:sz w:val="20"/>
          <w:szCs w:val="20"/>
          <w:color w:val="auto"/>
        </w:rPr>
      </w:pPr>
      <w:r>
        <w:rPr>
          <w:rFonts w:ascii="Times New Roman" w:cs="Times New Roman" w:eastAsia="Times New Roman" w:hAnsi="Times New Roman"/>
          <w:sz w:val="18"/>
          <w:szCs w:val="18"/>
          <w:color w:val="auto"/>
        </w:rPr>
        <w:t>Psilocybin, psilocin, DMT, and 5-Methoxy-DMT are strictly controlled under the federal Controlled Substances Act, 21 U.S.C. §801, et. seq. (“</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9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Europe/Netherlands</w:t>
      </w:r>
    </w:p>
    <w:p>
      <w:pPr>
        <w:spacing w:after="0" w:line="252" w:lineRule="exact"/>
        <w:rPr>
          <w:sz w:val="20"/>
          <w:szCs w:val="20"/>
          <w:color w:val="auto"/>
        </w:rPr>
      </w:pPr>
    </w:p>
    <w:p>
      <w:pPr>
        <w:jc w:val="both"/>
        <w:ind w:left="3" w:right="20"/>
        <w:spacing w:after="0" w:line="296" w:lineRule="auto"/>
        <w:rPr>
          <w:sz w:val="20"/>
          <w:szCs w:val="20"/>
          <w:color w:val="auto"/>
        </w:rPr>
      </w:pPr>
      <w:r>
        <w:rPr>
          <w:rFonts w:ascii="Times New Roman" w:cs="Times New Roman" w:eastAsia="Times New Roman" w:hAnsi="Times New Roman"/>
          <w:sz w:val="18"/>
          <w:szCs w:val="18"/>
          <w:color w:val="auto"/>
        </w:rPr>
        <w:t>The International Narcotics Control Board (“</w:t>
      </w:r>
      <w:r>
        <w:rPr>
          <w:rFonts w:ascii="Times New Roman" w:cs="Times New Roman" w:eastAsia="Times New Roman" w:hAnsi="Times New Roman"/>
          <w:sz w:val="18"/>
          <w:szCs w:val="18"/>
          <w:b w:val="1"/>
          <w:bCs w:val="1"/>
          <w:color w:val="auto"/>
        </w:rPr>
        <w:t>INCB</w:t>
      </w:r>
      <w:r>
        <w:rPr>
          <w:rFonts w:ascii="Times New Roman" w:cs="Times New Roman" w:eastAsia="Times New Roman" w:hAnsi="Times New Roman"/>
          <w:sz w:val="18"/>
          <w:szCs w:val="18"/>
          <w:color w:val="auto"/>
        </w:rPr>
        <w:t>”), a United Nations (“</w:t>
      </w:r>
      <w:r>
        <w:rPr>
          <w:rFonts w:ascii="Times New Roman" w:cs="Times New Roman" w:eastAsia="Times New Roman" w:hAnsi="Times New Roman"/>
          <w:sz w:val="18"/>
          <w:szCs w:val="18"/>
          <w:b w:val="1"/>
          <w:bCs w:val="1"/>
          <w:color w:val="auto"/>
        </w:rPr>
        <w:t>UN</w:t>
      </w:r>
      <w:r>
        <w:rPr>
          <w:rFonts w:ascii="Times New Roman" w:cs="Times New Roman" w:eastAsia="Times New Roman" w:hAnsi="Times New Roman"/>
          <w:sz w:val="18"/>
          <w:szCs w:val="18"/>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83" w:lineRule="exact"/>
        <w:rPr>
          <w:sz w:val="20"/>
          <w:szCs w:val="20"/>
          <w:color w:val="auto"/>
        </w:rPr>
      </w:pPr>
    </w:p>
    <w:p>
      <w:pPr>
        <w:jc w:val="both"/>
        <w:ind w:left="3" w:right="20"/>
        <w:spacing w:after="0" w:line="292" w:lineRule="auto"/>
        <w:rPr>
          <w:sz w:val="20"/>
          <w:szCs w:val="20"/>
          <w:color w:val="auto"/>
        </w:rPr>
      </w:pPr>
      <w:r>
        <w:rPr>
          <w:rFonts w:ascii="Times New Roman" w:cs="Times New Roman" w:eastAsia="Times New Roman" w:hAnsi="Times New Roman"/>
          <w:sz w:val="18"/>
          <w:szCs w:val="18"/>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53987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jc w:val="both"/>
        <w:ind w:left="3" w:right="20" w:hanging="3"/>
        <w:spacing w:after="0" w:line="235" w:lineRule="auto"/>
        <w:tabs>
          <w:tab w:leader="none" w:pos="135"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 w:cs="Times New Roman" w:eastAsia="Times New Roman" w:hAnsi="Times New Roman"/>
          <w:sz w:val="15"/>
          <w:szCs w:val="15"/>
          <w:i w:val="1"/>
          <w:i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63"/>
          </w:cols>
          <w:pgMar w:left="317" w:top="723" w:right="319" w:bottom="1440" w:gutter="0" w:footer="0" w:header="0"/>
        </w:sectPr>
      </w:pPr>
    </w:p>
    <w:bookmarkStart w:id="67" w:name="page68"/>
    <w:bookmarkEnd w:id="67"/>
    <w:p>
      <w:pPr>
        <w:ind w:left="580" w:right="20" w:hanging="292"/>
        <w:spacing w:after="0" w:line="287" w:lineRule="auto"/>
        <w:tabs>
          <w:tab w:leader="none" w:pos="569"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require that manufacture, trade, distribution and possession be under a special licence or prior authorization;</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provide for close supervision of the activities and acts mentioned in paragraphs (a) and (b);</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restrict the amount supplied to a duly authorized person to the quantity required for his authorized purpose;</w:t>
      </w:r>
    </w:p>
    <w:p>
      <w:pPr>
        <w:spacing w:after="0" w:line="34" w:lineRule="exact"/>
        <w:rPr>
          <w:rFonts w:ascii="Arial" w:cs="Arial" w:eastAsia="Arial" w:hAnsi="Arial"/>
          <w:sz w:val="18"/>
          <w:szCs w:val="18"/>
          <w:color w:val="auto"/>
        </w:rPr>
      </w:pPr>
    </w:p>
    <w:p>
      <w:pPr>
        <w:ind w:left="580" w:right="20" w:hanging="292"/>
        <w:spacing w:after="0" w:line="287" w:lineRule="auto"/>
        <w:tabs>
          <w:tab w:leader="none" w:pos="569"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1" w:lineRule="exact"/>
        <w:rPr>
          <w:rFonts w:ascii="Arial" w:cs="Arial" w:eastAsia="Arial" w:hAnsi="Arial"/>
          <w:sz w:val="18"/>
          <w:szCs w:val="18"/>
          <w:color w:val="auto"/>
        </w:rPr>
      </w:pPr>
    </w:p>
    <w:p>
      <w:pPr>
        <w:jc w:val="both"/>
        <w:ind w:left="580" w:right="20" w:hanging="292"/>
        <w:spacing w:after="0" w:line="302" w:lineRule="auto"/>
        <w:tabs>
          <w:tab w:leader="none" w:pos="569"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17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18"/>
          <w:szCs w:val="18"/>
          <w:b w:val="1"/>
          <w:bCs w:val="1"/>
          <w:color w:val="auto"/>
        </w:rPr>
        <w:t>Dutch Opium Act</w:t>
      </w:r>
      <w:r>
        <w:rPr>
          <w:rFonts w:ascii="Times New Roman" w:cs="Times New Roman" w:eastAsia="Times New Roman" w:hAnsi="Times New Roman"/>
          <w:sz w:val="18"/>
          <w:szCs w:val="18"/>
          <w:color w:val="auto"/>
        </w:rPr>
        <w:t>”) and as such, subject to express authorization being obtained, the production, trade and possession of DMT are prohibited.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Dutch Opium Act, two other Dutch Acts may be relevant when it comes to drugs: the Medicines Act and the Commodities Act.</w:t>
      </w:r>
    </w:p>
    <w:p>
      <w:pPr>
        <w:spacing w:after="0" w:line="26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8"/>
          <w:szCs w:val="18"/>
          <w:b w:val="1"/>
          <w:bCs w:val="1"/>
          <w:color w:val="auto"/>
        </w:rPr>
        <w:t>CCMO</w:t>
      </w:r>
      <w:r>
        <w:rPr>
          <w:rFonts w:ascii="Times New Roman" w:cs="Times New Roman" w:eastAsia="Times New Roman" w:hAnsi="Times New Roman"/>
          <w:sz w:val="18"/>
          <w:szCs w:val="18"/>
          <w:color w:val="auto"/>
        </w:rPr>
        <w:t>"), which is also known as the Competent Authority in The Netherlands. In Dutch, the CCMO is called the ‘</w:t>
      </w:r>
      <w:r>
        <w:rPr>
          <w:rFonts w:ascii="Times New Roman" w:cs="Times New Roman" w:eastAsia="Times New Roman" w:hAnsi="Times New Roman"/>
          <w:sz w:val="18"/>
          <w:szCs w:val="18"/>
          <w:i w:val="1"/>
          <w:iCs w:val="1"/>
          <w:color w:val="auto"/>
        </w:rPr>
        <w:t>Centrale Commissie Mensgebonden Onderzoek</w:t>
      </w:r>
      <w:r>
        <w:rPr>
          <w:rFonts w:ascii="Times New Roman" w:cs="Times New Roman" w:eastAsia="Times New Roman" w:hAnsi="Times New Roman"/>
          <w:sz w:val="18"/>
          <w:szCs w:val="18"/>
          <w:color w:val="auto"/>
        </w:rPr>
        <w:t>’. In cases where the study involves a substance subject to the Dutch Opium Act (such as DMT), an official exemption by Farmatec is needed, which needs to be included in the CTA.</w:t>
      </w:r>
    </w:p>
    <w:p>
      <w:pPr>
        <w:spacing w:after="0" w:line="20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3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48"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The main UK controlled drugs legislation is the Misuse of Drugs Act 1971 (the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(the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943" w:right="319" w:bottom="1440" w:gutter="0" w:footer="0" w:header="0"/>
        </w:sectPr>
      </w:pPr>
    </w:p>
    <w:bookmarkStart w:id="68" w:name="page69"/>
    <w:bookmarkEnd w:id="68"/>
    <w:p>
      <w:pPr>
        <w:jc w:val="both"/>
        <w:ind w:left="3" w:right="100"/>
        <w:spacing w:after="0" w:line="302"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52" w:lineRule="exact"/>
        <w:rPr>
          <w:sz w:val="20"/>
          <w:szCs w:val="20"/>
          <w:color w:val="auto"/>
        </w:rPr>
      </w:pPr>
    </w:p>
    <w:p>
      <w:pPr>
        <w:jc w:val="both"/>
        <w:ind w:left="3" w:right="80"/>
        <w:spacing w:after="0" w:line="295" w:lineRule="auto"/>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API.DMT is also considered a Class A drug under the MDA and as a Schedule I drug under the MDR.</w:t>
      </w:r>
    </w:p>
    <w:p>
      <w:pPr>
        <w:spacing w:after="0" w:line="171" w:lineRule="exact"/>
        <w:rPr>
          <w:sz w:val="20"/>
          <w:szCs w:val="20"/>
          <w:color w:val="auto"/>
        </w:rPr>
      </w:pPr>
    </w:p>
    <w:p>
      <w:pPr>
        <w:jc w:val="both"/>
        <w:ind w:left="3" w:right="100"/>
        <w:spacing w:after="0" w:line="295" w:lineRule="auto"/>
        <w:rPr>
          <w:sz w:val="20"/>
          <w:szCs w:val="20"/>
          <w:color w:val="auto"/>
        </w:rPr>
      </w:pPr>
      <w:r>
        <w:rPr>
          <w:rFonts w:ascii="Times New Roman" w:cs="Times New Roman" w:eastAsia="Times New Roman" w:hAnsi="Times New Roman"/>
          <w:sz w:val="18"/>
          <w:szCs w:val="18"/>
          <w:color w:val="auto"/>
        </w:rPr>
        <w:t>The Company previously mentioned that it intended to file a clinical trial application with the U.K. Medicines and Healthcare products Regulatory Agency (the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 Small Pharma has a controlled drug licence in respect of the offices at 50 Featherstone St, reference number 1355388, issued on July 24, 2023, expiring July 23, 2024.</w:t>
      </w:r>
    </w:p>
    <w:p>
      <w:pPr>
        <w:spacing w:after="0" w:line="19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230" w:lineRule="exact"/>
        <w:rPr>
          <w:sz w:val="20"/>
          <w:szCs w:val="20"/>
          <w:color w:val="auto"/>
        </w:rPr>
      </w:pPr>
    </w:p>
    <w:p>
      <w:pPr>
        <w:jc w:val="both"/>
        <w:ind w:left="3" w:right="80"/>
        <w:spacing w:after="0" w:line="312" w:lineRule="auto"/>
        <w:rPr>
          <w:sz w:val="20"/>
          <w:szCs w:val="20"/>
          <w:color w:val="auto"/>
        </w:rPr>
      </w:pPr>
      <w:r>
        <w:rPr>
          <w:rFonts w:ascii="Times New Roman" w:cs="Times New Roman" w:eastAsia="Times New Roman" w:hAnsi="Times New Roman"/>
          <w:sz w:val="17"/>
          <w:szCs w:val="17"/>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Times New Roman" w:cs="Times New Roman" w:eastAsia="Times New Roman" w:hAnsi="Times New Roman"/>
          <w:sz w:val="22"/>
          <w:szCs w:val="22"/>
          <w:color w:val="auto"/>
          <w:vertAlign w:val="superscript"/>
        </w:rPr>
        <w:t>27</w:t>
      </w:r>
      <w:r>
        <w:rPr>
          <w:rFonts w:ascii="Times New Roman" w:cs="Times New Roman" w:eastAsia="Times New Roman" w:hAnsi="Times New Roman"/>
          <w:sz w:val="17"/>
          <w:szCs w:val="17"/>
          <w:color w:val="auto"/>
        </w:rPr>
        <w:t>.</w:t>
      </w:r>
    </w:p>
    <w:p>
      <w:pPr>
        <w:spacing w:after="0" w:line="109" w:lineRule="exact"/>
        <w:rPr>
          <w:sz w:val="20"/>
          <w:szCs w:val="20"/>
          <w:color w:val="auto"/>
        </w:rPr>
      </w:pPr>
    </w:p>
    <w:p>
      <w:pPr>
        <w:jc w:val="both"/>
        <w:ind w:left="3" w:right="80"/>
        <w:spacing w:after="0" w:line="292" w:lineRule="auto"/>
        <w:rPr>
          <w:sz w:val="20"/>
          <w:szCs w:val="20"/>
          <w:color w:val="auto"/>
        </w:rPr>
      </w:pPr>
      <w:r>
        <w:rPr>
          <w:rFonts w:ascii="Times New Roman" w:cs="Times New Roman" w:eastAsia="Times New Roman" w:hAnsi="Times New Roman"/>
          <w:sz w:val="18"/>
          <w:szCs w:val="18"/>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50" w:lineRule="exact"/>
        <w:rPr>
          <w:sz w:val="20"/>
          <w:szCs w:val="20"/>
          <w:color w:val="auto"/>
        </w:rPr>
      </w:pPr>
    </w:p>
    <w:p>
      <w:pPr>
        <w:jc w:val="both"/>
        <w:ind w:left="3" w:right="100"/>
        <w:spacing w:after="0" w:line="299" w:lineRule="auto"/>
        <w:rPr>
          <w:sz w:val="20"/>
          <w:szCs w:val="20"/>
          <w:color w:val="auto"/>
        </w:rPr>
      </w:pPr>
      <w:r>
        <w:rPr>
          <w:rFonts w:ascii="Times New Roman" w:cs="Times New Roman" w:eastAsia="Times New Roman" w:hAnsi="Times New Roman"/>
          <w:sz w:val="18"/>
          <w:szCs w:val="18"/>
          <w:color w:val="auto"/>
        </w:rPr>
        <w:t>All premises that are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3"/>
          <w:szCs w:val="23"/>
          <w:color w:val="auto"/>
          <w:vertAlign w:val="superscript"/>
        </w:rPr>
        <w:t>28</w:t>
      </w:r>
    </w:p>
    <w:p>
      <w:pPr>
        <w:spacing w:after="0" w:line="104" w:lineRule="exact"/>
        <w:rPr>
          <w:sz w:val="20"/>
          <w:szCs w:val="20"/>
          <w:color w:val="auto"/>
        </w:rPr>
      </w:pPr>
    </w:p>
    <w:p>
      <w:pPr>
        <w:jc w:val="both"/>
        <w:ind w:left="3" w:right="100"/>
        <w:spacing w:after="0" w:line="295"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153987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81" w:lineRule="exact"/>
        <w:rPr>
          <w:sz w:val="20"/>
          <w:szCs w:val="20"/>
          <w:color w:val="auto"/>
        </w:rPr>
      </w:pPr>
    </w:p>
    <w:p>
      <w:pPr>
        <w:jc w:val="both"/>
        <w:ind w:left="3" w:right="80" w:hanging="3"/>
        <w:spacing w:after="0" w:line="234" w:lineRule="auto"/>
        <w:tabs>
          <w:tab w:leader="none" w:pos="146"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ind w:left="3" w:hanging="3"/>
        <w:spacing w:after="0" w:line="290" w:lineRule="auto"/>
        <w:tabs>
          <w:tab w:leader="none" w:pos="172" w:val="left"/>
        </w:tabs>
        <w:numPr>
          <w:ilvl w:val="0"/>
          <w:numId w:val="40"/>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Home Office guidance; Security guidance for all existing or prospective Home Office Controlled Drug Licensees and/or Precursor Chemical Licensees or Registrants; 2022</w:t>
      </w:r>
      <w:r>
        <w:rPr>
          <w:rFonts w:ascii="Times New Roman" w:cs="Times New Roman" w:eastAsia="Times New Roman" w:hAnsi="Times New Roman"/>
          <w:sz w:val="14"/>
          <w:szCs w:val="14"/>
          <w:u w:val="single" w:color="auto"/>
          <w:color w:val="3051F2"/>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3051F2"/>
        </w:rPr>
        <w:t>https://assets.publishing.service.gov.uk/government/uploads/system/uploads/attachment_data/file/1125889/Security_Guidance_for_all_Businesses_and_Other_Organisations_v1.5_Nov_2022.pdf</w:t>
      </w:r>
    </w:p>
    <w:p>
      <w:pPr>
        <w:spacing w:after="0" w:line="200" w:lineRule="exact"/>
        <w:rPr>
          <w:sz w:val="20"/>
          <w:szCs w:val="20"/>
          <w:color w:val="auto"/>
        </w:rPr>
      </w:pPr>
    </w:p>
    <w:p>
      <w:pPr>
        <w:spacing w:after="0" w:line="357"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3"/>
          </w:cols>
          <w:pgMar w:left="317" w:top="725" w:right="239" w:bottom="1440" w:gutter="0" w:footer="0" w:header="0"/>
        </w:sectPr>
      </w:pPr>
    </w:p>
    <w:bookmarkStart w:id="69" w:name="page70"/>
    <w:bookmarkEnd w:id="69"/>
    <w:p>
      <w:pPr>
        <w:ind w:left="3"/>
        <w:spacing w:after="0"/>
        <w:rPr>
          <w:sz w:val="20"/>
          <w:szCs w:val="20"/>
          <w:color w:val="auto"/>
        </w:rPr>
      </w:pPr>
      <w:r>
        <w:rPr>
          <w:rFonts w:ascii="Times New Roman" w:cs="Times New Roman" w:eastAsia="Times New Roman" w:hAnsi="Times New Roman"/>
          <w:sz w:val="18"/>
          <w:szCs w:val="18"/>
          <w:color w:val="auto"/>
        </w:rPr>
        <w:t>a standard operating procedure covering their responsibilities, record keeping, reconciliation and reporting of thefts/losses.</w:t>
      </w:r>
      <w:r>
        <w:rPr>
          <w:rFonts w:ascii="Times New Roman" w:cs="Times New Roman" w:eastAsia="Times New Roman" w:hAnsi="Times New Roman"/>
          <w:sz w:val="23"/>
          <w:szCs w:val="23"/>
          <w:color w:val="auto"/>
          <w:vertAlign w:val="superscript"/>
        </w:rPr>
        <w:t>29</w:t>
      </w:r>
    </w:p>
    <w:p>
      <w:pPr>
        <w:spacing w:after="0" w:line="18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Small Pharma holds the appropriate UK Home Office licence required to sponsor clinical trials using Schedule I compounds.</w:t>
      </w:r>
    </w:p>
    <w:p>
      <w:pPr>
        <w:spacing w:after="0" w:line="2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36" w:lineRule="exact"/>
        <w:rPr>
          <w:sz w:val="20"/>
          <w:szCs w:val="20"/>
          <w:color w:val="auto"/>
        </w:rPr>
      </w:pPr>
    </w:p>
    <w:p>
      <w:pPr>
        <w:jc w:val="both"/>
        <w:ind w:left="3" w:right="20"/>
        <w:spacing w:after="0" w:line="300" w:lineRule="auto"/>
        <w:rPr>
          <w:sz w:val="20"/>
          <w:szCs w:val="20"/>
          <w:color w:val="auto"/>
        </w:rPr>
      </w:pPr>
      <w:r>
        <w:rPr>
          <w:rFonts w:ascii="Times New Roman" w:cs="Times New Roman" w:eastAsia="Times New Roman" w:hAnsi="Times New Roman"/>
          <w:sz w:val="18"/>
          <w:szCs w:val="18"/>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78"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w:t>
      </w:r>
    </w:p>
    <w:p>
      <w:pPr>
        <w:spacing w:after="0" w:line="177"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How the API is subsequently processed will determine the licences that the UK-based facility must hold. In particular:</w:t>
      </w:r>
    </w:p>
    <w:p>
      <w:pPr>
        <w:spacing w:after="0" w:line="238" w:lineRule="exact"/>
        <w:rPr>
          <w:sz w:val="20"/>
          <w:szCs w:val="20"/>
          <w:color w:val="auto"/>
        </w:rPr>
      </w:pPr>
    </w:p>
    <w:p>
      <w:pPr>
        <w:jc w:val="both"/>
        <w:ind w:left="583" w:right="20" w:hanging="292"/>
        <w:spacing w:after="0" w:line="287" w:lineRule="auto"/>
        <w:tabs>
          <w:tab w:leader="none" w:pos="5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API is just one ‘ingredient’ of the investigational medicinal product (the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 must register with the MHRA and provide the MHRA with 60 days’ notice of the intended start of manufacture/distribution of the API, and comply with GMP and GDP for active substances; and</w:t>
      </w:r>
    </w:p>
    <w:p>
      <w:pPr>
        <w:spacing w:after="0" w:line="1" w:lineRule="exact"/>
        <w:rPr>
          <w:rFonts w:ascii="Times New Roman" w:cs="Times New Roman" w:eastAsia="Times New Roman" w:hAnsi="Times New Roman"/>
          <w:sz w:val="18"/>
          <w:szCs w:val="18"/>
          <w:color w:val="auto"/>
        </w:rPr>
      </w:pPr>
    </w:p>
    <w:p>
      <w:pPr>
        <w:jc w:val="both"/>
        <w:ind w:left="583" w:right="20" w:hanging="292"/>
        <w:spacing w:after="0" w:line="295" w:lineRule="auto"/>
        <w:tabs>
          <w:tab w:leader="none" w:pos="5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In this scenario, an MIA(IMP) would be required regardless of whether the IMP is for use in the UK, an EEA Member State or a third country (such as the United States or Canada).</w:t>
      </w:r>
    </w:p>
    <w:p>
      <w:pPr>
        <w:spacing w:after="0" w:line="195" w:lineRule="exact"/>
        <w:rPr>
          <w:sz w:val="20"/>
          <w:szCs w:val="20"/>
          <w:color w:val="auto"/>
        </w:rPr>
      </w:pPr>
    </w:p>
    <w:p>
      <w:pPr>
        <w:jc w:val="both"/>
        <w:ind w:left="3" w:right="20"/>
        <w:spacing w:after="0" w:line="327" w:lineRule="auto"/>
        <w:rPr>
          <w:sz w:val="20"/>
          <w:szCs w:val="20"/>
          <w:color w:val="auto"/>
        </w:rPr>
      </w:pPr>
      <w:r>
        <w:rPr>
          <w:rFonts w:ascii="Times New Roman" w:cs="Times New Roman" w:eastAsia="Times New Roman" w:hAnsi="Times New Roman"/>
          <w:sz w:val="17"/>
          <w:szCs w:val="17"/>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3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34"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153987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32" w:lineRule="exact"/>
        <w:rPr>
          <w:sz w:val="20"/>
          <w:szCs w:val="20"/>
          <w:color w:val="auto"/>
        </w:rPr>
      </w:pPr>
    </w:p>
    <w:p>
      <w:pPr>
        <w:ind w:left="3" w:right="3520" w:hanging="3"/>
        <w:spacing w:after="0" w:line="295" w:lineRule="auto"/>
        <w:tabs>
          <w:tab w:leader="none" w:pos="123" w:val="left"/>
        </w:tabs>
        <w:numPr>
          <w:ilvl w:val="0"/>
          <w:numId w:val="42"/>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 xml:space="preserve">Home Office guidance; Guidelines for Standard Operating Procedures (SOPs); </w:t>
      </w:r>
      <w:r>
        <w:rPr>
          <w:rFonts w:ascii="Times New Roman" w:cs="Times New Roman" w:eastAsia="Times New Roman" w:hAnsi="Times New Roman"/>
          <w:sz w:val="14"/>
          <w:szCs w:val="14"/>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36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63"/>
          </w:cols>
          <w:pgMar w:left="317" w:top="725" w:right="319" w:bottom="1440" w:gutter="0" w:footer="0" w:header="0"/>
        </w:sectPr>
      </w:pPr>
    </w:p>
    <w:bookmarkStart w:id="70" w:name="page71"/>
    <w:bookmarkEnd w:id="70"/>
    <w:p>
      <w:pPr>
        <w:jc w:val="both"/>
        <w:spacing w:after="0" w:line="324" w:lineRule="auto"/>
        <w:rPr>
          <w:sz w:val="20"/>
          <w:szCs w:val="20"/>
          <w:color w:val="auto"/>
        </w:rPr>
      </w:pPr>
      <w:r>
        <w:rPr>
          <w:rFonts w:ascii="Times New Roman" w:cs="Times New Roman" w:eastAsia="Times New Roman" w:hAnsi="Times New Roman"/>
          <w:sz w:val="18"/>
          <w:szCs w:val="18"/>
          <w:color w:val="auto"/>
        </w:rPr>
        <w:t>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3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P. azurescens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 semilanceata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 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72"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57"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Cybin has commenced research and development on the delivery of synthetic psilocybin and other psychedelics through mechanisms such as sublingual film delivery, IV, and by way of inhalation.</w:t>
      </w:r>
    </w:p>
    <w:p>
      <w:pPr>
        <w:spacing w:after="0" w:line="193"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Research and development is led by the Company's North American Chief Scientific Officer, Alex Nivorozhkin Ph.D., a seasoned medicinal chemist, drug delivery expert and founder of multiple biotech companies.</w:t>
      </w:r>
    </w:p>
    <w:p>
      <w:pPr>
        <w:spacing w:after="0" w:line="14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240" w:lineRule="exact"/>
        <w:rPr>
          <w:sz w:val="20"/>
          <w:szCs w:val="20"/>
          <w:color w:val="auto"/>
        </w:rPr>
      </w:pPr>
    </w:p>
    <w:p>
      <w:pPr>
        <w:ind w:left="580" w:right="20" w:hanging="292"/>
        <w:spacing w:after="0" w:line="313" w:lineRule="auto"/>
        <w:tabs>
          <w:tab w:leader="none" w:pos="5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 and Biological Research – </w:t>
      </w:r>
      <w:r>
        <w:rPr>
          <w:rFonts w:ascii="Times New Roman" w:cs="Times New Roman" w:eastAsia="Times New Roman" w:hAnsi="Times New Roman"/>
          <w:sz w:val="18"/>
          <w:szCs w:val="18"/>
          <w:color w:val="auto"/>
        </w:rPr>
        <w:t>Laboratory tests are carried out on tissue cultures and with a variety of small animals to determine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drug. If the results are promising, the manufacturer will proceed to the next step of development.</w:t>
      </w:r>
    </w:p>
    <w:p>
      <w:pPr>
        <w:spacing w:after="0" w:line="163" w:lineRule="exact"/>
        <w:rPr>
          <w:rFonts w:ascii="Times New Roman" w:cs="Times New Roman" w:eastAsia="Times New Roman" w:hAnsi="Times New Roman"/>
          <w:sz w:val="18"/>
          <w:szCs w:val="18"/>
          <w:color w:val="auto"/>
        </w:rPr>
      </w:pPr>
    </w:p>
    <w:p>
      <w:pPr>
        <w:ind w:left="580" w:right="20" w:hanging="292"/>
        <w:spacing w:after="0" w:line="327" w:lineRule="auto"/>
        <w:tabs>
          <w:tab w:leader="none" w:pos="5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 causes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or unexpected harm at the doses required to have an effect, the manufacturer will proceed to clinical trials.</w:t>
      </w:r>
    </w:p>
    <w:p>
      <w:pPr>
        <w:spacing w:after="0" w:line="15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1 - </w:t>
      </w:r>
      <w:r>
        <w:rPr>
          <w:rFonts w:ascii="Times New Roman" w:cs="Times New Roman" w:eastAsia="Times New Roman" w:hAnsi="Times New Roman"/>
          <w:sz w:val="18"/>
          <w:szCs w:val="18"/>
          <w:color w:val="auto"/>
        </w:rPr>
        <w:t>The first administration in humans is to test if people can tolerate the drug. If this testing is to take place in Canada, the</w:t>
      </w:r>
    </w:p>
    <w:p>
      <w:pPr>
        <w:spacing w:after="0" w:line="45" w:lineRule="exact"/>
        <w:rPr>
          <w:rFonts w:ascii="Times New Roman" w:cs="Times New Roman" w:eastAsia="Times New Roman" w:hAnsi="Times New Roman"/>
          <w:sz w:val="18"/>
          <w:szCs w:val="18"/>
          <w:color w:val="auto"/>
        </w:rPr>
      </w:pPr>
    </w:p>
    <w:p>
      <w:pPr>
        <w:jc w:val="both"/>
        <w:ind w:left="580" w:right="20"/>
        <w:spacing w:after="0" w:line="2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w:t>
      </w:r>
    </w:p>
    <w:p>
      <w:pPr>
        <w:spacing w:after="0" w:line="189" w:lineRule="exact"/>
        <w:rPr>
          <w:rFonts w:ascii="Times New Roman" w:cs="Times New Roman" w:eastAsia="Times New Roman" w:hAnsi="Times New Roman"/>
          <w:sz w:val="18"/>
          <w:szCs w:val="18"/>
          <w:color w:val="auto"/>
        </w:rPr>
      </w:pPr>
    </w:p>
    <w:p>
      <w:pPr>
        <w:ind w:left="580" w:right="20" w:hanging="292"/>
        <w:spacing w:after="0" w:line="313" w:lineRule="auto"/>
        <w:tabs>
          <w:tab w:leader="none" w:pos="5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2 - Phase 2 </w:t>
      </w:r>
      <w:r>
        <w:rPr>
          <w:rFonts w:ascii="Times New Roman" w:cs="Times New Roman" w:eastAsia="Times New Roman" w:hAnsi="Times New Roman"/>
          <w:sz w:val="18"/>
          <w:szCs w:val="18"/>
          <w:color w:val="auto"/>
        </w:rPr>
        <w:t>trials are carried out on people with the target condition, who are usually otherwise healthy, with no other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Trials carried out in Canada must be approved by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320" w:top="725" w:right="319" w:bottom="1440" w:gutter="0" w:footer="0" w:header="0"/>
        </w:sectPr>
      </w:pPr>
    </w:p>
    <w:bookmarkStart w:id="71" w:name="page72"/>
    <w:bookmarkEnd w:id="71"/>
    <w:p>
      <w:pPr>
        <w:ind w:left="580"/>
        <w:spacing w:after="0"/>
        <w:rPr>
          <w:sz w:val="20"/>
          <w:szCs w:val="20"/>
          <w:color w:val="auto"/>
        </w:rPr>
      </w:pPr>
      <w:r>
        <w:rPr>
          <w:rFonts w:ascii="Times New Roman" w:cs="Times New Roman" w:eastAsia="Times New Roman" w:hAnsi="Times New Roman"/>
          <w:sz w:val="18"/>
          <w:szCs w:val="18"/>
          <w:color w:val="auto"/>
        </w:rPr>
        <w:t>TPD. In phase II, the objective of the trials is to continue to gather information on the safety of the drug and begin to determine its effectiveness.</w:t>
      </w:r>
    </w:p>
    <w:p>
      <w:pPr>
        <w:spacing w:after="0" w:line="264" w:lineRule="exact"/>
        <w:rPr>
          <w:sz w:val="20"/>
          <w:szCs w:val="20"/>
          <w:color w:val="auto"/>
        </w:rPr>
      </w:pPr>
    </w:p>
    <w:p>
      <w:pPr>
        <w:jc w:val="both"/>
        <w:ind w:left="580" w:right="20" w:hanging="292"/>
        <w:spacing w:after="0" w:line="296" w:lineRule="auto"/>
        <w:tabs>
          <w:tab w:leader="none" w:pos="5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3 - </w:t>
      </w:r>
      <w:r>
        <w:rPr>
          <w:rFonts w:ascii="Times New Roman" w:cs="Times New Roman" w:eastAsia="Times New Roman" w:hAnsi="Times New Roman"/>
          <w:sz w:val="18"/>
          <w:szCs w:val="18"/>
          <w:color w:val="auto"/>
        </w:rPr>
        <w:t>If the results from phase II show promise, the manufacturer provides an updated clinical trial application to the TPD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177" w:lineRule="exact"/>
        <w:rPr>
          <w:rFonts w:ascii="Times New Roman" w:cs="Times New Roman" w:eastAsia="Times New Roman" w:hAnsi="Times New Roman"/>
          <w:sz w:val="18"/>
          <w:szCs w:val="18"/>
          <w:color w:val="auto"/>
        </w:rPr>
      </w:pPr>
    </w:p>
    <w:p>
      <w:pPr>
        <w:jc w:val="both"/>
        <w:ind w:left="580" w:hanging="292"/>
        <w:spacing w:after="0" w:line="290" w:lineRule="auto"/>
        <w:tabs>
          <w:tab w:leader="none" w:pos="5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Drug Submission – </w:t>
      </w:r>
      <w:r>
        <w:rPr>
          <w:rFonts w:ascii="Times New Roman" w:cs="Times New Roman" w:eastAsia="Times New Roman" w:hAnsi="Times New Roman"/>
          <w:sz w:val="18"/>
          <w:szCs w:val="18"/>
          <w:color w:val="auto"/>
        </w:rPr>
        <w:t>If the results from phase III continue to be favourable, the drug manufacturer can submit a new drug submission (“</w:t>
      </w:r>
      <w:r>
        <w:rPr>
          <w:rFonts w:ascii="Times New Roman" w:cs="Times New Roman" w:eastAsia="Times New Roman" w:hAnsi="Times New Roman"/>
          <w:sz w:val="18"/>
          <w:szCs w:val="18"/>
          <w:b w:val="1"/>
          <w:bCs w:val="1"/>
          <w:color w:val="auto"/>
        </w:rPr>
        <w:t>NDS</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TPD. A drug manufacturer can submit an NDS regardless of whether the clinical trials were carried out in Canada. The TPD reviews all the</w:t>
      </w:r>
    </w:p>
    <w:p>
      <w:pPr>
        <w:spacing w:after="0" w:line="1" w:lineRule="exact"/>
        <w:rPr>
          <w:rFonts w:ascii="Times New Roman" w:cs="Times New Roman" w:eastAsia="Times New Roman" w:hAnsi="Times New Roman"/>
          <w:sz w:val="18"/>
          <w:szCs w:val="18"/>
          <w:color w:val="auto"/>
        </w:rPr>
      </w:pPr>
    </w:p>
    <w:p>
      <w:pPr>
        <w:jc w:val="both"/>
        <w:ind w:left="580" w:right="2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6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48" w:lineRule="exact"/>
        <w:rPr>
          <w:sz w:val="20"/>
          <w:szCs w:val="20"/>
          <w:color w:val="auto"/>
        </w:rPr>
      </w:pPr>
    </w:p>
    <w:p>
      <w:pPr>
        <w:ind w:left="580" w:right="20" w:hanging="292"/>
        <w:spacing w:after="0" w:line="281" w:lineRule="auto"/>
        <w:tabs>
          <w:tab w:leader="none" w:pos="5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Good Laboratory, Good Clinical and/or Good Manufacturing Practice regulations;</w:t>
      </w:r>
    </w:p>
    <w:p>
      <w:pPr>
        <w:ind w:left="560" w:hanging="272"/>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the FDA must approve before human clinical trials may begin;</w:t>
      </w:r>
    </w:p>
    <w:p>
      <w:pPr>
        <w:spacing w:after="0" w:line="47"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35" w:lineRule="exact"/>
        <w:rPr>
          <w:rFonts w:ascii="Times New Roman" w:cs="Times New Roman" w:eastAsia="Times New Roman" w:hAnsi="Times New Roman"/>
          <w:sz w:val="18"/>
          <w:szCs w:val="18"/>
          <w:color w:val="auto"/>
        </w:rPr>
      </w:pPr>
    </w:p>
    <w:p>
      <w:pPr>
        <w:jc w:val="both"/>
        <w:ind w:left="580" w:right="20" w:hanging="292"/>
        <w:spacing w:after="0" w:line="284" w:lineRule="auto"/>
        <w:tabs>
          <w:tab w:leader="none" w:pos="5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ind w:left="560" w:hanging="272"/>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18"/>
          <w:szCs w:val="18"/>
          <w:color w:val="auto"/>
        </w:rPr>
      </w:pPr>
    </w:p>
    <w:p>
      <w:pPr>
        <w:jc w:val="both"/>
        <w:ind w:left="580" w:right="20" w:hanging="292"/>
        <w:spacing w:after="0" w:line="285" w:lineRule="auto"/>
        <w:tabs>
          <w:tab w:leader="none" w:pos="5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25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17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60"/>
          </w:cols>
          <w:pgMar w:left="320" w:top="725" w:right="319" w:bottom="1440" w:gutter="0" w:footer="0" w:header="0"/>
        </w:sectPr>
      </w:pPr>
    </w:p>
    <w:bookmarkStart w:id="72" w:name="page73"/>
    <w:bookmarkEnd w:id="72"/>
    <w:p>
      <w:pPr>
        <w:jc w:val="both"/>
        <w:spacing w:after="0" w:line="302" w:lineRule="auto"/>
        <w:rPr>
          <w:sz w:val="20"/>
          <w:szCs w:val="20"/>
          <w:color w:val="auto"/>
        </w:rPr>
      </w:pPr>
      <w:r>
        <w:rPr>
          <w:rFonts w:ascii="Times New Roman" w:cs="Times New Roman" w:eastAsia="Times New Roman" w:hAnsi="Times New Roman"/>
          <w:sz w:val="18"/>
          <w:szCs w:val="18"/>
          <w:color w:val="auto"/>
        </w:rPr>
        <w:t>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7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spacing w:after="0" w:line="15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7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60"/>
          </w:cols>
          <w:pgMar w:left="320" w:top="725" w:right="319" w:bottom="1440" w:gutter="0" w:footer="0" w:header="0"/>
        </w:sectPr>
      </w:pPr>
    </w:p>
    <w:bookmarkStart w:id="73" w:name="page74"/>
    <w:bookmarkEnd w:id="73"/>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9"/>
          <w:szCs w:val="19"/>
          <w:i w:val="1"/>
          <w:iCs w:val="1"/>
          <w:color w:val="auto"/>
        </w:rPr>
        <w:t>False Claims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9"/>
          <w:szCs w:val="19"/>
          <w:b w:val="1"/>
          <w:bCs w:val="1"/>
          <w:color w:val="auto"/>
        </w:rPr>
        <w:t>FCA</w:t>
      </w:r>
      <w:r>
        <w:rPr>
          <w:rFonts w:ascii="Times New Roman" w:cs="Times New Roman" w:eastAsia="Times New Roman" w:hAnsi="Times New Roman"/>
          <w:sz w:val="18"/>
          <w:szCs w:val="18"/>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9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Substances</w:t>
      </w:r>
    </w:p>
    <w:p>
      <w:pPr>
        <w:spacing w:after="0" w:line="25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320" w:top="7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substances to comply with the regulatory requirements in order to prevent the diversion of controlled substances to illicit channels of commerce.</w:t>
      </w:r>
    </w:p>
    <w:p>
      <w:pPr>
        <w:spacing w:after="0" w:line="24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8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8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9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83"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60"/>
          </w:cols>
          <w:pgMar w:left="320" w:top="7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auto"/>
        </w:rPr>
        <w:t>Europe/Netherlands</w:t>
      </w:r>
    </w:p>
    <w:p>
      <w:pPr>
        <w:spacing w:after="0" w:line="2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Regulation (EU) No 536/2014 on Clinical Trials on Medicinal Products for Human Use ( the “</w:t>
      </w:r>
      <w:r>
        <w:rPr>
          <w:rFonts w:ascii="Times New Roman" w:cs="Times New Roman" w:eastAsia="Times New Roman" w:hAnsi="Times New Roman"/>
          <w:sz w:val="19"/>
          <w:szCs w:val="19"/>
          <w:b w:val="1"/>
          <w:bCs w:val="1"/>
          <w:color w:val="auto"/>
        </w:rPr>
        <w:t>CTR</w:t>
      </w:r>
      <w:r>
        <w:rPr>
          <w:rFonts w:ascii="Times New Roman" w:cs="Times New Roman" w:eastAsia="Times New Roman" w:hAnsi="Times New Roman"/>
          <w:sz w:val="18"/>
          <w:szCs w:val="18"/>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18"/>
          <w:szCs w:val="18"/>
          <w:b w:val="1"/>
          <w:bCs w:val="1"/>
          <w:color w:val="auto"/>
        </w:rPr>
        <w:t>CTSI"</w:t>
      </w:r>
      <w:r>
        <w:rPr>
          <w:rFonts w:ascii="Times New Roman" w:cs="Times New Roman" w:eastAsia="Times New Roman" w:hAnsi="Times New Roman"/>
          <w:sz w:val="18"/>
          <w:szCs w:val="18"/>
          <w:color w:val="auto"/>
        </w:rPr>
        <w:t xml:space="preserve">)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w:t>
      </w:r>
      <w:r>
        <w:rPr>
          <w:rFonts w:ascii="Times New Roman" w:cs="Times New Roman" w:eastAsia="Times New Roman" w:hAnsi="Times New Roman"/>
          <w:sz w:val="18"/>
          <w:szCs w:val="18"/>
          <w:color w:val="0000FF"/>
        </w:rPr>
        <w:t>Annex I of the revised rules</w:t>
      </w:r>
      <w:r>
        <w:rPr>
          <w:rFonts w:ascii="Times New Roman" w:cs="Times New Roman" w:eastAsia="Times New Roman" w:hAnsi="Times New Roman"/>
          <w:sz w:val="18"/>
          <w:szCs w:val="18"/>
          <w:color w:val="auto"/>
        </w:rPr>
        <w:t xml:space="preserve"> outlines the timing of information publication for each category of clinical trial and patient population. Final implementation of these new rules is expected in the second quarter of 2024. EMA will communicate the effective date of completion of the process and application of the new rules to CTIS users in due course. In order to smoothen the process of transitioning clinical trials from the Clinical Trial Directive to the CTR, a non-binding guide named “Guidance for the Transition of clinical trials from the Clinical Trials Directive to the Clinical Trials Regulation” (version 2) is published on December 21, 2023.</w:t>
      </w:r>
    </w:p>
    <w:p>
      <w:pPr>
        <w:spacing w:after="0" w:line="18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19"/>
          <w:szCs w:val="19"/>
          <w:b w:val="1"/>
          <w:bCs w:val="1"/>
          <w:color w:val="auto"/>
        </w:rPr>
        <w:t>CTAG</w:t>
      </w:r>
      <w:r>
        <w:rPr>
          <w:rFonts w:ascii="Times New Roman" w:cs="Times New Roman" w:eastAsia="Times New Roman" w:hAnsi="Times New Roman"/>
          <w:sz w:val="18"/>
          <w:szCs w:val="18"/>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6.7) that should be read in conjunction with the quick guide and with the “Clinical Trials Information System (CTIS): online training modules” in order to gain a better understanding of the legislative changes that are effected by the CTR.</w:t>
      </w:r>
    </w:p>
    <w:p>
      <w:pPr>
        <w:spacing w:after="0" w:line="173"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The Investigational Medical Product Dossier (“</w:t>
      </w:r>
      <w:r>
        <w:rPr>
          <w:rFonts w:ascii="Times New Roman" w:cs="Times New Roman" w:eastAsia="Times New Roman" w:hAnsi="Times New Roman"/>
          <w:sz w:val="19"/>
          <w:szCs w:val="19"/>
          <w:b w:val="1"/>
          <w:bCs w:val="1"/>
          <w:color w:val="auto"/>
        </w:rPr>
        <w:t>IMPD</w:t>
      </w:r>
      <w:r>
        <w:rPr>
          <w:rFonts w:ascii="Times New Roman" w:cs="Times New Roman" w:eastAsia="Times New Roman" w:hAnsi="Times New Roman"/>
          <w:sz w:val="18"/>
          <w:szCs w:val="18"/>
          <w:color w:val="auto"/>
        </w:rPr>
        <w:t xml:space="preserve">”)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w:t>
      </w:r>
      <w:r>
        <w:rPr>
          <w:rFonts w:ascii="Times New Roman" w:cs="Times New Roman" w:eastAsia="Times New Roman" w:hAnsi="Times New Roman"/>
          <w:sz w:val="19"/>
          <w:szCs w:val="19"/>
          <w:color w:val="auto"/>
        </w:rPr>
        <w:t>CTR</w:t>
      </w:r>
      <w:r>
        <w:rPr>
          <w:rFonts w:ascii="Times New Roman" w:cs="Times New Roman" w:eastAsia="Times New Roman" w:hAnsi="Times New Roman"/>
          <w:sz w:val="18"/>
          <w:szCs w:val="18"/>
          <w:color w:val="auto"/>
        </w:rPr>
        <w:t xml:space="preserve">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19"/>
          <w:szCs w:val="19"/>
          <w:b w:val="1"/>
          <w:bCs w:val="1"/>
          <w:color w:val="auto"/>
        </w:rPr>
        <w:t>Clinical Trials Directive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90"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The assessment of an IMPD is focused on patient safety and any risks associated with the IMP. Whenever any potential new risks are identified the IMPD must be amended to reflect the changes. Certain amendments are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60"/>
          </w:cols>
          <w:pgMar w:left="320" w:top="943" w:right="319" w:bottom="1440" w:gutter="0" w:footer="0" w:header="0"/>
        </w:sectPr>
      </w:pPr>
    </w:p>
    <w:bookmarkStart w:id="76" w:name="page77"/>
    <w:bookmarkEnd w:id="76"/>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77"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8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products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Dutch Medicines Act (</w:t>
      </w:r>
      <w:r>
        <w:rPr>
          <w:rFonts w:ascii="Times New Roman" w:cs="Times New Roman" w:eastAsia="Times New Roman" w:hAnsi="Times New Roman"/>
          <w:sz w:val="19"/>
          <w:szCs w:val="19"/>
          <w:i w:val="1"/>
          <w:iCs w:val="1"/>
          <w:color w:val="auto"/>
        </w:rPr>
        <w:t>Geneesmiddelenwet</w:t>
      </w:r>
      <w:r>
        <w:rPr>
          <w:rFonts w:ascii="Times New Roman" w:cs="Times New Roman" w:eastAsia="Times New Roman" w:hAnsi="Times New Roman"/>
          <w:sz w:val="18"/>
          <w:szCs w:val="18"/>
          <w:color w:val="auto"/>
        </w:rPr>
        <w:t>), “medicinal products” are defined as: a substance or a combination of substances that is</w:t>
      </w:r>
    </w:p>
    <w:p>
      <w:pPr>
        <w:spacing w:after="0" w:line="5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60"/>
          </w:cols>
          <w:pgMar w:left="320" w:top="725" w:right="319" w:bottom="1440" w:gutter="0" w:footer="0" w:header="0"/>
        </w:sectPr>
      </w:pPr>
    </w:p>
    <w:bookmarkStart w:id="77" w:name="page78"/>
    <w:bookmarkEnd w:id="77"/>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8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Authorization Regulatory Process</w:t>
      </w:r>
    </w:p>
    <w:p>
      <w:pPr>
        <w:spacing w:after="0" w:line="25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60"/>
          </w:cols>
          <w:pgMar w:left="320" w:top="943" w:right="319" w:bottom="1440" w:gutter="0" w:footer="0" w:header="0"/>
        </w:sectPr>
      </w:pPr>
    </w:p>
    <w:bookmarkStart w:id="78" w:name="page79"/>
    <w:bookmarkEnd w:id="78"/>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18"/>
          <w:szCs w:val="18"/>
          <w:b w:val="1"/>
          <w:bCs w:val="1"/>
          <w:color w:val="auto"/>
        </w:rPr>
        <w:t>RMS</w:t>
      </w:r>
      <w:r>
        <w:rPr>
          <w:rFonts w:ascii="Times New Roman" w:cs="Times New Roman" w:eastAsia="Times New Roman" w:hAnsi="Times New Roman"/>
          <w:sz w:val="18"/>
          <w:szCs w:val="18"/>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8"/>
          <w:szCs w:val="18"/>
          <w:b w:val="1"/>
          <w:bCs w:val="1"/>
          <w:color w:val="auto"/>
        </w:rPr>
        <w:t>CMDh</w:t>
      </w:r>
      <w:r>
        <w:rPr>
          <w:rFonts w:ascii="Times New Roman" w:cs="Times New Roman" w:eastAsia="Times New Roman" w:hAnsi="Times New Roman"/>
          <w:sz w:val="18"/>
          <w:szCs w:val="18"/>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Ireland</w:t>
      </w:r>
    </w:p>
    <w:p>
      <w:pPr>
        <w:spacing w:after="0" w:line="2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In Ireland, psilocin is a controlled substance under the </w:t>
      </w:r>
      <w:r>
        <w:rPr>
          <w:rFonts w:ascii="Times New Roman" w:cs="Times New Roman" w:eastAsia="Times New Roman" w:hAnsi="Times New Roman"/>
          <w:sz w:val="18"/>
          <w:szCs w:val="18"/>
          <w:i w:val="1"/>
          <w:iCs w:val="1"/>
          <w:color w:val="auto"/>
        </w:rPr>
        <w:t>Misuse of Drugs Act, 1977, 1984 and 2015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Misuse of Drugs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2017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Criminal Justice (Psychoactive Substances) Act 2010</w:t>
      </w:r>
      <w:r>
        <w:rPr>
          <w:rFonts w:ascii="Times New Roman" w:cs="Times New Roman" w:eastAsia="Times New Roman" w:hAnsi="Times New Roman"/>
          <w:sz w:val="18"/>
          <w:szCs w:val="18"/>
          <w:color w:val="auto"/>
        </w:rPr>
        <w:t>. These are the primary legislative instruments which govern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9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8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8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8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60"/>
          </w:cols>
          <w:pgMar w:left="320" w:top="725" w:right="319" w:bottom="1440" w:gutter="0" w:footer="0" w:header="0"/>
        </w:sectPr>
      </w:pPr>
    </w:p>
    <w:bookmarkStart w:id="79" w:name="page80"/>
    <w:bookmarkEnd w:id="79"/>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21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71" w:lineRule="exact"/>
        <w:rPr>
          <w:sz w:val="20"/>
          <w:szCs w:val="20"/>
          <w:color w:val="auto"/>
        </w:rPr>
      </w:pPr>
    </w:p>
    <w:p>
      <w:pPr>
        <w:jc w:val="both"/>
        <w:ind w:right="20"/>
        <w:spacing w:after="0" w:line="343" w:lineRule="auto"/>
        <w:rPr>
          <w:sz w:val="20"/>
          <w:szCs w:val="20"/>
          <w:color w:val="auto"/>
        </w:rPr>
      </w:pPr>
      <w:r>
        <w:rPr>
          <w:rFonts w:ascii="Times New Roman" w:cs="Times New Roman" w:eastAsia="Times New Roman" w:hAnsi="Times New Roman"/>
          <w:sz w:val="17"/>
          <w:szCs w:val="17"/>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9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52"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5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 Cooperation Treaty</w:t>
      </w:r>
    </w:p>
    <w:p>
      <w:pPr>
        <w:spacing w:after="0" w:line="26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The PCT facilitates filing for patent recognition in multiple jurisdictions simultaneously using a single uniform patent application. 157 countries, including Canada and the United States have ratified the PCT.</w:t>
      </w:r>
    </w:p>
    <w:p>
      <w:pPr>
        <w:spacing w:after="0" w:line="157"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4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60"/>
          </w:cols>
          <w:pgMar w:left="320" w:top="71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globally, such as Canada (30 months) and Europe (31 months), in each case claiming priority to the provisional patent application.</w:t>
      </w:r>
    </w:p>
    <w:p>
      <w:pPr>
        <w:spacing w:after="0" w:line="2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Quarterly Information</w:t>
      </w:r>
    </w:p>
    <w:p>
      <w:pPr>
        <w:spacing w:after="0" w:line="258"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The following table sets forth selected consolidated financial information for the periods indicated that are derived from, and should be read in conjunction with, the Financial Statements and related notes thereto.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(Canadian dollars in thousands,</w:t>
            </w:r>
          </w:p>
        </w:tc>
        <w:tc>
          <w:tcPr>
            <w:tcW w:w="134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940" w:type="dxa"/>
            <w:vAlign w:val="bottom"/>
          </w:tcPr>
          <w:p>
            <w:pPr>
              <w:ind w:left="60"/>
              <w:spacing w:after="0" w:line="102" w:lineRule="exact"/>
              <w:rPr>
                <w:sz w:val="20"/>
                <w:szCs w:val="20"/>
                <w:color w:val="auto"/>
              </w:rPr>
            </w:pPr>
            <w:r>
              <w:rPr>
                <w:rFonts w:ascii="Times New Roman" w:cs="Times New Roman" w:eastAsia="Times New Roman" w:hAnsi="Times New Roman"/>
                <w:sz w:val="11"/>
                <w:szCs w:val="11"/>
                <w:i w:val="1"/>
                <w:iCs w:val="1"/>
                <w:color w:val="auto"/>
              </w:rPr>
              <w:t>except per share and share</w:t>
            </w:r>
          </w:p>
        </w:tc>
        <w:tc>
          <w:tcPr>
            <w:tcW w:w="1340" w:type="dxa"/>
            <w:vAlign w:val="bottom"/>
          </w:tcPr>
          <w:p>
            <w:pPr>
              <w:spacing w:after="0"/>
              <w:rPr>
                <w:sz w:val="8"/>
                <w:szCs w:val="8"/>
                <w:color w:val="auto"/>
              </w:rPr>
            </w:pPr>
          </w:p>
        </w:tc>
        <w:tc>
          <w:tcPr>
            <w:tcW w:w="11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June 30,2023</w:t>
            </w:r>
          </w:p>
        </w:tc>
        <w:tc>
          <w:tcPr>
            <w:tcW w:w="11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1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134"/>
        </w:trPr>
        <w:tc>
          <w:tcPr>
            <w:tcW w:w="194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figures)</w:t>
            </w: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40" w:type="dxa"/>
            <w:vAlign w:val="bottom"/>
            <w:tcBorders>
              <w:bottom w:val="single" w:sz="8" w:color="auto"/>
            </w:tcBorders>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Revenues ($)</w:t>
            </w: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2"/>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Expenses ($)</w:t>
            </w: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8"/>
              </w:rPr>
              <w:t>27,024</w:t>
            </w:r>
          </w:p>
        </w:tc>
        <w:tc>
          <w:tcPr>
            <w:tcW w:w="112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8"/>
              </w:rPr>
              <w:t>13,910</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12,707</w:t>
            </w:r>
          </w:p>
        </w:tc>
        <w:tc>
          <w:tcPr>
            <w:tcW w:w="11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8"/>
              </w:rPr>
              <w:t>13,703</w:t>
            </w: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8"/>
              </w:rPr>
              <w:t>12,093</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12,327</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13,395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16,338</w:t>
            </w:r>
          </w:p>
        </w:tc>
        <w:tc>
          <w:tcPr>
            <w:tcW w:w="0" w:type="dxa"/>
            <w:vAlign w:val="bottom"/>
          </w:tcPr>
          <w:p>
            <w:pPr>
              <w:spacing w:after="0"/>
              <w:rPr>
                <w:sz w:val="1"/>
                <w:szCs w:val="1"/>
                <w:color w:val="auto"/>
              </w:rPr>
            </w:pPr>
          </w:p>
        </w:tc>
      </w:tr>
      <w:tr>
        <w:trPr>
          <w:trHeight w:val="182"/>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Net loss ($)</w:t>
            </w:r>
          </w:p>
        </w:tc>
        <w:tc>
          <w:tcPr>
            <w:tcW w:w="134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(30,330)</w:t>
            </w: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(11,890)</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6"/>
              </w:rPr>
              <w:t>(14,514)</w:t>
            </w:r>
          </w:p>
        </w:tc>
        <w:tc>
          <w:tcPr>
            <w:tcW w:w="118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(13,720)</w:t>
            </w: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6"/>
              </w:rPr>
              <w:t>(10,742)</w:t>
            </w:r>
          </w:p>
        </w:tc>
        <w:tc>
          <w:tcPr>
            <w:tcW w:w="114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7"/>
              </w:rPr>
              <w:t>(9,973)</w:t>
            </w: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(13,055)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(18,097)</w:t>
            </w:r>
          </w:p>
        </w:tc>
        <w:tc>
          <w:tcPr>
            <w:tcW w:w="0" w:type="dxa"/>
            <w:vAlign w:val="bottom"/>
          </w:tcPr>
          <w:p>
            <w:pPr>
              <w:spacing w:after="0"/>
              <w:rPr>
                <w:sz w:val="1"/>
                <w:szCs w:val="1"/>
                <w:color w:val="auto"/>
              </w:rPr>
            </w:pPr>
          </w:p>
        </w:tc>
      </w:tr>
      <w:tr>
        <w:trPr>
          <w:trHeight w:val="431"/>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34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7"/>
              </w:rPr>
              <w:t>333,679,544</w:t>
            </w: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7"/>
              </w:rPr>
              <w:t>234,584,277</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9"/>
              </w:rPr>
              <w:t>206,157,780</w:t>
            </w:r>
          </w:p>
        </w:tc>
        <w:tc>
          <w:tcPr>
            <w:tcW w:w="118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7"/>
              </w:rPr>
              <w:t>196,144,381</w:t>
            </w:r>
          </w:p>
        </w:tc>
        <w:tc>
          <w:tcPr>
            <w:tcW w:w="11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188,887,344</w:t>
            </w:r>
          </w:p>
        </w:tc>
        <w:tc>
          <w:tcPr>
            <w:tcW w:w="114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7"/>
              </w:rPr>
              <w:t>180,837,176</w:t>
            </w: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7"/>
              </w:rPr>
              <w:t>175,874,475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173,873,017</w:t>
            </w:r>
          </w:p>
        </w:tc>
        <w:tc>
          <w:tcPr>
            <w:tcW w:w="0" w:type="dxa"/>
            <w:vAlign w:val="bottom"/>
          </w:tcPr>
          <w:p>
            <w:pPr>
              <w:spacing w:after="0"/>
              <w:rPr>
                <w:sz w:val="1"/>
                <w:szCs w:val="1"/>
                <w:color w:val="auto"/>
              </w:rPr>
            </w:pPr>
          </w:p>
        </w:tc>
      </w:tr>
      <w:tr>
        <w:trPr>
          <w:trHeight w:val="182"/>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rPr>
              <w:t>(0.09)</w:t>
            </w: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4"/>
              </w:rPr>
              <w:t>(0.05)</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(0.07)</w:t>
            </w:r>
          </w:p>
        </w:tc>
        <w:tc>
          <w:tcPr>
            <w:tcW w:w="118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4"/>
              </w:rPr>
              <w:t>(0.07)</w:t>
            </w: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rPr>
              <w:t>(0.06)</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(0.06)</w:t>
            </w: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4"/>
              </w:rPr>
              <w:t>(0.07)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382"/>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34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7"/>
              </w:rPr>
              <w:t>333,679,544</w:t>
            </w: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7"/>
              </w:rPr>
              <w:t>234,584,277</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9"/>
              </w:rPr>
              <w:t>206,157,780</w:t>
            </w:r>
          </w:p>
        </w:tc>
        <w:tc>
          <w:tcPr>
            <w:tcW w:w="118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7"/>
              </w:rPr>
              <w:t>196,144,381</w:t>
            </w:r>
          </w:p>
        </w:tc>
        <w:tc>
          <w:tcPr>
            <w:tcW w:w="11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188,887,344</w:t>
            </w:r>
          </w:p>
        </w:tc>
        <w:tc>
          <w:tcPr>
            <w:tcW w:w="114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7"/>
              </w:rPr>
              <w:t>180,837,176</w:t>
            </w: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7"/>
              </w:rPr>
              <w:t>175,874,475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173,873,017</w:t>
            </w:r>
          </w:p>
        </w:tc>
        <w:tc>
          <w:tcPr>
            <w:tcW w:w="0" w:type="dxa"/>
            <w:vAlign w:val="bottom"/>
          </w:tcPr>
          <w:p>
            <w:pPr>
              <w:spacing w:after="0"/>
              <w:rPr>
                <w:sz w:val="1"/>
                <w:szCs w:val="1"/>
                <w:color w:val="auto"/>
              </w:rPr>
            </w:pPr>
          </w:p>
        </w:tc>
      </w:tr>
      <w:tr>
        <w:trPr>
          <w:trHeight w:val="182"/>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rPr>
              <w:t>(0.09)</w:t>
            </w: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4"/>
              </w:rPr>
              <w:t>(0.05)</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(0.07)</w:t>
            </w:r>
          </w:p>
        </w:tc>
        <w:tc>
          <w:tcPr>
            <w:tcW w:w="118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4"/>
              </w:rPr>
              <w:t>(0.07)</w:t>
            </w: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rPr>
              <w:t>(0.06)</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(0.06)</w:t>
            </w: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4"/>
              </w:rPr>
              <w:t>(0.07)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424"/>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8"/>
              </w:rPr>
              <w:t>38,999</w:t>
            </w: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3"/>
              </w:rPr>
              <w:t>18,118</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5"/>
              </w:rPr>
              <w:t>9,349</w:t>
            </w:r>
          </w:p>
        </w:tc>
        <w:tc>
          <w:tcPr>
            <w:tcW w:w="11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8"/>
              </w:rPr>
              <w:t>16,633</w:t>
            </w: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8"/>
              </w:rPr>
              <w:t>22,511</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29,937</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42,460</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53,641</w:t>
            </w:r>
          </w:p>
        </w:tc>
        <w:tc>
          <w:tcPr>
            <w:tcW w:w="0" w:type="dxa"/>
            <w:vAlign w:val="bottom"/>
          </w:tcPr>
          <w:p>
            <w:pPr>
              <w:spacing w:after="0"/>
              <w:rPr>
                <w:sz w:val="1"/>
                <w:szCs w:val="1"/>
                <w:color w:val="auto"/>
              </w:rPr>
            </w:pPr>
          </w:p>
        </w:tc>
      </w:tr>
      <w:tr>
        <w:trPr>
          <w:trHeight w:val="182"/>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 ($)</w:t>
            </w:r>
          </w:p>
        </w:tc>
        <w:tc>
          <w:tcPr>
            <w:tcW w:w="134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6"/>
              </w:rPr>
              <w:t>129,724</w:t>
            </w:r>
          </w:p>
        </w:tc>
        <w:tc>
          <w:tcPr>
            <w:tcW w:w="112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8"/>
              </w:rPr>
              <w:t>57,627</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45,691</w:t>
            </w:r>
          </w:p>
        </w:tc>
        <w:tc>
          <w:tcPr>
            <w:tcW w:w="11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8"/>
              </w:rPr>
              <w:t>53,897</w:t>
            </w: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8"/>
              </w:rPr>
              <w:t>60,694</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69,113</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74,590</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84,063</w:t>
            </w:r>
          </w:p>
        </w:tc>
        <w:tc>
          <w:tcPr>
            <w:tcW w:w="0" w:type="dxa"/>
            <w:vAlign w:val="bottom"/>
          </w:tcPr>
          <w:p>
            <w:pPr>
              <w:spacing w:after="0"/>
              <w:rPr>
                <w:sz w:val="1"/>
                <w:szCs w:val="1"/>
                <w:color w:val="auto"/>
              </w:rPr>
            </w:pPr>
          </w:p>
        </w:tc>
      </w:tr>
      <w:tr>
        <w:trPr>
          <w:trHeight w:val="140"/>
        </w:trPr>
        <w:tc>
          <w:tcPr>
            <w:tcW w:w="194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340" w:type="dxa"/>
            <w:vAlign w:val="bottom"/>
          </w:tcPr>
          <w:p>
            <w:pPr>
              <w:spacing w:after="0"/>
              <w:rPr>
                <w:sz w:val="12"/>
                <w:szCs w:val="12"/>
                <w:color w:val="auto"/>
              </w:rPr>
            </w:pPr>
          </w:p>
        </w:tc>
        <w:tc>
          <w:tcPr>
            <w:tcW w:w="1120" w:type="dxa"/>
            <w:vAlign w:val="bottom"/>
            <w:vMerge w:val="restart"/>
          </w:tcPr>
          <w:p>
            <w:pPr>
              <w:jc w:val="center"/>
              <w:ind w:right="131"/>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center"/>
              <w:ind w:right="71"/>
              <w:spacing w:after="0"/>
              <w:rPr>
                <w:sz w:val="20"/>
                <w:szCs w:val="20"/>
                <w:color w:val="auto"/>
              </w:rPr>
            </w:pPr>
            <w:r>
              <w:rPr>
                <w:rFonts w:ascii="Times New Roman" w:cs="Times New Roman" w:eastAsia="Times New Roman" w:hAnsi="Times New Roman"/>
                <w:sz w:val="15"/>
                <w:szCs w:val="15"/>
                <w:color w:val="auto"/>
                <w:w w:val="93"/>
              </w:rPr>
              <w:t>—</w:t>
            </w:r>
          </w:p>
        </w:tc>
        <w:tc>
          <w:tcPr>
            <w:tcW w:w="1180" w:type="dxa"/>
            <w:vAlign w:val="bottom"/>
            <w:vMerge w:val="restart"/>
          </w:tcPr>
          <w:p>
            <w:pPr>
              <w:jc w:val="center"/>
              <w:ind w:right="71"/>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center"/>
              <w:ind w:right="111"/>
              <w:spacing w:after="0"/>
              <w:rPr>
                <w:sz w:val="20"/>
                <w:szCs w:val="20"/>
                <w:color w:val="auto"/>
              </w:rPr>
            </w:pPr>
            <w:r>
              <w:rPr>
                <w:rFonts w:ascii="Times New Roman" w:cs="Times New Roman" w:eastAsia="Times New Roman" w:hAnsi="Times New Roman"/>
                <w:sz w:val="15"/>
                <w:szCs w:val="15"/>
                <w:color w:val="auto"/>
                <w:w w:val="93"/>
              </w:rPr>
              <w:t>—</w:t>
            </w:r>
          </w:p>
        </w:tc>
        <w:tc>
          <w:tcPr>
            <w:tcW w:w="1140" w:type="dxa"/>
            <w:vAlign w:val="bottom"/>
            <w:vMerge w:val="restart"/>
          </w:tcPr>
          <w:p>
            <w:pPr>
              <w:jc w:val="center"/>
              <w:ind w:right="91"/>
              <w:spacing w:after="0"/>
              <w:rPr>
                <w:sz w:val="20"/>
                <w:szCs w:val="20"/>
                <w:color w:val="auto"/>
              </w:rPr>
            </w:pPr>
            <w:r>
              <w:rPr>
                <w:rFonts w:ascii="Times New Roman" w:cs="Times New Roman" w:eastAsia="Times New Roman" w:hAnsi="Times New Roman"/>
                <w:sz w:val="15"/>
                <w:szCs w:val="15"/>
                <w:color w:val="auto"/>
                <w:w w:val="93"/>
              </w:rPr>
              <w:t>—</w:t>
            </w:r>
          </w:p>
        </w:tc>
        <w:tc>
          <w:tcPr>
            <w:tcW w:w="1140" w:type="dxa"/>
            <w:vAlign w:val="bottom"/>
            <w:vMerge w:val="restart"/>
          </w:tcPr>
          <w:p>
            <w:pPr>
              <w:jc w:val="center"/>
              <w:ind w:right="71"/>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color w:val="auto"/>
                <w:w w:val="99"/>
              </w:rPr>
              <w:t>42</w:t>
            </w:r>
          </w:p>
        </w:tc>
        <w:tc>
          <w:tcPr>
            <w:tcW w:w="11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dividends on the Common Shares and does not anticipate declaring any dividends in the near future.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7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Total assets increased by 75,827 from April 1, 2023 to December 31, 2023 mainly as a result of an equity raise, and issuances of Common Shares under the 2022 ATM Program and 2023 ATM Program (both, as defined herein).As at December 31, 2023, the Company had prepaid expenses related to future clinical work of $4,480 (US$3,388).</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60"/>
          </w:cols>
          <w:pgMar w:left="320" w:top="7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long term lease liability of $42, was recorded as of December 31, 2023</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Borders>
              <w:bottom w:val="single" w:sz="8" w:color="auto"/>
            </w:tcBorders>
          </w:tcPr>
          <w:p>
            <w:pPr>
              <w:spacing w:after="0"/>
              <w:rPr>
                <w:sz w:val="16"/>
                <w:szCs w:val="16"/>
                <w:color w:val="auto"/>
              </w:rPr>
            </w:pPr>
          </w:p>
        </w:tc>
        <w:tc>
          <w:tcPr>
            <w:tcW w:w="2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96"/>
              </w:rPr>
              <w:t>Three months ended December 31,</w:t>
            </w:r>
          </w:p>
        </w:tc>
        <w:tc>
          <w:tcPr>
            <w:tcW w:w="880" w:type="dxa"/>
            <w:vAlign w:val="bottom"/>
          </w:tcPr>
          <w:p>
            <w:pPr>
              <w:spacing w:after="0"/>
              <w:rPr>
                <w:sz w:val="16"/>
                <w:szCs w:val="16"/>
                <w:color w:val="auto"/>
              </w:rPr>
            </w:pPr>
          </w:p>
        </w:tc>
        <w:tc>
          <w:tcPr>
            <w:tcW w:w="2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96"/>
              </w:rPr>
              <w:t>Nine months ended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160" w:type="dxa"/>
            <w:vAlign w:val="bottom"/>
          </w:tcPr>
          <w:p>
            <w:pPr>
              <w:jc w:val="right"/>
              <w:ind w:right="607"/>
              <w:spacing w:after="0"/>
              <w:rPr>
                <w:sz w:val="20"/>
                <w:szCs w:val="20"/>
                <w:color w:val="auto"/>
              </w:rPr>
            </w:pPr>
            <w:r>
              <w:rPr>
                <w:rFonts w:ascii="Times New Roman" w:cs="Times New Roman" w:eastAsia="Times New Roman" w:hAnsi="Times New Roman"/>
                <w:sz w:val="15"/>
                <w:szCs w:val="15"/>
                <w:b w:val="1"/>
                <w:bCs w:val="1"/>
                <w:color w:val="auto"/>
              </w:rPr>
              <w:t>2023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212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2023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0" w:type="dxa"/>
            <w:vAlign w:val="bottom"/>
          </w:tcPr>
          <w:p>
            <w:pPr>
              <w:spacing w:after="0"/>
              <w:rPr>
                <w:sz w:val="1"/>
                <w:szCs w:val="1"/>
                <w:color w:val="auto"/>
              </w:rPr>
            </w:pPr>
          </w:p>
        </w:tc>
      </w:tr>
      <w:tr>
        <w:trPr>
          <w:trHeight w:val="53"/>
        </w:trPr>
        <w:tc>
          <w:tcPr>
            <w:tcW w:w="516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16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2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Research</w:t>
            </w:r>
          </w:p>
        </w:tc>
        <w:tc>
          <w:tcPr>
            <w:tcW w:w="216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7,439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6,256</w:t>
            </w:r>
          </w:p>
        </w:tc>
        <w:tc>
          <w:tcPr>
            <w:tcW w:w="2120" w:type="dxa"/>
            <w:vAlign w:val="bottom"/>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20,519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17,445</w:t>
            </w:r>
          </w:p>
        </w:tc>
        <w:tc>
          <w:tcPr>
            <w:tcW w:w="0" w:type="dxa"/>
            <w:vAlign w:val="bottom"/>
          </w:tcPr>
          <w:p>
            <w:pPr>
              <w:spacing w:after="0"/>
              <w:rPr>
                <w:sz w:val="1"/>
                <w:szCs w:val="1"/>
                <w:color w:val="auto"/>
              </w:rPr>
            </w:pPr>
          </w:p>
        </w:tc>
      </w:tr>
      <w:tr>
        <w:trPr>
          <w:trHeight w:val="327"/>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General and administrative costs</w:t>
            </w:r>
          </w:p>
        </w:tc>
        <w:tc>
          <w:tcPr>
            <w:tcW w:w="216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9,657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4,859</w:t>
            </w:r>
          </w:p>
        </w:tc>
        <w:tc>
          <w:tcPr>
            <w:tcW w:w="2120" w:type="dxa"/>
            <w:vAlign w:val="bottom"/>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20,505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16,165</w:t>
            </w:r>
          </w:p>
        </w:tc>
        <w:tc>
          <w:tcPr>
            <w:tcW w:w="0" w:type="dxa"/>
            <w:vAlign w:val="bottom"/>
          </w:tcPr>
          <w:p>
            <w:pPr>
              <w:spacing w:after="0"/>
              <w:rPr>
                <w:sz w:val="1"/>
                <w:szCs w:val="1"/>
                <w:color w:val="auto"/>
              </w:rPr>
            </w:pPr>
          </w:p>
        </w:tc>
      </w:tr>
      <w:tr>
        <w:trPr>
          <w:trHeight w:val="327"/>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216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9,928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2120" w:type="dxa"/>
            <w:vAlign w:val="bottom"/>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12,617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4,205</w:t>
            </w:r>
          </w:p>
        </w:tc>
        <w:tc>
          <w:tcPr>
            <w:tcW w:w="0" w:type="dxa"/>
            <w:vAlign w:val="bottom"/>
          </w:tcPr>
          <w:p>
            <w:pPr>
              <w:spacing w:after="0"/>
              <w:rPr>
                <w:sz w:val="1"/>
                <w:szCs w:val="1"/>
                <w:color w:val="auto"/>
              </w:rPr>
            </w:pPr>
          </w:p>
        </w:tc>
      </w:tr>
      <w:tr>
        <w:trPr>
          <w:trHeight w:val="150"/>
        </w:trPr>
        <w:tc>
          <w:tcPr>
            <w:tcW w:w="51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21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27,024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12,093</w:t>
            </w:r>
          </w:p>
        </w:tc>
        <w:tc>
          <w:tcPr>
            <w:tcW w:w="212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53,641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37,815</w:t>
            </w:r>
          </w:p>
        </w:tc>
        <w:tc>
          <w:tcPr>
            <w:tcW w:w="0" w:type="dxa"/>
            <w:vAlign w:val="bottom"/>
          </w:tcPr>
          <w:p>
            <w:pPr>
              <w:spacing w:after="0"/>
              <w:rPr>
                <w:sz w:val="1"/>
                <w:szCs w:val="1"/>
                <w:color w:val="auto"/>
              </w:rPr>
            </w:pPr>
          </w:p>
        </w:tc>
      </w:tr>
      <w:tr>
        <w:trPr>
          <w:trHeight w:val="256"/>
        </w:trPr>
        <w:tc>
          <w:tcPr>
            <w:tcW w:w="516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OTHER INCOME (EXPENSES)</w:t>
            </w:r>
          </w:p>
        </w:tc>
        <w:tc>
          <w:tcPr>
            <w:tcW w:w="2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income</w:t>
            </w:r>
          </w:p>
        </w:tc>
        <w:tc>
          <w:tcPr>
            <w:tcW w:w="216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141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2120" w:type="dxa"/>
            <w:vAlign w:val="bottom"/>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277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0" w:type="dxa"/>
            <w:vAlign w:val="bottom"/>
          </w:tcPr>
          <w:p>
            <w:pPr>
              <w:spacing w:after="0"/>
              <w:rPr>
                <w:sz w:val="1"/>
                <w:szCs w:val="1"/>
                <w:color w:val="auto"/>
              </w:rPr>
            </w:pPr>
          </w:p>
        </w:tc>
      </w:tr>
      <w:tr>
        <w:trPr>
          <w:trHeight w:val="340"/>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gain (loss)</w:t>
            </w:r>
          </w:p>
        </w:tc>
        <w:tc>
          <w:tcPr>
            <w:tcW w:w="216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(3,447)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1,353</w:t>
            </w:r>
          </w:p>
        </w:tc>
        <w:tc>
          <w:tcPr>
            <w:tcW w:w="2120" w:type="dxa"/>
            <w:vAlign w:val="bottom"/>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(3,370)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4,067</w:t>
            </w:r>
          </w:p>
        </w:tc>
        <w:tc>
          <w:tcPr>
            <w:tcW w:w="0" w:type="dxa"/>
            <w:vAlign w:val="bottom"/>
          </w:tcPr>
          <w:p>
            <w:pPr>
              <w:spacing w:after="0"/>
              <w:rPr>
                <w:sz w:val="1"/>
                <w:szCs w:val="1"/>
                <w:color w:val="auto"/>
              </w:rPr>
            </w:pPr>
          </w:p>
        </w:tc>
      </w:tr>
      <w:tr>
        <w:trPr>
          <w:trHeight w:val="303"/>
        </w:trPr>
        <w:tc>
          <w:tcPr>
            <w:tcW w:w="516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Change in fair value of investments measured at fair value through profit or loss</w:t>
            </w:r>
          </w:p>
        </w:tc>
        <w:tc>
          <w:tcPr>
            <w:tcW w:w="216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2120" w:type="dxa"/>
            <w:vAlign w:val="bottom"/>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0" w:type="dxa"/>
            <w:vAlign w:val="bottom"/>
          </w:tcPr>
          <w:p>
            <w:pPr>
              <w:spacing w:after="0"/>
              <w:rPr>
                <w:sz w:val="1"/>
                <w:szCs w:val="1"/>
                <w:color w:val="auto"/>
              </w:rPr>
            </w:pPr>
          </w:p>
        </w:tc>
      </w:tr>
      <w:tr>
        <w:trPr>
          <w:trHeight w:val="61"/>
        </w:trPr>
        <w:tc>
          <w:tcPr>
            <w:tcW w:w="5160" w:type="dxa"/>
            <w:vAlign w:val="bottom"/>
            <w:vMerge w:val="continue"/>
          </w:tcPr>
          <w:p>
            <w:pPr>
              <w:spacing w:after="0"/>
              <w:rPr>
                <w:sz w:val="5"/>
                <w:szCs w:val="5"/>
                <w:color w:val="auto"/>
              </w:rPr>
            </w:pPr>
          </w:p>
        </w:tc>
        <w:tc>
          <w:tcPr>
            <w:tcW w:w="2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Contingent consideration accretion</w:t>
            </w:r>
          </w:p>
        </w:tc>
        <w:tc>
          <w:tcPr>
            <w:tcW w:w="216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120" w:type="dxa"/>
            <w:vAlign w:val="bottom"/>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61"/>
        </w:trPr>
        <w:tc>
          <w:tcPr>
            <w:tcW w:w="5160" w:type="dxa"/>
            <w:vAlign w:val="bottom"/>
            <w:vMerge w:val="continue"/>
          </w:tcPr>
          <w:p>
            <w:pPr>
              <w:spacing w:after="0"/>
              <w:rPr>
                <w:sz w:val="5"/>
                <w:szCs w:val="5"/>
                <w:color w:val="auto"/>
              </w:rPr>
            </w:pPr>
          </w:p>
        </w:tc>
        <w:tc>
          <w:tcPr>
            <w:tcW w:w="2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516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Change in fair value of contingent consideration</w:t>
            </w:r>
          </w:p>
        </w:tc>
        <w:tc>
          <w:tcPr>
            <w:tcW w:w="216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120" w:type="dxa"/>
            <w:vAlign w:val="bottom"/>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0" w:type="dxa"/>
            <w:vAlign w:val="bottom"/>
          </w:tcPr>
          <w:p>
            <w:pPr>
              <w:spacing w:after="0"/>
              <w:rPr>
                <w:sz w:val="1"/>
                <w:szCs w:val="1"/>
                <w:color w:val="auto"/>
              </w:rPr>
            </w:pPr>
          </w:p>
        </w:tc>
      </w:tr>
      <w:tr>
        <w:trPr>
          <w:trHeight w:val="61"/>
        </w:trPr>
        <w:tc>
          <w:tcPr>
            <w:tcW w:w="5160" w:type="dxa"/>
            <w:vAlign w:val="bottom"/>
            <w:vMerge w:val="continue"/>
          </w:tcPr>
          <w:p>
            <w:pPr>
              <w:spacing w:after="0"/>
              <w:rPr>
                <w:sz w:val="5"/>
                <w:szCs w:val="5"/>
                <w:color w:val="auto"/>
              </w:rPr>
            </w:pPr>
          </w:p>
        </w:tc>
        <w:tc>
          <w:tcPr>
            <w:tcW w:w="2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516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5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OTHER INCOME (EXPENSES)</w:t>
            </w:r>
          </w:p>
        </w:tc>
        <w:tc>
          <w:tcPr>
            <w:tcW w:w="21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(3,306)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1,351</w:t>
            </w:r>
          </w:p>
        </w:tc>
        <w:tc>
          <w:tcPr>
            <w:tcW w:w="212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(3,093)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4,045</w:t>
            </w:r>
          </w:p>
        </w:tc>
        <w:tc>
          <w:tcPr>
            <w:tcW w:w="0" w:type="dxa"/>
            <w:vAlign w:val="bottom"/>
          </w:tcPr>
          <w:p>
            <w:pPr>
              <w:spacing w:after="0"/>
              <w:rPr>
                <w:sz w:val="1"/>
                <w:szCs w:val="1"/>
                <w:color w:val="auto"/>
              </w:rPr>
            </w:pPr>
          </w:p>
        </w:tc>
      </w:tr>
      <w:tr>
        <w:trPr>
          <w:trHeight w:val="127"/>
        </w:trPr>
        <w:tc>
          <w:tcPr>
            <w:tcW w:w="51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60" w:type="dxa"/>
            <w:vAlign w:val="bottom"/>
            <w:tcBorders>
              <w:bottom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NET LOSS FOR THE PERIOD</w:t>
            </w:r>
          </w:p>
        </w:tc>
        <w:tc>
          <w:tcPr>
            <w:tcW w:w="21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(30,330)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(10,742)</w:t>
            </w:r>
          </w:p>
        </w:tc>
        <w:tc>
          <w:tcPr>
            <w:tcW w:w="212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(56,734)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(33,770)</w:t>
            </w:r>
          </w:p>
        </w:tc>
        <w:tc>
          <w:tcPr>
            <w:tcW w:w="0" w:type="dxa"/>
            <w:vAlign w:val="bottom"/>
          </w:tcPr>
          <w:p>
            <w:pPr>
              <w:spacing w:after="0"/>
              <w:rPr>
                <w:sz w:val="1"/>
                <w:szCs w:val="1"/>
                <w:color w:val="auto"/>
              </w:rPr>
            </w:pPr>
          </w:p>
        </w:tc>
      </w:tr>
      <w:tr>
        <w:trPr>
          <w:trHeight w:val="535"/>
        </w:trPr>
        <w:tc>
          <w:tcPr>
            <w:tcW w:w="5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Basic loss per share for the period attributable to common shareholders</w:t>
            </w:r>
          </w:p>
        </w:tc>
        <w:tc>
          <w:tcPr>
            <w:tcW w:w="2160" w:type="dxa"/>
            <w:vAlign w:val="bottom"/>
          </w:tcPr>
          <w:p>
            <w:pPr>
              <w:jc w:val="right"/>
              <w:ind w:right="607"/>
              <w:spacing w:after="0"/>
              <w:rPr>
                <w:sz w:val="20"/>
                <w:szCs w:val="20"/>
                <w:color w:val="auto"/>
              </w:rPr>
            </w:pPr>
            <w:r>
              <w:rPr>
                <w:rFonts w:ascii="Times New Roman" w:cs="Times New Roman" w:eastAsia="Times New Roman" w:hAnsi="Times New Roman"/>
                <w:sz w:val="15"/>
                <w:szCs w:val="15"/>
                <w:b w:val="1"/>
                <w:bCs w:val="1"/>
                <w:color w:val="auto"/>
              </w:rPr>
              <w:t>(0.09)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212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(0.23)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0" w:type="dxa"/>
            <w:vAlign w:val="bottom"/>
          </w:tcPr>
          <w:p>
            <w:pPr>
              <w:spacing w:after="0"/>
              <w:rPr>
                <w:sz w:val="1"/>
                <w:szCs w:val="1"/>
                <w:color w:val="auto"/>
              </w:rPr>
            </w:pPr>
          </w:p>
        </w:tc>
      </w:tr>
      <w:tr>
        <w:trPr>
          <w:trHeight w:val="63"/>
        </w:trPr>
        <w:tc>
          <w:tcPr>
            <w:tcW w:w="5160" w:type="dxa"/>
            <w:vAlign w:val="bottom"/>
            <w:tcBorders>
              <w:bottom w:val="single" w:sz="8" w:color="auto"/>
            </w:tcBorders>
            <w:vMerge w:val="continue"/>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 outstanding - basic</w:t>
            </w:r>
          </w:p>
        </w:tc>
        <w:tc>
          <w:tcPr>
            <w:tcW w:w="21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333,679,544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188,887,344</w:t>
            </w:r>
          </w:p>
        </w:tc>
        <w:tc>
          <w:tcPr>
            <w:tcW w:w="212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248,756,408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181,902,462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December 31, 2023, Cybin incurred a net loss of $30,330, compared to a net loss of $10,742 during the same period in prior year.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December 31,2023, Cybin incurred a net loss of $56,734, compared to a net loss of $33,770 during the same period in prior year.</w:t>
      </w:r>
    </w:p>
    <w:p>
      <w:pPr>
        <w:spacing w:after="0" w:line="26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During the nine- month period ended December 31, 2023, the Company was focused on progressing its various research programs, with a focus on its Deuterated Psilocybin Analog Program (CYB003) and Deuterated Dimethyltryptamine Program (CYB004), and raising awareness of the Company and its industry. During the period, the Company launched EMBARK OA, a free online foundational training course for psychedelic facilitation; completed dosing in its last patient in Part B of the Phase 1 CYB004-E trial, and initiated first-in-human dosing of CYB004 in Part C of the Phase 1 CYB004-E trial.</w:t>
      </w:r>
    </w:p>
    <w:p>
      <w:pPr>
        <w:spacing w:after="0" w:line="19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May 30, 2023, the Company entered into a Common Share purchase agreement (the “LPC Purchase Agreement”) with Lincoln Park Capital Fund, LLC (“LPC”).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w:t>
      </w:r>
    </w:p>
    <w:p>
      <w:pPr>
        <w:spacing w:after="0" w:line="183"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Cybin has the right to terminate the LPC Purchase Agreement at any time at no cost or penalty. LPC has agreed not to engage in any short selling or hedging activity of any kind in the Common Shares. As consideration for LPC’s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320" w:top="939" w:right="319" w:bottom="1440" w:gutter="0" w:footer="0" w:header="0"/>
        </w:sectPr>
      </w:pPr>
    </w:p>
    <w:bookmarkStart w:id="82" w:name="page83"/>
    <w:bookmarkEnd w:id="82"/>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obligation to purchase Common Shares from the Company at its direction under the LPC Purchase Agreement, Cybin issued 2,538,844 Common Shares to LPC as a commitment fee on May 30, 2023. The LPC Purchase Agreement provides that Cybin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the Company announced that it had suspended all sales under the LPC Purchase Agreement in connection with the August 2023 Offering (as defined below).</w:t>
      </w:r>
    </w:p>
    <w:p>
      <w:pPr>
        <w:spacing w:after="0" w:line="178" w:lineRule="exact"/>
        <w:rPr>
          <w:sz w:val="20"/>
          <w:szCs w:val="20"/>
          <w:color w:val="auto"/>
        </w:rPr>
      </w:pPr>
    </w:p>
    <w:p>
      <w:pPr>
        <w:jc w:val="both"/>
        <w:ind w:right="20"/>
        <w:spacing w:after="0" w:line="306" w:lineRule="auto"/>
        <w:rPr>
          <w:sz w:val="20"/>
          <w:szCs w:val="20"/>
          <w:color w:val="auto"/>
        </w:rPr>
      </w:pPr>
      <w:r>
        <w:rPr>
          <w:rFonts w:ascii="Calibri" w:cs="Calibri" w:eastAsia="Calibri" w:hAnsi="Calibri"/>
          <w:sz w:val="16"/>
          <w:szCs w:val="16"/>
          <w:color w:val="auto"/>
        </w:rPr>
        <w:t xml:space="preserve">On </w:t>
      </w:r>
      <w:r>
        <w:rPr>
          <w:rFonts w:ascii="Times New Roman" w:cs="Times New Roman" w:eastAsia="Times New Roman" w:hAnsi="Times New Roman"/>
          <w:sz w:val="17"/>
          <w:szCs w:val="17"/>
          <w:color w:val="auto"/>
        </w:rPr>
        <w:t>August 4, 2023, the Company completed a public offering (the</w:t>
      </w:r>
      <w:r>
        <w:rPr>
          <w:rFonts w:ascii="Calibri" w:cs="Calibri" w:eastAsia="Calibri" w:hAnsi="Calibri"/>
          <w:sz w:val="16"/>
          <w:szCs w:val="16"/>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August 2023 Offering</w:t>
      </w:r>
      <w:r>
        <w:rPr>
          <w:rFonts w:ascii="Times New Roman" w:cs="Times New Roman" w:eastAsia="Times New Roman" w:hAnsi="Times New Roman"/>
          <w:sz w:val="19"/>
          <w:szCs w:val="19"/>
          <w:color w:val="auto"/>
        </w:rPr>
        <w:t>”)</w:t>
      </w:r>
      <w:r>
        <w:rPr>
          <w:rFonts w:ascii="Calibri" w:cs="Calibri" w:eastAsia="Calibri" w:hAnsi="Calibri"/>
          <w:sz w:val="16"/>
          <w:szCs w:val="16"/>
          <w:color w:val="auto"/>
        </w:rPr>
        <w:t xml:space="preserve"> </w:t>
      </w:r>
      <w:r>
        <w:rPr>
          <w:rFonts w:ascii="Times New Roman" w:cs="Times New Roman" w:eastAsia="Times New Roman" w:hAnsi="Times New Roman"/>
          <w:sz w:val="17"/>
          <w:szCs w:val="17"/>
          <w:color w:val="auto"/>
        </w:rPr>
        <w:t>of 24,264,706 units of the Company (the “</w:t>
      </w:r>
      <w:r>
        <w:rPr>
          <w:rFonts w:ascii="Times New Roman" w:cs="Times New Roman" w:eastAsia="Times New Roman" w:hAnsi="Times New Roman"/>
          <w:sz w:val="19"/>
          <w:szCs w:val="19"/>
          <w:b w:val="1"/>
          <w:bCs w:val="1"/>
          <w:color w:val="auto"/>
        </w:rPr>
        <w:t>August 2023</w:t>
      </w:r>
      <w:r>
        <w:rPr>
          <w:rFonts w:ascii="Calibri" w:cs="Calibri" w:eastAsia="Calibri" w:hAnsi="Calibri"/>
          <w:sz w:val="16"/>
          <w:szCs w:val="16"/>
          <w:color w:val="auto"/>
        </w:rPr>
        <w:t xml:space="preserve"> </w:t>
      </w:r>
      <w:r>
        <w:rPr>
          <w:rFonts w:ascii="Times New Roman" w:cs="Times New Roman" w:eastAsia="Times New Roman" w:hAnsi="Times New Roman"/>
          <w:sz w:val="19"/>
          <w:szCs w:val="19"/>
          <w:b w:val="1"/>
          <w:bCs w:val="1"/>
          <w:color w:val="auto"/>
        </w:rPr>
        <w:t>Units</w:t>
      </w:r>
      <w:r>
        <w:rPr>
          <w:rFonts w:ascii="Times New Roman" w:cs="Times New Roman" w:eastAsia="Times New Roman" w:hAnsi="Times New Roman"/>
          <w:sz w:val="17"/>
          <w:szCs w:val="17"/>
          <w:color w:val="auto"/>
        </w:rPr>
        <w:t>”) at a price of US$0.34 per August 2023 Unit for gross proceeds of US$8,250 pursuant to the August Prospectus Supplement to the 2021 Base Shelf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7"/>
          <w:szCs w:val="17"/>
          <w:color w:val="auto"/>
        </w:rPr>
        <w:t xml:space="preserve">Prospectus . Each August 2023 Unit is comprised of one Common Share and one Common Share purchase warrant (the </w:t>
      </w:r>
      <w:r>
        <w:rPr>
          <w:rFonts w:ascii="Times New Roman" w:cs="Times New Roman" w:eastAsia="Times New Roman" w:hAnsi="Times New Roman"/>
          <w:sz w:val="19"/>
          <w:szCs w:val="19"/>
          <w:b w:val="1"/>
          <w:bCs w:val="1"/>
          <w:color w:val="auto"/>
        </w:rPr>
        <w:t>“August 2023 Warrants</w:t>
      </w: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 Each August 2023 Warrant is exercisable to acquire one Common Share at a price of US$0.40 per Common Share for a period of 60 months from issuance, subject to acceleration in certain circumstances. In connection with the August 2023 Offering, Cybin paid the underwriters a cash commission of US$379 and incurred additional share issuance costs related to professional fees of US$791.</w:t>
      </w:r>
    </w:p>
    <w:p>
      <w:pPr>
        <w:spacing w:after="0" w:line="1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9"/>
          <w:szCs w:val="19"/>
          <w:color w:val="auto"/>
        </w:rPr>
        <w:t>O</w:t>
      </w:r>
      <w:r>
        <w:rPr>
          <w:rFonts w:ascii="Times New Roman" w:cs="Times New Roman" w:eastAsia="Times New Roman" w:hAnsi="Times New Roman"/>
          <w:sz w:val="17"/>
          <w:szCs w:val="17"/>
          <w:color w:val="auto"/>
        </w:rPr>
        <w:t>n November 14, 2023, the Company completed a public offering (the “</w:t>
      </w:r>
      <w:r>
        <w:rPr>
          <w:rFonts w:ascii="Times New Roman" w:cs="Times New Roman" w:eastAsia="Times New Roman" w:hAnsi="Times New Roman"/>
          <w:sz w:val="19"/>
          <w:szCs w:val="19"/>
          <w:b w:val="1"/>
          <w:bCs w:val="1"/>
          <w:color w:val="auto"/>
        </w:rPr>
        <w:t>November 2023 Offering</w:t>
      </w:r>
      <w:r>
        <w:rPr>
          <w:rFonts w:ascii="Times New Roman" w:cs="Times New Roman" w:eastAsia="Times New Roman" w:hAnsi="Times New Roman"/>
          <w:sz w:val="17"/>
          <w:szCs w:val="17"/>
          <w:color w:val="auto"/>
        </w:rPr>
        <w:t>”) of 66,666,667 units of the Company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b w:val="1"/>
          <w:bCs w:val="1"/>
          <w:color w:val="auto"/>
        </w:rPr>
        <w:t>November 2023 Units</w:t>
      </w:r>
      <w:r>
        <w:rPr>
          <w:rFonts w:ascii="Times New Roman" w:cs="Times New Roman" w:eastAsia="Times New Roman" w:hAnsi="Times New Roman"/>
          <w:sz w:val="17"/>
          <w:szCs w:val="17"/>
          <w:color w:val="auto"/>
        </w:rPr>
        <w:t>”) at a price of US$0.45 per November 2023 Unit for gross proceeds of $41,107 (US$30,000) pursuant to the November Prospectus Supplement to the 2023 Base Shelf Prospectus. Each November 2023 Unit is comprised of one Common Share and one Common Share purchase warrant</w:t>
      </w:r>
    </w:p>
    <w:p>
      <w:pPr>
        <w:spacing w:after="0" w:line="1"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9"/>
          <w:szCs w:val="19"/>
          <w:b w:val="1"/>
          <w:bCs w:val="1"/>
          <w:color w:val="auto"/>
        </w:rPr>
        <w:t>November 2023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Each November 2023 Warrant is exercisable to acquire one Common Share at a price of $0.70(US$0.51)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Common Share between May 14, 2024 and May 14, 2029, subject to acceleration in certain circumstances. In connection with the November 2023 Offering, Cybin paid the underwriters a cash commission of $2,096(US$1,530) and incurred additional share issuance costs related to professional fees of $544(US397)</w:t>
      </w:r>
    </w:p>
    <w:p>
      <w:pPr>
        <w:spacing w:after="0" w:line="165"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color w:val="auto"/>
        </w:rPr>
        <w:t>On August 23, 2023, the Company announced the filing of a prospectus supplement (the “</w:t>
      </w:r>
      <w:r>
        <w:rPr>
          <w:rFonts w:ascii="Times New Roman" w:cs="Times New Roman" w:eastAsia="Times New Roman" w:hAnsi="Times New Roman"/>
          <w:sz w:val="19"/>
          <w:szCs w:val="19"/>
          <w:b w:val="1"/>
          <w:bCs w:val="1"/>
          <w:color w:val="auto"/>
        </w:rPr>
        <w:t>ATM Prospectus Supplement</w:t>
      </w:r>
      <w:r>
        <w:rPr>
          <w:rFonts w:ascii="Times New Roman" w:cs="Times New Roman" w:eastAsia="Times New Roman" w:hAnsi="Times New Roman"/>
          <w:sz w:val="18"/>
          <w:szCs w:val="18"/>
          <w:color w:val="auto"/>
        </w:rPr>
        <w:t>”) under the 2023 Base Shelf Prospectus to renew its previously established at-the-market equity program (the “</w:t>
      </w:r>
      <w:r>
        <w:rPr>
          <w:rFonts w:ascii="Times New Roman" w:cs="Times New Roman" w:eastAsia="Times New Roman" w:hAnsi="Times New Roman"/>
          <w:sz w:val="19"/>
          <w:szCs w:val="19"/>
          <w:b w:val="1"/>
          <w:bCs w:val="1"/>
          <w:color w:val="auto"/>
        </w:rPr>
        <w:t>2023 ATM Program</w:t>
      </w:r>
      <w:r>
        <w:rPr>
          <w:rFonts w:ascii="Times New Roman" w:cs="Times New Roman" w:eastAsia="Times New Roman" w:hAnsi="Times New Roman"/>
          <w:sz w:val="18"/>
          <w:szCs w:val="18"/>
          <w:color w:val="auto"/>
        </w:rPr>
        <w:t xml:space="preserve">”) that allows the Company to issue and sell up to US$35,000 of Common Shares from treasury to the public, from time to time. Distributions of Common Shares under the 2023 ATM Program will be made pursuant to the terms and conditions of an at-the-market equity distribution agreement (the </w:t>
      </w:r>
      <w:r>
        <w:rPr>
          <w:rFonts w:ascii="Times New Roman" w:cs="Times New Roman" w:eastAsia="Times New Roman" w:hAnsi="Times New Roman"/>
          <w:sz w:val="19"/>
          <w:szCs w:val="19"/>
          <w:b w:val="1"/>
          <w:bCs w:val="1"/>
          <w:color w:val="auto"/>
        </w:rPr>
        <w:t>“2023 Distribution Agreement”</w:t>
      </w:r>
      <w:r>
        <w:rPr>
          <w:rFonts w:ascii="Times New Roman" w:cs="Times New Roman" w:eastAsia="Times New Roman" w:hAnsi="Times New Roman"/>
          <w:sz w:val="18"/>
          <w:szCs w:val="18"/>
          <w:color w:val="auto"/>
        </w:rPr>
        <w:t>) dated August 23, 2023 among the Company, Cantor Fitzgerald Canada Corporation and Cantor Fitzgerald &amp; Co.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9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 xml:space="preserve">From August to December 31, 2023 the Company sold 23,514,556 Common Shares under the 2023 ATM Program, at an average price of $0.4662 </w:t>
      </w: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US$0.3449) per Common Share, for aggregate gross proceeds of $10,962 (US$8,109). Share issuance costs related to the 2023 ATM Program were $329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(US$243).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w:t>
      </w:r>
      <w:r>
        <w:rPr>
          <w:rFonts w:ascii="Times New Roman" w:cs="Times New Roman" w:eastAsia="Times New Roman" w:hAnsi="Times New Roman"/>
          <w:sz w:val="17"/>
          <w:szCs w:val="17"/>
          <w:color w:val="auto"/>
        </w:rPr>
        <w:t>n August 23, 2023, the Company also announced the filing of a prospectus supplement under the 2023 Base Shelf Prospectus, requalifying the Company’s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LPC Purchase Agreement on the same terms as those entered into 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2023 with LPC.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60"/>
          </w:cols>
          <w:pgMar w:left="320" w:top="7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For the three months ended December 31, 2023, operating expenses totaled $27,024 (2022 - $12,093). The operating expenses include a non-cash component of $9,928 (2022 - $978) related to share-based compensation. The remaining operating expenses were incurred to support raising capital, research &amp; development and the overall development of the Company.</w:t>
      </w:r>
    </w:p>
    <w:p>
      <w:pPr>
        <w:spacing w:after="0" w:line="15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For the nine months ended December 31, 2023, operating expenses totaled $53,641 (2022 -$37,815). The operating expenses include a non-cash component of $12,617 (2022 - $4,205) related to share-based compensation. The remaining operating expenses were incurred to support raising capital, research &amp; development and the overall development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w:t>
      </w:r>
    </w:p>
    <w:p>
      <w:pPr>
        <w:spacing w:after="0" w:line="24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For the three month period ended December 31, 2023, the Company’s research expenses totaled $7,439 compared to $6,256 during the same period in prior year. Research expenses for the three month period are comprised of advancement of the development programs of $5,232 (2022 - $3,398), payroll related expenses of $1,794 (2022 -$2,163 ), professional and consulting fees of $40 (2022 - $416), and lab and administration expenses of $373 (2022 - $279).</w:t>
      </w:r>
    </w:p>
    <w:p>
      <w:pPr>
        <w:spacing w:after="0" w:line="171"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7"/>
          <w:szCs w:val="17"/>
          <w:color w:val="auto"/>
        </w:rPr>
        <w:t>For the nine month period ended December 31, 2023, the Company’s research expenses totaled $20,519 compared to $17,445 during the same period in prior year. Research expenses for the nine month period are comprised of advancement of the development programs of $14,590 (2022 -$9,390 ), payroll related expenses of $5,003 (2022 - $6,279), professional and consulting fees of $148 (2022 - $927), and lab and administration expenses of $778 (2022 - $849).</w:t>
      </w:r>
    </w:p>
    <w:p>
      <w:pPr>
        <w:spacing w:after="0" w:line="135"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7"/>
          <w:szCs w:val="17"/>
          <w:color w:val="auto"/>
        </w:rPr>
        <w:t>The overall increase in research expenses is due the progression of the Company's various research programs, including two programs in clinical trials. The increase is partially offset by a decrease in payroll costs as the Company has released part of its workforce that previously held roles that were not of a clinical priority or were not directly involved with any of the Company’s clinical trial initiatives. As of the date of this MD&amp;A, Cybin’s research and development team has completed over 250 preclinical studies supporting research and development advancement of proprietary psychedelic-based molecules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 In addition, the Company currently has two clinical-stage programs ongoing.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administration costs</w:t>
      </w:r>
    </w:p>
    <w:p>
      <w:pPr>
        <w:spacing w:after="0" w:line="4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For the three month period ended December 31, 2023, general and administrative expenses were $9,657 compared to $4,859 during the same period in the prior year. General and administrative expense for the three-month period are comprised of capital market expenses of $3,377 (2022 - $1,788), payroll related expenses of $1,597 (2022 - $1,419), office and administration expenses of $883 (2022 - $896), investor relations expenses of $1,934 (2022 - $290), professional and consulting fees of $1,574 (2022 -$257 ), listing fees of $66 (2022 - $72), business development expenses of $203 (2022 - $71), and marketing media fees of $23 (2022 - $66). The overall increase in general and administrative expenses due to increase in capital market spend and investors relations spend as the Company continues to raise awareness of the Company and its industry and increase in professional and consulting fees due to capital raise initiatives.</w:t>
      </w:r>
    </w:p>
    <w:p>
      <w:pPr>
        <w:spacing w:after="0" w:line="184"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For the nine month period ended December 31, 2023, general and administrative expenses were $20,505 compared to $16,165 during the same period in the prior year. General and administrative expense for the nine-month period are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60"/>
          </w:cols>
          <w:pgMar w:left="320" w:top="757" w:right="319" w:bottom="1440" w:gutter="0" w:footer="0" w:header="0"/>
        </w:sectPr>
      </w:pPr>
    </w:p>
    <w:bookmarkStart w:id="84" w:name="page85"/>
    <w:bookmarkEnd w:id="84"/>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comprised of capital market expenses of $7,600(2022 - $4,052), payroll related expenses of $4,388 (2022 - $4,664), office and administration expenses of $2,102 (2022 - $3,046), investor relations expenses of $2,375 (2022 - $713), professional and consulting fees of $3,080 (2022 - $1,908), listing fees of $218 (2022 - $304), business development expenses of 692 (2022 - $609), and marketing media fees of $50 (2022 - $869). The overall increase in general and administrative expenses due to increase in capital market spend and investors relations spend as the Company continues to raise awareness of the Company and its industry and increase in professional and consulting fees due to capital raise initiatives.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7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During the three month period ended December 31, 2023, Cybin issued warrants and options incurring share-based payment expense of $9,928, compared to $978 during the same period in the prior year. The increase is largely related to the new grants issued on equity raises and new options grants issued to key employees.</w:t>
      </w:r>
    </w:p>
    <w:p>
      <w:pPr>
        <w:spacing w:after="0" w:line="15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During the nine month period ended December 31, 2023, Cybin issued warrants and options incurring share-based payment expense of $12,617, compared to $4,205 during the same period in the prior year. warrant and option .The increase is largely related to the new grants issued on equity raises and new options grants issued to key employees, and related to the fluctuation of share price and timing of warrant and option grant.</w:t>
      </w:r>
    </w:p>
    <w:p>
      <w:pPr>
        <w:spacing w:after="0" w:line="152"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The share-based compensation expense was recorded based on the fair value using a Black Scholes Model. On exercise of these warrants and options the equity reserve balances will be moved to share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gain (loss)</w:t>
      </w:r>
    </w:p>
    <w:p>
      <w:pPr>
        <w:spacing w:after="0" w:line="2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For the three-month period ended and nine month period ended December 31, 2023, the Company incurred a foreign currency translation loss from operations and revaluation of balance sheet assets and liabilities held in foreign currencies of $3,447. and $3,370 respectively. The Company holds assets and liabilities in Canadian dollars, U.S. dollars, Euros, and British pounds.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 period ended December 31, 2023, the Company recorded interest income of $141 compared to $157 during the same period in prior year.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largely related to an decrease on the cash balance earning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320" w:top="7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color w:val="auto"/>
        </w:rPr>
        <w:t>For the nine month period ended December 31, 2023, the Company recorded interest income of $277 compared to $455 during the same period in prior year.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largely related to an decrease on the cash balance earning interest.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Cash Flows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1220" w:type="dxa"/>
            <w:vAlign w:val="bottom"/>
            <w:tcBorders>
              <w:top w:val="single" w:sz="8" w:color="auto"/>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80" w:type="dxa"/>
            <w:vAlign w:val="bottom"/>
            <w:tcBorders>
              <w:top w:val="single" w:sz="8" w:color="auto"/>
            </w:tcBorders>
            <w:shd w:val="clear" w:color="auto" w:fill="DBDBDB"/>
          </w:tcPr>
          <w:p>
            <w:pPr>
              <w:spacing w:after="0"/>
              <w:rPr>
                <w:sz w:val="13"/>
                <w:szCs w:val="13"/>
                <w:color w:val="auto"/>
              </w:rPr>
            </w:pPr>
          </w:p>
        </w:tc>
        <w:tc>
          <w:tcPr>
            <w:tcW w:w="200" w:type="dxa"/>
            <w:vAlign w:val="bottom"/>
            <w:tcBorders>
              <w:top w:val="single" w:sz="8" w:color="auto"/>
            </w:tcBorders>
            <w:shd w:val="clear" w:color="auto" w:fill="DBDBDB"/>
          </w:tcPr>
          <w:p>
            <w:pPr>
              <w:spacing w:after="0"/>
              <w:rPr>
                <w:sz w:val="13"/>
                <w:szCs w:val="13"/>
                <w:color w:val="auto"/>
              </w:rPr>
            </w:pPr>
          </w:p>
        </w:tc>
        <w:tc>
          <w:tcPr>
            <w:tcW w:w="170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5"/>
                <w:szCs w:val="15"/>
                <w:b w:val="1"/>
                <w:bCs w:val="1"/>
                <w:color w:val="auto"/>
              </w:rPr>
              <w:t>Nine Months ended</w:t>
            </w:r>
          </w:p>
        </w:tc>
        <w:tc>
          <w:tcPr>
            <w:tcW w:w="1220" w:type="dxa"/>
            <w:vAlign w:val="bottom"/>
            <w:tcBorders>
              <w:top w:val="single" w:sz="8" w:color="auto"/>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40" w:type="dxa"/>
            <w:vAlign w:val="bottom"/>
            <w:tcBorders>
              <w:top w:val="single" w:sz="8" w:color="auto"/>
            </w:tcBorders>
            <w:shd w:val="clear" w:color="auto" w:fill="DBDBDB"/>
          </w:tcPr>
          <w:p>
            <w:pPr>
              <w:spacing w:after="0"/>
              <w:rPr>
                <w:sz w:val="13"/>
                <w:szCs w:val="13"/>
                <w:color w:val="auto"/>
              </w:rPr>
            </w:pPr>
          </w:p>
        </w:tc>
        <w:tc>
          <w:tcPr>
            <w:tcW w:w="220" w:type="dxa"/>
            <w:vAlign w:val="bottom"/>
            <w:tcBorders>
              <w:top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220" w:type="dxa"/>
            <w:vAlign w:val="bottom"/>
            <w:tcBorders>
              <w:bottom w:val="single" w:sz="8" w:color="auto"/>
            </w:tcBorders>
            <w:vMerge w:val="continue"/>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20" w:type="dxa"/>
            <w:vAlign w:val="bottom"/>
            <w:tcBorders>
              <w:bottom w:val="single" w:sz="8" w:color="auto"/>
            </w:tcBorders>
            <w:vMerge w:val="continue"/>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(Canadian dollars in thousands)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20" w:type="dxa"/>
            <w:vAlign w:val="bottom"/>
            <w:tcBorders>
              <w:bottom w:val="single" w:sz="8" w:color="auto"/>
            </w:tcBorders>
            <w:shd w:val="clear" w:color="auto" w:fill="DBDBDB"/>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auto"/>
            </w:tcBorders>
            <w:shd w:val="clear" w:color="auto" w:fill="DBDBDB"/>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2023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20" w:type="dxa"/>
            <w:vAlign w:val="bottom"/>
            <w:tcBorders>
              <w:bottom w:val="single" w:sz="8" w:color="auto"/>
            </w:tcBorders>
            <w:shd w:val="clear" w:color="auto" w:fill="DBDBDB"/>
          </w:tcPr>
          <w:p>
            <w:pPr>
              <w:jc w:val="right"/>
              <w:ind w:right="707"/>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bottom w:val="single" w:sz="8" w:color="auto"/>
            </w:tcBorders>
            <w:shd w:val="clear" w:color="auto" w:fill="DBDBDB"/>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(26,042)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(10,771)</w:t>
            </w:r>
          </w:p>
        </w:tc>
        <w:tc>
          <w:tcPr>
            <w:tcW w:w="12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(15,271)</w:t>
            </w:r>
          </w:p>
        </w:tc>
        <w:tc>
          <w:tcPr>
            <w:tcW w:w="4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142</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(48,201)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(36,593)</w:t>
            </w:r>
          </w:p>
        </w:tc>
        <w:tc>
          <w:tcPr>
            <w:tcW w:w="122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(11,608)</w:t>
            </w: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32</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7,460</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2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7,667</w:t>
            </w:r>
          </w:p>
        </w:tc>
        <w:tc>
          <w:tcPr>
            <w:tcW w:w="4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94"/>
              </w:rPr>
              <w:t>(3704)</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7,137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(3,091)</w:t>
            </w:r>
          </w:p>
        </w:tc>
        <w:tc>
          <w:tcPr>
            <w:tcW w:w="122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10,228</w:t>
            </w: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(331)</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cash from financing activities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39,742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3,459</w:t>
            </w:r>
          </w:p>
        </w:tc>
        <w:tc>
          <w:tcPr>
            <w:tcW w:w="12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rPr>
              <w:t>36,283</w:t>
            </w:r>
          </w:p>
        </w:tc>
        <w:tc>
          <w:tcPr>
            <w:tcW w:w="4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1049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63,646</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8,419</w:t>
            </w:r>
          </w:p>
        </w:tc>
        <w:tc>
          <w:tcPr>
            <w:tcW w:w="122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color w:val="auto"/>
              </w:rPr>
              <w:t>55,227</w:t>
            </w:r>
          </w:p>
        </w:tc>
        <w:tc>
          <w:tcPr>
            <w:tcW w:w="4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656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Decrease in cash</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21,160</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(7,519)</w:t>
            </w:r>
          </w:p>
        </w:tc>
        <w:tc>
          <w:tcPr>
            <w:tcW w:w="12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28,679</w:t>
            </w:r>
          </w:p>
        </w:tc>
        <w:tc>
          <w:tcPr>
            <w:tcW w:w="4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(381)</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22,582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(31,265)</w:t>
            </w:r>
          </w:p>
        </w:tc>
        <w:tc>
          <w:tcPr>
            <w:tcW w:w="122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53,847</w:t>
            </w: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(172)</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foreign exchange difference</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2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(372)</w:t>
            </w:r>
          </w:p>
        </w:tc>
        <w:tc>
          <w:tcPr>
            <w:tcW w:w="4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(400)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(216)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22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(351)</w:t>
            </w: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(260)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18,118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29,937</w:t>
            </w:r>
          </w:p>
        </w:tc>
        <w:tc>
          <w:tcPr>
            <w:tcW w:w="12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rPr>
              <w:t>(11,819)</w:t>
            </w:r>
          </w:p>
        </w:tc>
        <w:tc>
          <w:tcPr>
            <w:tcW w:w="4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16,633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53,641</w:t>
            </w:r>
          </w:p>
        </w:tc>
        <w:tc>
          <w:tcPr>
            <w:tcW w:w="122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color w:val="auto"/>
              </w:rPr>
              <w:t>(37,008)</w:t>
            </w:r>
          </w:p>
        </w:tc>
        <w:tc>
          <w:tcPr>
            <w:tcW w:w="4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(69)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38,999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22,511</w:t>
            </w:r>
          </w:p>
        </w:tc>
        <w:tc>
          <w:tcPr>
            <w:tcW w:w="12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rPr>
              <w:t>16,488</w:t>
            </w:r>
          </w:p>
        </w:tc>
        <w:tc>
          <w:tcPr>
            <w:tcW w:w="4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73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38,999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22,511</w:t>
            </w:r>
          </w:p>
        </w:tc>
        <w:tc>
          <w:tcPr>
            <w:tcW w:w="122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color w:val="auto"/>
              </w:rPr>
              <w:t>16,488</w:t>
            </w:r>
          </w:p>
        </w:tc>
        <w:tc>
          <w:tcPr>
            <w:tcW w:w="4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73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20" w:type="dxa"/>
            <w:vAlign w:val="bottom"/>
            <w:tcBorders>
              <w:bottom w:val="single" w:sz="8" w:color="auto"/>
            </w:tcBorders>
          </w:tcPr>
          <w:p>
            <w:pPr>
              <w:spacing w:after="0"/>
              <w:rPr>
                <w:sz w:val="20"/>
                <w:szCs w:val="20"/>
                <w:color w:val="auto"/>
              </w:rPr>
            </w:pPr>
          </w:p>
        </w:tc>
        <w:tc>
          <w:tcPr>
            <w:tcW w:w="700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156"/>
        </w:trPr>
        <w:tc>
          <w:tcPr>
            <w:tcW w:w="4220" w:type="dxa"/>
            <w:vAlign w:val="bottom"/>
            <w:shd w:val="clear" w:color="auto" w:fill="DBDBDB"/>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7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Primarily relates to cash used for operating expenses including research and development expenses,</w:t>
            </w:r>
          </w:p>
        </w:tc>
        <w:tc>
          <w:tcPr>
            <w:tcW w:w="0" w:type="dxa"/>
            <w:vAlign w:val="bottom"/>
          </w:tcPr>
          <w:p>
            <w:pPr>
              <w:spacing w:after="0"/>
              <w:rPr>
                <w:sz w:val="1"/>
                <w:szCs w:val="1"/>
                <w:color w:val="auto"/>
              </w:rPr>
            </w:pPr>
          </w:p>
        </w:tc>
      </w:tr>
      <w:tr>
        <w:trPr>
          <w:trHeight w:val="153"/>
        </w:trPr>
        <w:tc>
          <w:tcPr>
            <w:tcW w:w="4220" w:type="dxa"/>
            <w:vAlign w:val="bottom"/>
            <w:shd w:val="clear" w:color="auto" w:fill="DBDBDB"/>
          </w:tcPr>
          <w:p>
            <w:pPr>
              <w:spacing w:after="0"/>
              <w:rPr>
                <w:sz w:val="13"/>
                <w:szCs w:val="13"/>
                <w:color w:val="auto"/>
              </w:rPr>
            </w:pPr>
          </w:p>
        </w:tc>
        <w:tc>
          <w:tcPr>
            <w:tcW w:w="700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color w:val="auto"/>
              </w:rPr>
              <w:t>salaries, and other general and administration expenses. Cash flows from operating activities exclude</w:t>
            </w:r>
          </w:p>
        </w:tc>
        <w:tc>
          <w:tcPr>
            <w:tcW w:w="0" w:type="dxa"/>
            <w:vAlign w:val="bottom"/>
          </w:tcPr>
          <w:p>
            <w:pPr>
              <w:spacing w:after="0"/>
              <w:rPr>
                <w:sz w:val="1"/>
                <w:szCs w:val="1"/>
                <w:color w:val="auto"/>
              </w:rPr>
            </w:pPr>
          </w:p>
        </w:tc>
      </w:tr>
      <w:tr>
        <w:trPr>
          <w:trHeight w:val="162"/>
        </w:trPr>
        <w:tc>
          <w:tcPr>
            <w:tcW w:w="4220" w:type="dxa"/>
            <w:vAlign w:val="bottom"/>
            <w:shd w:val="clear" w:color="auto" w:fill="DBDBDB"/>
          </w:tcPr>
          <w:p>
            <w:pPr>
              <w:spacing w:after="0"/>
              <w:rPr>
                <w:sz w:val="14"/>
                <w:szCs w:val="14"/>
                <w:color w:val="auto"/>
              </w:rPr>
            </w:pPr>
          </w:p>
        </w:tc>
        <w:tc>
          <w:tcPr>
            <w:tcW w:w="7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expenses not affecting cash, such as share based compensation expense, depreciation, unrealized foreign</w:t>
            </w:r>
          </w:p>
        </w:tc>
        <w:tc>
          <w:tcPr>
            <w:tcW w:w="0" w:type="dxa"/>
            <w:vAlign w:val="bottom"/>
          </w:tcPr>
          <w:p>
            <w:pPr>
              <w:spacing w:after="0"/>
              <w:rPr>
                <w:sz w:val="1"/>
                <w:szCs w:val="1"/>
                <w:color w:val="auto"/>
              </w:rPr>
            </w:pPr>
          </w:p>
        </w:tc>
      </w:tr>
      <w:tr>
        <w:trPr>
          <w:trHeight w:val="210"/>
        </w:trPr>
        <w:tc>
          <w:tcPr>
            <w:tcW w:w="4220" w:type="dxa"/>
            <w:vAlign w:val="bottom"/>
            <w:shd w:val="clear" w:color="auto" w:fill="DBDBDB"/>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 gains or losses, and net changes in non-cash balances relating to operations.</w:t>
            </w:r>
          </w:p>
        </w:tc>
        <w:tc>
          <w:tcPr>
            <w:tcW w:w="0" w:type="dxa"/>
            <w:vAlign w:val="bottom"/>
          </w:tcPr>
          <w:p>
            <w:pPr>
              <w:spacing w:after="0"/>
              <w:rPr>
                <w:sz w:val="1"/>
                <w:szCs w:val="1"/>
                <w:color w:val="auto"/>
              </w:rPr>
            </w:pPr>
          </w:p>
        </w:tc>
      </w:tr>
      <w:tr>
        <w:trPr>
          <w:trHeight w:val="262"/>
        </w:trPr>
        <w:tc>
          <w:tcPr>
            <w:tcW w:w="4220" w:type="dxa"/>
            <w:vAlign w:val="bottom"/>
            <w:shd w:val="clear" w:color="auto" w:fill="DBDBDB"/>
          </w:tcPr>
          <w:p>
            <w:pPr>
              <w:spacing w:after="0"/>
              <w:rPr>
                <w:sz w:val="22"/>
                <w:szCs w:val="22"/>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nine- month period ended December 31, 2023, cash used in operating activities was $48,201 driven</w:t>
            </w:r>
          </w:p>
        </w:tc>
        <w:tc>
          <w:tcPr>
            <w:tcW w:w="0" w:type="dxa"/>
            <w:vAlign w:val="bottom"/>
          </w:tcPr>
          <w:p>
            <w:pPr>
              <w:spacing w:after="0"/>
              <w:rPr>
                <w:sz w:val="1"/>
                <w:szCs w:val="1"/>
                <w:color w:val="auto"/>
              </w:rPr>
            </w:pPr>
          </w:p>
        </w:tc>
      </w:tr>
      <w:tr>
        <w:trPr>
          <w:trHeight w:val="218"/>
        </w:trPr>
        <w:tc>
          <w:tcPr>
            <w:tcW w:w="4220" w:type="dxa"/>
            <w:vAlign w:val="bottom"/>
            <w:shd w:val="clear" w:color="auto" w:fill="DBDBDB"/>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by a net loss for the period of $56,734 partially offset by the following non-cash items: an unrealized</w:t>
            </w:r>
          </w:p>
        </w:tc>
        <w:tc>
          <w:tcPr>
            <w:tcW w:w="0" w:type="dxa"/>
            <w:vAlign w:val="bottom"/>
          </w:tcPr>
          <w:p>
            <w:pPr>
              <w:spacing w:after="0"/>
              <w:rPr>
                <w:sz w:val="1"/>
                <w:szCs w:val="1"/>
                <w:color w:val="auto"/>
              </w:rPr>
            </w:pPr>
          </w:p>
        </w:tc>
      </w:tr>
      <w:tr>
        <w:trPr>
          <w:trHeight w:val="230"/>
        </w:trPr>
        <w:tc>
          <w:tcPr>
            <w:tcW w:w="4220" w:type="dxa"/>
            <w:vAlign w:val="bottom"/>
            <w:shd w:val="clear" w:color="auto" w:fill="DBDBDB"/>
          </w:tcPr>
          <w:p>
            <w:pPr>
              <w:spacing w:after="0"/>
              <w:rPr>
                <w:sz w:val="20"/>
                <w:szCs w:val="20"/>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loss of $2,483, share-based compensation of $12,617, an increase in working capital of</w:t>
            </w:r>
          </w:p>
        </w:tc>
        <w:tc>
          <w:tcPr>
            <w:tcW w:w="0" w:type="dxa"/>
            <w:vAlign w:val="bottom"/>
          </w:tcPr>
          <w:p>
            <w:pPr>
              <w:spacing w:after="0"/>
              <w:rPr>
                <w:sz w:val="1"/>
                <w:szCs w:val="1"/>
                <w:color w:val="auto"/>
              </w:rPr>
            </w:pPr>
          </w:p>
        </w:tc>
      </w:tr>
      <w:tr>
        <w:trPr>
          <w:trHeight w:val="230"/>
        </w:trPr>
        <w:tc>
          <w:tcPr>
            <w:tcW w:w="4220" w:type="dxa"/>
            <w:vAlign w:val="bottom"/>
            <w:shd w:val="clear" w:color="auto" w:fill="DBDBDB"/>
          </w:tcPr>
          <w:p>
            <w:pPr>
              <w:spacing w:after="0"/>
              <w:rPr>
                <w:sz w:val="20"/>
                <w:szCs w:val="20"/>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$22,736 , depreciation and amortization of $282, lease interest $4 and computer equipment write-down of</w:t>
            </w:r>
          </w:p>
        </w:tc>
        <w:tc>
          <w:tcPr>
            <w:tcW w:w="0" w:type="dxa"/>
            <w:vAlign w:val="bottom"/>
          </w:tcPr>
          <w:p>
            <w:pPr>
              <w:spacing w:after="0"/>
              <w:rPr>
                <w:sz w:val="1"/>
                <w:szCs w:val="1"/>
                <w:color w:val="auto"/>
              </w:rPr>
            </w:pPr>
          </w:p>
        </w:tc>
      </w:tr>
      <w:tr>
        <w:trPr>
          <w:trHeight w:val="218"/>
        </w:trPr>
        <w:tc>
          <w:tcPr>
            <w:tcW w:w="4220" w:type="dxa"/>
            <w:vAlign w:val="bottom"/>
            <w:shd w:val="clear" w:color="auto" w:fill="DBDBDB"/>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61"/>
        </w:trPr>
        <w:tc>
          <w:tcPr>
            <w:tcW w:w="4220" w:type="dxa"/>
            <w:vAlign w:val="bottom"/>
            <w:tcBorders>
              <w:bottom w:val="single" w:sz="8" w:color="auto"/>
            </w:tcBorders>
            <w:shd w:val="clear" w:color="auto" w:fill="DBDBDB"/>
          </w:tcPr>
          <w:p>
            <w:pPr>
              <w:spacing w:after="0"/>
              <w:rPr>
                <w:sz w:val="5"/>
                <w:szCs w:val="5"/>
                <w:color w:val="auto"/>
              </w:rPr>
            </w:pPr>
          </w:p>
        </w:tc>
        <w:tc>
          <w:tcPr>
            <w:tcW w:w="7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For the nine- month period ended December 31, 2023 used in investing activities were driven by the</w:t>
            </w:r>
          </w:p>
        </w:tc>
        <w:tc>
          <w:tcPr>
            <w:tcW w:w="0" w:type="dxa"/>
            <w:vAlign w:val="bottom"/>
          </w:tcPr>
          <w:p>
            <w:pPr>
              <w:spacing w:after="0"/>
              <w:rPr>
                <w:sz w:val="1"/>
                <w:szCs w:val="1"/>
                <w:color w:val="auto"/>
              </w:rPr>
            </w:pPr>
          </w:p>
        </w:tc>
      </w:tr>
      <w:tr>
        <w:trPr>
          <w:trHeight w:val="54"/>
        </w:trPr>
        <w:tc>
          <w:tcPr>
            <w:tcW w:w="4220" w:type="dxa"/>
            <w:vAlign w:val="bottom"/>
            <w:shd w:val="clear" w:color="auto" w:fill="DBDBDB"/>
          </w:tcPr>
          <w:p>
            <w:pPr>
              <w:spacing w:after="0"/>
              <w:rPr>
                <w:sz w:val="4"/>
                <w:szCs w:val="4"/>
                <w:color w:val="auto"/>
              </w:rPr>
            </w:pPr>
          </w:p>
        </w:tc>
        <w:tc>
          <w:tcPr>
            <w:tcW w:w="7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DBDBDB"/>
          </w:tcPr>
          <w:p>
            <w:pPr>
              <w:spacing w:after="0"/>
              <w:rPr>
                <w:sz w:val="21"/>
                <w:szCs w:val="21"/>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 of $ 482, purchase of tangible assets $ 13 and cash acquired on acquisition $</w:t>
            </w:r>
          </w:p>
        </w:tc>
        <w:tc>
          <w:tcPr>
            <w:tcW w:w="0" w:type="dxa"/>
            <w:vAlign w:val="bottom"/>
          </w:tcPr>
          <w:p>
            <w:pPr>
              <w:spacing w:after="0"/>
              <w:rPr>
                <w:sz w:val="1"/>
                <w:szCs w:val="1"/>
                <w:color w:val="auto"/>
              </w:rPr>
            </w:pPr>
          </w:p>
        </w:tc>
      </w:tr>
      <w:tr>
        <w:trPr>
          <w:trHeight w:val="267"/>
        </w:trPr>
        <w:tc>
          <w:tcPr>
            <w:tcW w:w="4220" w:type="dxa"/>
            <w:vAlign w:val="bottom"/>
            <w:tcBorders>
              <w:bottom w:val="single" w:sz="8" w:color="DBDBDB"/>
            </w:tcBorders>
            <w:shd w:val="clear" w:color="auto" w:fill="DBDBDB"/>
          </w:tcPr>
          <w:p>
            <w:pPr>
              <w:spacing w:after="0"/>
              <w:rPr>
                <w:sz w:val="23"/>
                <w:szCs w:val="23"/>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7,632.</w:t>
            </w:r>
          </w:p>
        </w:tc>
        <w:tc>
          <w:tcPr>
            <w:tcW w:w="0" w:type="dxa"/>
            <w:vAlign w:val="bottom"/>
          </w:tcPr>
          <w:p>
            <w:pPr>
              <w:spacing w:after="0"/>
              <w:rPr>
                <w:sz w:val="1"/>
                <w:szCs w:val="1"/>
                <w:color w:val="auto"/>
              </w:rPr>
            </w:pPr>
          </w:p>
        </w:tc>
      </w:tr>
      <w:tr>
        <w:trPr>
          <w:trHeight w:val="246"/>
        </w:trPr>
        <w:tc>
          <w:tcPr>
            <w:tcW w:w="4220" w:type="dxa"/>
            <w:vAlign w:val="bottom"/>
            <w:tcBorders>
              <w:top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from financing activities</w:t>
            </w:r>
          </w:p>
        </w:tc>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 the nine month period ended December 31, 2023, cash flows from financing activities were related to</w:t>
            </w:r>
          </w:p>
        </w:tc>
        <w:tc>
          <w:tcPr>
            <w:tcW w:w="0" w:type="dxa"/>
            <w:vAlign w:val="bottom"/>
          </w:tcPr>
          <w:p>
            <w:pPr>
              <w:spacing w:after="0"/>
              <w:rPr>
                <w:sz w:val="1"/>
                <w:szCs w:val="1"/>
                <w:color w:val="auto"/>
              </w:rPr>
            </w:pPr>
          </w:p>
        </w:tc>
      </w:tr>
      <w:tr>
        <w:trPr>
          <w:trHeight w:val="230"/>
        </w:trPr>
        <w:tc>
          <w:tcPr>
            <w:tcW w:w="4220" w:type="dxa"/>
            <w:vAlign w:val="bottom"/>
            <w:shd w:val="clear" w:color="auto" w:fill="DBDBDB"/>
          </w:tcPr>
          <w:p>
            <w:pPr>
              <w:spacing w:after="0"/>
              <w:rPr>
                <w:sz w:val="20"/>
                <w:szCs w:val="20"/>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issuance of Common Shares, through the 2022 ATM Program (as defined below) the</w:t>
            </w:r>
          </w:p>
        </w:tc>
        <w:tc>
          <w:tcPr>
            <w:tcW w:w="0" w:type="dxa"/>
            <w:vAlign w:val="bottom"/>
          </w:tcPr>
          <w:p>
            <w:pPr>
              <w:spacing w:after="0"/>
              <w:rPr>
                <w:sz w:val="1"/>
                <w:szCs w:val="1"/>
                <w:color w:val="auto"/>
              </w:rPr>
            </w:pPr>
          </w:p>
        </w:tc>
      </w:tr>
      <w:tr>
        <w:trPr>
          <w:trHeight w:val="218"/>
        </w:trPr>
        <w:tc>
          <w:tcPr>
            <w:tcW w:w="4220" w:type="dxa"/>
            <w:vAlign w:val="bottom"/>
            <w:shd w:val="clear" w:color="auto" w:fill="DBDBDB"/>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 ATM Program, Common Share issuance related to the Arrangement and pursuant to the LPC</w:t>
            </w:r>
          </w:p>
        </w:tc>
        <w:tc>
          <w:tcPr>
            <w:tcW w:w="0" w:type="dxa"/>
            <w:vAlign w:val="bottom"/>
          </w:tcPr>
          <w:p>
            <w:pPr>
              <w:spacing w:after="0"/>
              <w:rPr>
                <w:sz w:val="1"/>
                <w:szCs w:val="1"/>
                <w:color w:val="auto"/>
              </w:rPr>
            </w:pPr>
          </w:p>
        </w:tc>
      </w:tr>
      <w:tr>
        <w:trPr>
          <w:trHeight w:val="230"/>
        </w:trPr>
        <w:tc>
          <w:tcPr>
            <w:tcW w:w="4220" w:type="dxa"/>
            <w:vAlign w:val="bottom"/>
            <w:shd w:val="clear" w:color="auto" w:fill="DBDBDB"/>
          </w:tcPr>
          <w:p>
            <w:pPr>
              <w:spacing w:after="0"/>
              <w:rPr>
                <w:sz w:val="20"/>
                <w:szCs w:val="20"/>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Agreement, of $63,646 , Common Shares issued on exercise of certain warrants $56 and lease payments of</w:t>
            </w:r>
          </w:p>
        </w:tc>
        <w:tc>
          <w:tcPr>
            <w:tcW w:w="0" w:type="dxa"/>
            <w:vAlign w:val="bottom"/>
          </w:tcPr>
          <w:p>
            <w:pPr>
              <w:spacing w:after="0"/>
              <w:rPr>
                <w:sz w:val="1"/>
                <w:szCs w:val="1"/>
                <w:color w:val="auto"/>
              </w:rPr>
            </w:pPr>
          </w:p>
        </w:tc>
      </w:tr>
      <w:tr>
        <w:trPr>
          <w:trHeight w:val="218"/>
        </w:trPr>
        <w:tc>
          <w:tcPr>
            <w:tcW w:w="4220" w:type="dxa"/>
            <w:vAlign w:val="bottom"/>
            <w:shd w:val="clear" w:color="auto" w:fill="DBDBDB"/>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61"/>
        </w:trPr>
        <w:tc>
          <w:tcPr>
            <w:tcW w:w="4220" w:type="dxa"/>
            <w:vAlign w:val="bottom"/>
            <w:tcBorders>
              <w:bottom w:val="single" w:sz="8" w:color="auto"/>
            </w:tcBorders>
            <w:shd w:val="clear" w:color="auto" w:fill="DBDBDB"/>
          </w:tcPr>
          <w:p>
            <w:pPr>
              <w:spacing w:after="0"/>
              <w:rPr>
                <w:sz w:val="5"/>
                <w:szCs w:val="5"/>
                <w:color w:val="auto"/>
              </w:rPr>
            </w:pPr>
          </w:p>
        </w:tc>
        <w:tc>
          <w:tcPr>
            <w:tcW w:w="7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On August 8, 2022, the Company established an at-the-market program (</w:t>
      </w:r>
      <w:r>
        <w:rPr>
          <w:rFonts w:ascii="Times New Roman" w:cs="Times New Roman" w:eastAsia="Times New Roman" w:hAnsi="Times New Roman"/>
          <w:sz w:val="18"/>
          <w:szCs w:val="18"/>
          <w:b w:val="1"/>
          <w:bCs w:val="1"/>
          <w:color w:val="auto"/>
        </w:rPr>
        <w:t>“2022 ATM Program”</w:t>
      </w:r>
      <w:r>
        <w:rPr>
          <w:rFonts w:ascii="Times New Roman" w:cs="Times New Roman" w:eastAsia="Times New Roman" w:hAnsi="Times New Roman"/>
          <w:sz w:val="18"/>
          <w:szCs w:val="18"/>
          <w:color w:val="auto"/>
        </w:rPr>
        <w:t xml:space="preserve">) that allowed the Company to issue and sell up to US$35,000 of Common Shares in the capital of the Company from treasury to the public, from time to time, which was qualified by way of a prospectus supplement dated August 8, 2022 to the 2021 Base Shelf Prospectus. The 2021 Base Shelf Prospectus was effective for a period of 25 months, ending on August 5, 2023 (the </w:t>
      </w:r>
      <w:r>
        <w:rPr>
          <w:rFonts w:ascii="Times New Roman" w:cs="Times New Roman" w:eastAsia="Times New Roman" w:hAnsi="Times New Roman"/>
          <w:sz w:val="18"/>
          <w:szCs w:val="18"/>
          <w:b w:val="1"/>
          <w:bCs w:val="1"/>
          <w:color w:val="auto"/>
        </w:rPr>
        <w:t>“Lapse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Distributions of Common Shares under the 2022 ATM Program were made pursuant to the terms and conditions of the Distribution Agreement. The 2022 ATM Program was effective until August 5, 2023 when it automatically terminated in accordance with the terms of the Distribution Agreement following the Lapse Date of the 2021 Base Shelf Prospectus.. The Company was not obligated to make any sales of Common Shares under the 2022 ATM Program. The volume and timing of distributions under the 2022 ATM Program were determined in Cybin’s sole discretion and in accordance with the Distribution Agreement. As any Common Shares distributed under the 2022 ATM Program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60"/>
          </w:cols>
          <w:pgMar w:left="320" w:top="725" w:right="319" w:bottom="1440" w:gutter="0" w:footer="0" w:header="0"/>
        </w:sectPr>
      </w:pPr>
    </w:p>
    <w:bookmarkStart w:id="86" w:name="page87"/>
    <w:bookmarkEnd w:id="86"/>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were issued and sold at the prevailing market price at the time of the applicable sale, prices varied among purchasers through the duration of the 2022 ATM Program. During the nine- month period ended December 31, 2023, the Company had sold 10,625,951 Common Shares under the 2022 ATM Program at an average price of $0.4581 (US$0.3208) per Common Share, for aggregate gross proceeds of $4,571 (US$3,409).</w:t>
      </w:r>
    </w:p>
    <w:p>
      <w:pPr>
        <w:spacing w:after="0" w:line="18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On May 30, 2023, the Company entered into the LPC Purchase Agreement. Subject to the terms and conditions of the LPC Purchase Agreement, the Company had the right to sell, and LPC was obligated to purchase, up to US$30,000 of Common Shares over a 36-month period at prices that are based on the market price at the time of each sale to LPC. Cybin, in its sole discretion, controls the timing and amount of all sales of Common Shares under the LPC Purchase Agreement.On July 31, 2023, Cybin announced that it had suspended all sales under the LPC Purchase Agreement in</w:t>
      </w:r>
    </w:p>
    <w:p>
      <w:pPr>
        <w:spacing w:after="0" w:line="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connection with the August 2023 Offering. On August 23, 2023, the Company also announced the filing of a prospectus supplement under the 2023 Base Shelf Prospectus, requalifying the LPC Purchase Agreement on the same terms as those entered into on May 30, 2023, with LPC. During the nine- month period ended December 31, 2023 Company sold 1,925,000 Common Shares, at an average price of $0.3236 (US$0.2417) per Common Share, for aggregate gross proceeds of $623 (US$465) pursuant to the LPC Purchase Agreement.</w:t>
      </w:r>
    </w:p>
    <w:p>
      <w:pPr>
        <w:spacing w:after="0" w:line="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August 4, 2023, the Company completed the August 2023 Offering of the August 2023 Units at a price of US$0.34 per August 2023 Unit for gross proceeds of $11,018(US$8,250) pursuant to the August Prospectus Supplement to the 2021 Base Shelf Prospectus. Each August 2023 Unit is comprised of one Common Share and one August 2023 Warrant. Each August 2023 Warrant is exercisable to acquire one Common Share at a price of $0.53(US$0.40) per Common Share for a period of 60 months from issuance, subject to acceleration in certain circumstances. In connection with the Offering, Cybin paid the underwriters a cash commission of $506(US$379) and incurred additional share issuance costs, being professional fees of $619(US$458).</w:t>
      </w:r>
    </w:p>
    <w:p>
      <w:pPr>
        <w:spacing w:after="0" w:line="19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On November 14, 2023, the Company completed the November 2023 Offering of the November 2023 Units at a price of US$0.45 per November 2023 Unit for gross proceeds of $41,107(US$30,000</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pursuant to the November Prospectus Supplement to the 2023 Base Shelf Prospectus. Each November 2023 Unit is comprised of one Common Share and one November 2023 Warrant. Each November 2023 Warrant is exercisable to acquire one Common Share at a price of $0.70 (US$0.51) per Common Share between May 14, 2024 and May 14, 2029, subject to acceleration in certain circumstances. In connection with the November 2023 Offering, Cybin paid the underwriters a cash commission of $2,096(US$1,530) and incurred additional share issuance costs being professional fees of $341(US$248).</w:t>
      </w:r>
    </w:p>
    <w:p>
      <w:pPr>
        <w:spacing w:after="0" w:line="195"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On August 23, 2023, the Company announced the filing of the ATM Prospectus Supplement under the 2023 Base Shelf Prospectus to renew its previously established at-the-market equity program that allows the Company to issue and sell up to US$35,000 of Common Shares from treasury to the public, from time to time. Distributions of Common Shares under the 2023 ATM Program will be made pursuant to the terms and conditions of the 2023 Distribution Agreement.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96"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From August 23, 2023, being the date of the launch of the 2023 ATM Program to December 31, 2023 the Company sold 23,514,556 Common Shares under the 2023 ATM Program, at an average price of $0.4662 (US$0.3449) per Common Share, for aggregate gross proceeds of $10,962 (US$8,109). Share issuance costs related to the 2023 ATM Program were $329 (US$243).</w:t>
      </w:r>
    </w:p>
    <w:p>
      <w:pPr>
        <w:spacing w:after="0" w:line="17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60"/>
          </w:cols>
          <w:pgMar w:left="320" w:top="725" w:right="319" w:bottom="1440" w:gutter="0" w:footer="0" w:header="0"/>
        </w:sectPr>
      </w:pPr>
    </w:p>
    <w:bookmarkStart w:id="87" w:name="page88"/>
    <w:bookmarkEnd w:id="87"/>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flows, which are subject to prevailing economic conditions, regulatory and financial, business and other factors, some of which are beyond the Company’s control.</w:t>
      </w:r>
    </w:p>
    <w:p>
      <w:pPr>
        <w:spacing w:after="0" w:line="15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As at December 31, 2023, the Company had working capital of $40,258.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8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February 22, 2023, the Company announced a streamlining plan aimed at maximizing the Company’s operating efficiency and to allow the Company to focus on critical clinical trials. The Company released approximately 15% of its workforce that previously held roles that were not of a clinical priority or were not directly involved with any of the Company’s clinical trial initiatives.</w:t>
      </w:r>
    </w:p>
    <w:p>
      <w:pPr>
        <w:spacing w:after="0" w:line="195"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9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5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 xml:space="preserve">The Company’s current expenditure obligations include commitments for those projects described in the section entitled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Non-Revenue Generating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Projects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this MD&amp;A. The Company expects to continue funding these projects with available cash and cash equivalents, and therefore, is subject to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6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constantly monitors and manages its capital resources to assess the liquidity necessary to fund operations and capacity expansion. As at December 31, 2023, the Company had a cash balance of $38,999 and current liabilities of $8,461. The Company’s current resources are sufficient to settle its current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continues to raise the capital necessary to become a fully operational enterprise.</w:t>
      </w:r>
    </w:p>
    <w:p>
      <w:pPr>
        <w:spacing w:after="0" w:line="23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60"/>
          </w:cols>
          <w:pgMar w:left="320" w:top="725" w:right="319" w:bottom="1440" w:gutter="0" w:footer="0" w:header="0"/>
        </w:sectPr>
      </w:pPr>
    </w:p>
    <w:bookmarkStart w:id="88" w:name="page89"/>
    <w:bookmarkEnd w:id="88"/>
    <w:p>
      <w:pPr>
        <w:jc w:val="both"/>
        <w:spacing w:after="0" w:line="290" w:lineRule="auto"/>
        <w:rPr>
          <w:sz w:val="20"/>
          <w:szCs w:val="20"/>
          <w:color w:val="auto"/>
        </w:rPr>
      </w:pPr>
      <w:r>
        <w:rPr>
          <w:rFonts w:ascii="Times New Roman" w:cs="Times New Roman" w:eastAsia="Times New Roman" w:hAnsi="Times New Roman"/>
          <w:sz w:val="18"/>
          <w:szCs w:val="18"/>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As at December 31, 2023, the Company had sold 54,894,627 Common Shares under the 2022 ATM Program and 2023 ATM Program at an average price of US$0.4018 per Common Share, for aggregate gross proceeds of US$22,059. The Company also raised capital pursuant to the LPC Purchase Agreement. As at December 31, 2023, the Company sold 1,925,000 Common Shares, at an average price of US$0.2417 per Common Share, for aggregate gross proceeds of US$465 pursuant to the LPC Purchase Agreement.</w:t>
      </w:r>
    </w:p>
    <w:p>
      <w:pPr>
        <w:spacing w:after="0" w:line="37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August 2023 Offering and the November 2023 Offering to manage its short- and long-term cash flow needs as it continues to invest into its intellectual property.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3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As at December 31, 2023, the Company had also entered into agreements for various studies which may require the Company to spend up to an additional $8,684. The Company expects to pay this amount within the next 12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7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Exchange. There is no assurance that the aforementioned milestones will be met.</w:t>
      </w:r>
    </w:p>
    <w:p>
      <w:pPr>
        <w:spacing w:after="0" w:line="18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spacing w:after="0" w:line="189"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In the normal course of business, the Company may be subject to legal proceedings and claims. As at December 31, 2023, there was no ongoing litigation and therefore no contingent liabilities have been recorded.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60"/>
          </w:cols>
          <w:pgMar w:left="320" w:top="7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out the outstanding share capital of the Company as at December 31, 2023 and as of the date of this MD&amp;A:</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280" w:type="dxa"/>
            <w:vAlign w:val="bottom"/>
            <w:tcBorders>
              <w:top w:val="single" w:sz="8" w:color="auto"/>
              <w:left w:val="single" w:sz="8" w:color="auto"/>
              <w:bottom w:val="single" w:sz="8" w:color="auto"/>
              <w:right w:val="single" w:sz="8" w:color="auto"/>
            </w:tcBorders>
            <w:shd w:val="clear" w:color="auto" w:fill="DBDBDB"/>
          </w:tcPr>
          <w:p>
            <w:pPr>
              <w:ind w:left="1560"/>
              <w:spacing w:after="0"/>
              <w:rPr>
                <w:sz w:val="20"/>
                <w:szCs w:val="20"/>
                <w:color w:val="auto"/>
              </w:rPr>
            </w:pPr>
            <w:r>
              <w:rPr>
                <w:rFonts w:ascii="Times New Roman" w:cs="Times New Roman" w:eastAsia="Times New Roman" w:hAnsi="Times New Roman"/>
                <w:sz w:val="16"/>
                <w:szCs w:val="16"/>
                <w:b w:val="1"/>
                <w:bCs w:val="1"/>
                <w:color w:val="auto"/>
              </w:rPr>
              <w:t>Class of Security</w:t>
            </w:r>
          </w:p>
        </w:tc>
        <w:tc>
          <w:tcPr>
            <w:tcW w:w="3200" w:type="dxa"/>
            <w:vAlign w:val="bottom"/>
            <w:tcBorders>
              <w:top w:val="single" w:sz="8" w:color="auto"/>
              <w:bottom w:val="single" w:sz="8" w:color="auto"/>
              <w:right w:val="single" w:sz="8" w:color="auto"/>
            </w:tcBorders>
            <w:shd w:val="clear" w:color="auto" w:fill="DBDBDB"/>
          </w:tcPr>
          <w:p>
            <w:pPr>
              <w:ind w:left="74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3660" w:type="dxa"/>
            <w:vAlign w:val="bottom"/>
            <w:tcBorders>
              <w:top w:val="single" w:sz="8" w:color="auto"/>
              <w:bottom w:val="single" w:sz="8" w:color="auto"/>
              <w:right w:val="single" w:sz="8" w:color="auto"/>
            </w:tcBorders>
            <w:shd w:val="clear" w:color="auto" w:fill="DBDBDB"/>
          </w:tcPr>
          <w:p>
            <w:pPr>
              <w:ind w:left="840"/>
              <w:spacing w:after="0"/>
              <w:rPr>
                <w:sz w:val="20"/>
                <w:szCs w:val="20"/>
                <w:color w:val="auto"/>
              </w:rPr>
            </w:pPr>
            <w:r>
              <w:rPr>
                <w:rFonts w:ascii="Times New Roman" w:cs="Times New Roman" w:eastAsia="Times New Roman" w:hAnsi="Times New Roman"/>
                <w:sz w:val="16"/>
                <w:szCs w:val="16"/>
                <w:b w:val="1"/>
                <w:bCs w:val="1"/>
                <w:color w:val="auto"/>
              </w:rPr>
              <w:t>As of the date of this MD&amp;A</w:t>
            </w:r>
          </w:p>
        </w:tc>
      </w:tr>
      <w:tr>
        <w:trPr>
          <w:trHeight w:val="198"/>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405,910,711</w:t>
            </w: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410,855,285</w:t>
            </w:r>
          </w:p>
        </w:tc>
      </w:tr>
      <w:tr>
        <w:trPr>
          <w:trHeight w:val="198"/>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67,094,800</w:t>
            </w: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67,041,050</w:t>
            </w:r>
          </w:p>
        </w:tc>
      </w:tr>
      <w:tr>
        <w:trPr>
          <w:trHeight w:val="198"/>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Underwriters Warrants</w:t>
            </w: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868,740</w:t>
            </w: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Share purchase warrants</w:t>
            </w: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113,401,998</w:t>
            </w: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106,255,498</w:t>
            </w:r>
          </w:p>
        </w:tc>
      </w:tr>
      <w:tr>
        <w:trPr>
          <w:trHeight w:val="295"/>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Class B Shares (as defined below) </w:t>
            </w:r>
            <w:r>
              <w:rPr>
                <w:rFonts w:ascii="Times New Roman" w:cs="Times New Roman" w:eastAsia="Times New Roman" w:hAnsi="Times New Roman"/>
                <w:sz w:val="21"/>
                <w:szCs w:val="21"/>
                <w:color w:val="auto"/>
                <w:vertAlign w:val="superscript"/>
              </w:rPr>
              <w:t>(1)</w:t>
            </w: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530,542.1</w:t>
            </w: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36,084.7</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w:t>
      </w:r>
    </w:p>
    <w:p>
      <w:pPr>
        <w:spacing w:after="0" w:line="82" w:lineRule="exact"/>
        <w:rPr>
          <w:sz w:val="20"/>
          <w:szCs w:val="20"/>
          <w:color w:val="auto"/>
        </w:rPr>
      </w:pPr>
    </w:p>
    <w:p>
      <w:pPr>
        <w:ind w:left="580" w:right="20" w:hanging="1"/>
        <w:spacing w:after="0" w:line="327" w:lineRule="auto"/>
        <w:tabs>
          <w:tab w:leader="none" w:pos="798"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B Shares are exchangeable for Common Shares, on the basis of 10 Common Shares for each Class B Share, at the option of the holder thereof, subject to customary adjustments.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405,910,711 Common Shares were outstanding and no preferred shares were issued and outstanding. As of the date of this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MD&amp;A, 410,855,285 Common Shares are outstanding (see "Subsequent Events").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44"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As of December 31, 2023, options to purchase up to 67,094,800 Common Shares were outstanding under Cybin’s equity incentive plan. As of the date of this MD&amp;A, options to purchase up to 67,041,050 Common Shares were outstanding under Cybin’s equity incentive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Underwriter’s Warrants</w:t>
      </w:r>
    </w:p>
    <w:p>
      <w:pPr>
        <w:spacing w:after="0" w:line="26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As of December 31, 2023 underwriter’s warrants to purchase up to 868,740 units of the Company at an exercise price of $2.25 per unit were outstanding, with each unit consisting of one Common Share and one half of one Common Share purchase warrants, with each Common Share purchase warrant being exercisable to acquire one Common Share at an exercise price of $3.25 per Common Share for a period of 36 months. The underwriter’s warrants expired on February 4, 2024 and, as of the date of this MD&amp;A, there are no underwriter’s warrants outstanding.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 Purchase Warrants</w:t>
      </w:r>
    </w:p>
    <w:p>
      <w:pPr>
        <w:spacing w:after="0" w:line="24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As of December 31, 2023, warrants to purchase up to 113,401,998 Common Shares were outstanding, exercisable at weighted average exercise price of $ 0.76 per Common Share. As of the date of this MD&amp;A, warrants to purchase up to 106,255,498 Common Shares were outstanding, exercisable at weighted average exercise price of $ 0.60 per Common Share.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Shares</w:t>
      </w:r>
    </w:p>
    <w:p>
      <w:pPr>
        <w:spacing w:after="0" w:line="256"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7"/>
          <w:szCs w:val="17"/>
          <w:color w:val="auto"/>
        </w:rPr>
        <w:t>In connection with the Adelia Transaction (see “Acquisitions”), Cybin U.S. (a subsidiary of the Company) has issued 1,591,625.3 Class B Shares. The Class B Shares are exchangeable at the holder’s option for Common Shares on the basis of 10 Common Shares for 1 Class B Share, subject to customary adjustments. As of December 31, 2023, 530,542.1 Class B Shares were outstanding. As of the date of this MD&amp;A, 36,084.7 Class B Shares were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Adelia Acquisition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60"/>
          </w:cols>
          <w:pgMar w:left="320" w:top="806" w:right="319" w:bottom="1440" w:gutter="0" w:footer="0" w:header="0"/>
        </w:sectPr>
      </w:pPr>
    </w:p>
    <w:bookmarkStart w:id="90" w:name="page91"/>
    <w:bookmarkEnd w:id="90"/>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On December 4, 2020, Cybin entered into a contribution agreement, as amended on September 24, 2021,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Cybin Corp., Cybin U.S.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a newly formed fully-controlled subsidiary of Cybin created for the purposes of the Adelia Transaction, and all of the shareholders of Adelia (the “</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whereby the Acquiror has agreed to purchase from the Adelia Shareholders all of the issued and outstanding common shares of Adelia (the “</w:t>
      </w:r>
      <w:r>
        <w:rPr>
          <w:rFonts w:ascii="Times New Roman" w:cs="Times New Roman" w:eastAsia="Times New Roman" w:hAnsi="Times New Roman"/>
          <w:sz w:val="18"/>
          <w:szCs w:val="18"/>
          <w:b w:val="1"/>
          <w:bCs w:val="1"/>
          <w:color w:val="auto"/>
        </w:rPr>
        <w:t>Adelia Shares</w:t>
      </w:r>
      <w:r>
        <w:rPr>
          <w:rFonts w:ascii="Times New Roman" w:cs="Times New Roman" w:eastAsia="Times New Roman" w:hAnsi="Times New Roman"/>
          <w:sz w:val="18"/>
          <w:szCs w:val="18"/>
          <w:color w:val="auto"/>
        </w:rPr>
        <w:t>”) in exchange for non-voting Class B common shares in the capital of the Acquiror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Adelia Transaction closed on December 14, 2020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spacing w:after="0" w:line="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On the occurrence of certain milestones as set out in the Contribution Agreement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the Acquiror will issue to the Adelia Shareholders in accordance with their pro rata percentage, within five business days following the relevant date at which there is agreement as to the achievement of the Milestone (the “</w:t>
      </w:r>
      <w:r>
        <w:rPr>
          <w:rFonts w:ascii="Times New Roman" w:cs="Times New Roman" w:eastAsia="Times New Roman" w:hAnsi="Times New Roman"/>
          <w:sz w:val="18"/>
          <w:szCs w:val="18"/>
          <w:b w:val="1"/>
          <w:bCs w:val="1"/>
          <w:color w:val="auto"/>
        </w:rPr>
        <w:t>Milestone Determination Date</w:t>
      </w:r>
      <w:r>
        <w:rPr>
          <w:rFonts w:ascii="Times New Roman" w:cs="Times New Roman" w:eastAsia="Times New Roman" w:hAnsi="Times New Roman"/>
          <w:sz w:val="18"/>
          <w:szCs w:val="18"/>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1,061,083.2 Class B Shares have been exchanged into Common Shares. Pursuant to the Contribution Agreement, Cybin, the Acquiror and the Adelia Shareholders also entered into a support agreement dated December 14, 2020 (the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60"/>
          </w:cols>
          <w:pgMar w:left="320" w:top="939" w:right="319" w:bottom="1440" w:gutter="0" w:footer="0" w:header="0"/>
        </w:sectPr>
      </w:pPr>
    </w:p>
    <w:bookmarkStart w:id="91" w:name="page92"/>
    <w:bookmarkEnd w:id="91"/>
    <w:p>
      <w:pPr>
        <w:jc w:val="both"/>
        <w:spacing w:after="0" w:line="302" w:lineRule="auto"/>
        <w:rPr>
          <w:sz w:val="20"/>
          <w:szCs w:val="20"/>
          <w:color w:val="auto"/>
        </w:rPr>
      </w:pPr>
      <w:r>
        <w:rPr>
          <w:rFonts w:ascii="Times New Roman" w:cs="Times New Roman" w:eastAsia="Times New Roman" w:hAnsi="Times New Roman"/>
          <w:sz w:val="18"/>
          <w:szCs w:val="18"/>
          <w:color w:val="auto"/>
        </w:rPr>
        <w:t>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7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8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1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spacing w:after="0" w:line="17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8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19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November 18, 2021, an additional 28,903 Class B Shares were issued to the Adelia Shareholders due to the achievement of certain requirements of the fourth and fifth Milestones, amounting to $706. These Class B Shares are exchangeable for a total of 289,030 Common Shares, representing an effective issue price of $2.44 per Common Share.</w:t>
      </w:r>
    </w:p>
    <w:p>
      <w:pPr>
        <w:spacing w:after="0" w:line="17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November 29, 2021, an additional 31,721.5 Class B Shares were issued to the Adelia Shareholders due to the achievement of certain requirements of the fourth and fifth Milestones, amounting to $629. These Class B Shares are exchangeable for a total of 317,215 Common Shares, representing an effective issue price of $1.98 per Common Share.</w:t>
      </w:r>
    </w:p>
    <w:p>
      <w:pPr>
        <w:spacing w:after="0" w:line="18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320" w:top="725" w:right="319" w:bottom="1440" w:gutter="0" w:footer="0" w:header="0"/>
        </w:sectPr>
      </w:pPr>
    </w:p>
    <w:bookmarkStart w:id="92" w:name="page93"/>
    <w:bookmarkEnd w:id="92"/>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spacing w:after="0" w:line="18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172,395 Common Shares, representing an effective issue price of $1.35 per Common Share.</w:t>
      </w:r>
    </w:p>
    <w:p>
      <w:pPr>
        <w:spacing w:after="0" w:line="19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905,460 Common Shares, representing an effective issue price of $1.00 per Common Share.</w:t>
      </w:r>
    </w:p>
    <w:p>
      <w:pPr>
        <w:spacing w:after="0" w:line="19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spacing w:after="0" w:line="168"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color w:val="auto"/>
        </w:rPr>
        <w:t>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$2,034 at a price per Class B Share of $7.62. These Class B Shares are exchangeable for a total of 2,669,331 Common Shares, representing an effective issue price of $0.762 per Common Share.</w:t>
      </w:r>
    </w:p>
    <w:p>
      <w:pPr>
        <w:spacing w:after="0" w:line="17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June 27, 2022, an additional 37,366.2 Class B Shares 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373,662 Common Shares, representing an effective issue price of $0.75 per Common Share.</w:t>
      </w:r>
    </w:p>
    <w:p>
      <w:pPr>
        <w:spacing w:after="0" w:line="18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exchangeable for a total of 331,901 Common Shares, representing an effective issue price of $1.41 per Common Share.</w:t>
      </w:r>
    </w:p>
    <w:p>
      <w:pPr>
        <w:spacing w:after="0" w:line="19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60"/>
          </w:cols>
          <w:pgMar w:left="320" w:top="725" w:right="319" w:bottom="1440" w:gutter="0" w:footer="0" w:header="0"/>
        </w:sectPr>
      </w:pPr>
    </w:p>
    <w:bookmarkStart w:id="93" w:name="page94"/>
    <w:bookmarkEnd w:id="93"/>
    <w:p>
      <w:pPr>
        <w:jc w:val="both"/>
        <w:spacing w:after="0" w:line="295" w:lineRule="auto"/>
        <w:rPr>
          <w:sz w:val="20"/>
          <w:szCs w:val="20"/>
          <w:color w:val="auto"/>
        </w:rPr>
      </w:pPr>
      <w:r>
        <w:rPr>
          <w:rFonts w:ascii="Times New Roman" w:cs="Times New Roman" w:eastAsia="Times New Roman" w:hAnsi="Times New Roman"/>
          <w:sz w:val="18"/>
          <w:szCs w:val="18"/>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195"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7"/>
          <w:szCs w:val="17"/>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 into advisory roles at the Company. Alex Nivorozhkin Ph.D., one of Adelia’s founders, is continuing in his role as Chief Scientific Officer of Cybin.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Pharma Acquisition</w:t>
      </w:r>
    </w:p>
    <w:p>
      <w:pPr>
        <w:spacing w:after="0" w:line="234" w:lineRule="exact"/>
        <w:rPr>
          <w:sz w:val="20"/>
          <w:szCs w:val="20"/>
          <w:color w:val="auto"/>
        </w:rPr>
      </w:pPr>
    </w:p>
    <w:p>
      <w:pPr>
        <w:ind w:right="3020"/>
        <w:spacing w:after="0" w:line="300" w:lineRule="auto"/>
        <w:rPr>
          <w:sz w:val="20"/>
          <w:szCs w:val="20"/>
          <w:color w:val="auto"/>
        </w:rPr>
      </w:pPr>
      <w:r>
        <w:rPr>
          <w:rFonts w:ascii="Times New Roman" w:cs="Times New Roman" w:eastAsia="Times New Roman" w:hAnsi="Times New Roman"/>
          <w:sz w:val="18"/>
          <w:szCs w:val="18"/>
          <w:color w:val="auto"/>
        </w:rPr>
        <w:t>On August 28, 2023, the Company entered into a definitive arrangement agreement (the “Arrangement Agreement”) with Small Pharma pursuant to which Cybin agreed to acquire all of the issued and outstanding shares of Small Pharma (each, a “Small Pharma Share”) in an all-equity business combination transaction to be completed by way of a plan of arrangement under the Business Corporations Act (British Columbia).</w:t>
      </w:r>
    </w:p>
    <w:p>
      <w:pPr>
        <w:spacing w:after="0" w:line="178" w:lineRule="exact"/>
        <w:rPr>
          <w:sz w:val="20"/>
          <w:szCs w:val="20"/>
          <w:color w:val="auto"/>
        </w:rPr>
      </w:pPr>
    </w:p>
    <w:p>
      <w:pPr>
        <w:ind w:right="2940"/>
        <w:spacing w:after="0" w:line="316" w:lineRule="auto"/>
        <w:rPr>
          <w:sz w:val="20"/>
          <w:szCs w:val="20"/>
          <w:color w:val="auto"/>
        </w:rPr>
      </w:pPr>
      <w:r>
        <w:rPr>
          <w:rFonts w:ascii="Times New Roman" w:cs="Times New Roman" w:eastAsia="Times New Roman" w:hAnsi="Times New Roman"/>
          <w:sz w:val="17"/>
          <w:szCs w:val="17"/>
          <w:color w:val="auto"/>
        </w:rPr>
        <w:t>On September 13, 2023, Small Pharma was granted an interim order (the “Interim Order”) by the Supreme Court of British Columbia (the “Court”)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180" w:lineRule="exact"/>
        <w:rPr>
          <w:sz w:val="20"/>
          <w:szCs w:val="20"/>
          <w:color w:val="auto"/>
        </w:rPr>
      </w:pPr>
    </w:p>
    <w:p>
      <w:pPr>
        <w:ind w:right="2920"/>
        <w:spacing w:after="0" w:line="322" w:lineRule="auto"/>
        <w:rPr>
          <w:sz w:val="20"/>
          <w:szCs w:val="20"/>
          <w:color w:val="auto"/>
        </w:rPr>
      </w:pPr>
      <w:r>
        <w:rPr>
          <w:rFonts w:ascii="Times New Roman" w:cs="Times New Roman" w:eastAsia="Times New Roman" w:hAnsi="Times New Roman"/>
          <w:sz w:val="17"/>
          <w:szCs w:val="17"/>
          <w:color w:val="auto"/>
        </w:rPr>
        <w:t>On October 12, 2023, the Company held an annual and special meeting of shareholders (the “Special Meeting”)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October 23, 2023, the Company completed the Arrangement and issued 0.2409 Common Shares for every one common share of Small Pharma outstanding, resulting in a total of 80,945,254 Common Shares being issued to Small Pharma shareholders. As a result of the Arrangement, Small Pharma is now a wholly-owned subsidiary of Cybin.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4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As at December 31, 2023 and the date of this MD&amp;A, other than these contractual obligations and commitments disclosed in note 11 of the Financial Statements, the Company does not have any off-balance sheet arrangements that have or are reasonably likely to have a current or future effect on the results of operations or financial condition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between related parties</w:t>
      </w:r>
    </w:p>
    <w:p>
      <w:pPr>
        <w:spacing w:after="0" w:line="234"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For the nine- month period ended December 31, 2023, the key management personnel of the Company were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Chief Executive Officer, Chief Financial Officer, Chief Operating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943" w:right="339" w:bottom="1440" w:gutter="0" w:footer="0" w:header="0"/>
        </w:sectPr>
      </w:pPr>
    </w:p>
    <w:bookmarkStart w:id="94" w:name="page95"/>
    <w:bookmarkEnd w:id="94"/>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Officer, Chief Growth Officer, Chief Compliance, Ethics &amp; Administrative Officer, Chief Legal Officer, Chief Innovation Officer, Chief Medical Officer, and Chief Scientific Officer.</w:t>
      </w:r>
    </w:p>
    <w:p>
      <w:pPr>
        <w:spacing w:after="0" w:line="132"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Compensation for key management personnel of the Company for the three month period ended December 31, 2023 consisted of consulting fees, short term benefits and other compensation of $1,029 (three-month period ended December 31, 2022 - $1,436).</w:t>
      </w:r>
    </w:p>
    <w:p>
      <w:pPr>
        <w:spacing w:after="0" w:line="157"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Compensation for key management personnel of the Company for the nine month period ended December 31, 2023 consisted of consulting fees, short term benefits and other compensation of $3,342 (nine-month period ended December 31, 2022 - $4,216)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46"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 xml:space="preserve">The preparation of the Company’s Interim Financial Statements require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of the Company’s annual consolidated financial statements for the year ended March 31, 2023, found on SEDAR+ at </w:t>
      </w:r>
      <w:r>
        <w:rPr>
          <w:rFonts w:ascii="Times New Roman" w:cs="Times New Roman" w:eastAsia="Times New Roman" w:hAnsi="Times New Roman"/>
          <w:sz w:val="17"/>
          <w:szCs w:val="17"/>
          <w:i w:val="1"/>
          <w:iCs w:val="1"/>
          <w:color w:val="auto"/>
        </w:rPr>
        <w:t>www.sedarplus.ca.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3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set out in note 2 of the of the Company’s annual consolidated financial statements for the year ended March 31, 2023, found on SEDAR+ at </w:t>
      </w:r>
      <w:r>
        <w:rPr>
          <w:rFonts w:ascii="Times New Roman" w:cs="Times New Roman" w:eastAsia="Times New Roman" w:hAnsi="Times New Roman"/>
          <w:sz w:val="18"/>
          <w:szCs w:val="18"/>
          <w:i w:val="1"/>
          <w:iCs w:val="1"/>
          <w:u w:val="single" w:color="auto"/>
          <w:color w:val="0563C1"/>
        </w:rPr>
        <w:t>www.sedarplus.ca</w:t>
      </w:r>
      <w:r>
        <w:rPr>
          <w:rFonts w:ascii="Times New Roman" w:cs="Times New Roman" w:eastAsia="Times New Roman" w:hAnsi="Times New Roman"/>
          <w:sz w:val="18"/>
          <w:szCs w:val="18"/>
          <w:color w:val="auto"/>
        </w:rPr>
        <w:t>. This MD&amp;A should be read in conjunction with the Interim Financial Statements. Other accounting standards or amendments to existing accounting standards that have been issued, but have future effective dates, are either not applicable or are not expected to have a significant impact on the Company’s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34" w:lineRule="exact"/>
        <w:rPr>
          <w:sz w:val="20"/>
          <w:szCs w:val="20"/>
          <w:color w:val="auto"/>
        </w:rPr>
      </w:pPr>
    </w:p>
    <w:p>
      <w:pPr>
        <w:jc w:val="both"/>
        <w:ind w:right="20"/>
        <w:spacing w:after="0" w:line="316" w:lineRule="auto"/>
        <w:rPr>
          <w:sz w:val="20"/>
          <w:szCs w:val="20"/>
          <w:color w:val="auto"/>
        </w:rPr>
      </w:pPr>
      <w:r>
        <w:rPr>
          <w:rFonts w:ascii="Times New Roman" w:cs="Times New Roman" w:eastAsia="Times New Roman" w:hAnsi="Times New Roman"/>
          <w:sz w:val="17"/>
          <w:szCs w:val="17"/>
          <w:color w:val="auto"/>
        </w:rPr>
        <w:t>Management maintains appropriate information systems, procedures and controls to provide reasonable assurance that information that is publicly disclosed is complete, reliable and timely. The Chief Executive Officer (the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and Chief Financial Officer (the “</w:t>
      </w:r>
      <w:r>
        <w:rPr>
          <w:rFonts w:ascii="Times New Roman" w:cs="Times New Roman" w:eastAsia="Times New Roman" w:hAnsi="Times New Roman"/>
          <w:sz w:val="17"/>
          <w:szCs w:val="17"/>
          <w:b w:val="1"/>
          <w:bCs w:val="1"/>
          <w:color w:val="auto"/>
        </w:rPr>
        <w:t>CFO</w:t>
      </w:r>
      <w:r>
        <w:rPr>
          <w:rFonts w:ascii="Times New Roman" w:cs="Times New Roman" w:eastAsia="Times New Roman" w:hAnsi="Times New Roman"/>
          <w:sz w:val="17"/>
          <w:szCs w:val="17"/>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60"/>
          </w:cols>
          <w:pgMar w:left="320" w:top="725" w:right="319" w:bottom="1440" w:gutter="0" w:footer="0" w:header="0"/>
        </w:sectPr>
      </w:pPr>
    </w:p>
    <w:bookmarkStart w:id="95" w:name="page96"/>
    <w:bookmarkEnd w:id="95"/>
    <w:p>
      <w:pPr>
        <w:ind w:left="560" w:hanging="27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records in reasonable detail, that accurately and fairly reflect the transactions and dispositions of assets;</w:t>
      </w:r>
    </w:p>
    <w:p>
      <w:pPr>
        <w:spacing w:after="0" w:line="47"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assurance that transactions are recorded as necessary to permit preparation of financial statements in accordance with applicable IFRS;</w:t>
      </w:r>
    </w:p>
    <w:p>
      <w:pPr>
        <w:spacing w:after="0" w:line="3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receipts and expenditures are only being made in accordance with authorizations of management or the Board; and</w:t>
      </w:r>
    </w:p>
    <w:p>
      <w:pPr>
        <w:spacing w:after="0" w:line="35" w:lineRule="exact"/>
        <w:rPr>
          <w:rFonts w:ascii="Times New Roman" w:cs="Times New Roman" w:eastAsia="Times New Roman" w:hAnsi="Times New Roman"/>
          <w:sz w:val="18"/>
          <w:szCs w:val="18"/>
          <w:color w:val="auto"/>
        </w:rPr>
      </w:pPr>
    </w:p>
    <w:p>
      <w:pPr>
        <w:ind w:left="580" w:right="20" w:hanging="292"/>
        <w:spacing w:after="0" w:line="324" w:lineRule="auto"/>
        <w:tabs>
          <w:tab w:leader="none" w:pos="5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45"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During the period ended December 31, 2023, the Company did not make any significant changes to its internal controls over financial reporting that would have materially affected, or reasonably likely to materially affect, its internal controls over financial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Disclosure Controls and Procedures and Internal Control over Financial Reporting</w:t>
      </w:r>
    </w:p>
    <w:p>
      <w:pPr>
        <w:spacing w:after="0" w:line="25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and interpretations not yet adopted</w:t>
      </w:r>
    </w:p>
    <w:p>
      <w:pPr>
        <w:spacing w:after="0" w:line="25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A number of new standards, amendments to standards and interpretations are not yet effective at December 31, 2023, and have not been applied in preparing the condensed interim consolidated financial statements. Management has determined that none of these will have a significant effect on the condensed interim consolidated financial statements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Risk Management</w:t>
      </w:r>
    </w:p>
    <w:p>
      <w:pPr>
        <w:spacing w:after="0" w:line="2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12,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noted the following risks specific to the psychedelic industry that it is exposed to: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60"/>
          </w:cols>
          <w:pgMar w:left="320" w:top="725" w:right="319" w:bottom="1440" w:gutter="0" w:footer="0" w:header="0"/>
        </w:sectPr>
      </w:pPr>
    </w:p>
    <w:bookmarkStart w:id="96" w:name="page97"/>
    <w:bookmarkEnd w:id="96"/>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The board of directors reviews and approves the Company’s operating and capital budgets, as well as any material transactions not in the ordinary course of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w:t>
      </w:r>
    </w:p>
    <w:p>
      <w:pPr>
        <w:spacing w:after="0" w:line="258"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7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258"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46" w:lineRule="exact"/>
        <w:rPr>
          <w:sz w:val="20"/>
          <w:szCs w:val="20"/>
          <w:color w:val="auto"/>
        </w:rPr>
      </w:pPr>
    </w:p>
    <w:p>
      <w:pPr>
        <w:ind w:right="2820"/>
        <w:spacing w:after="0" w:line="285" w:lineRule="auto"/>
        <w:rPr>
          <w:sz w:val="20"/>
          <w:szCs w:val="20"/>
          <w:color w:val="auto"/>
        </w:rPr>
      </w:pPr>
      <w:r>
        <w:rPr>
          <w:rFonts w:ascii="Times New Roman" w:cs="Times New Roman" w:eastAsia="Times New Roman" w:hAnsi="Times New Roman"/>
          <w:sz w:val="18"/>
          <w:szCs w:val="18"/>
          <w:color w:val="auto"/>
        </w:rPr>
        <w:t>On January 3, 2024, Former Adelia Shareholders exchanged 494,457.4 Class B Shares for 4,944,574 Common Shares. On January 4, 2024, the Company outlined its Phase 2 CYB003 topline results in MDD and milestones across its clinical-stage deuterated psilocybin and dDMT programs..</w:t>
      </w:r>
    </w:p>
    <w:p>
      <w:pPr>
        <w:spacing w:after="0" w:line="2" w:lineRule="exact"/>
        <w:rPr>
          <w:sz w:val="20"/>
          <w:szCs w:val="20"/>
          <w:color w:val="auto"/>
        </w:rPr>
      </w:pPr>
    </w:p>
    <w:p>
      <w:pPr>
        <w:ind w:right="3120"/>
        <w:spacing w:after="0" w:line="288" w:lineRule="auto"/>
        <w:rPr>
          <w:sz w:val="20"/>
          <w:szCs w:val="20"/>
          <w:color w:val="auto"/>
        </w:rPr>
      </w:pPr>
      <w:r>
        <w:rPr>
          <w:rFonts w:ascii="Times New Roman" w:cs="Times New Roman" w:eastAsia="Times New Roman" w:hAnsi="Times New Roman"/>
          <w:sz w:val="18"/>
          <w:szCs w:val="18"/>
          <w:color w:val="auto"/>
        </w:rPr>
        <w:t>On January 8, 2024, the Company announced positive safety, PK and PD data from its Phase 1 studies of CYB004 (IV) and SPL028 (IV and IM) in healthy volunteers.</w:t>
      </w:r>
    </w:p>
    <w:p>
      <w:pPr>
        <w:jc w:val="both"/>
        <w:spacing w:after="0" w:line="295" w:lineRule="auto"/>
        <w:rPr>
          <w:sz w:val="20"/>
          <w:szCs w:val="20"/>
          <w:color w:val="auto"/>
        </w:rPr>
      </w:pPr>
      <w:r>
        <w:rPr>
          <w:rFonts w:ascii="Times New Roman" w:cs="Times New Roman" w:eastAsia="Times New Roman" w:hAnsi="Times New Roman"/>
          <w:sz w:val="18"/>
          <w:szCs w:val="18"/>
          <w:color w:val="auto"/>
        </w:rPr>
        <w:t>On January 23, 2024, the Company announced that the FDA has cleared the Company’s IND application for CYB004, its proprietary dDMT molecule in development for the treatment of GAD. This clearance allows the Company to proceed with its plans to initiate a Phase 2a, study of CYB004 in Q1 2024. The Phase 2a study will be a randomized, double-blind, active-controlled trial to assess the preliminary clinical efficacy, safety, tolerability, PK and PD of CYB004 in participants with GAD. This trial will be conducted at study sites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7, 2024, the Company announced that the Japan Patent Office granted patents 2023-500532 and 2023-533436.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In addition to the risks described herein, reference is made to the section entitled “Risk Factors” 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60"/>
          </w:cols>
          <w:pgMar w:left="320" w:top="725" w:right="319" w:bottom="1440" w:gutter="0" w:footer="0" w:header="0"/>
        </w:sectPr>
      </w:pPr>
    </w:p>
    <w:bookmarkStart w:id="97" w:name="page98"/>
    <w:bookmarkEnd w:id="97"/>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MD&amp;A as compared to those included in other documents publicly filed by the Company, as all risk factors are important and should be carefully considered by a potential investor.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Industry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Impact of the Novel Coronavirus “COVID-19”</w:t>
      </w:r>
    </w:p>
    <w:p>
      <w:pPr>
        <w:spacing w:after="0" w:line="27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outbreak of COVID-19 and its eventual declaration as a pandemic by the World Health Organization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Company in future periods. The Company is not currently aware of any changes in laws, regulations or guidelines, including tax and accounting requirements, arising from COVID-19 which would be reasonably anticipated to materially affect the Company’s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8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Achieving Publicly Announced Milestones</w:t>
      </w:r>
    </w:p>
    <w:p>
      <w:pPr>
        <w:spacing w:after="0" w:line="27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60"/>
          </w:cols>
          <w:pgMar w:left="320" w:top="7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Factors” for further disclosure of risks and events that may affect the timing of certain events the Company may announce.</w:t>
      </w:r>
    </w:p>
    <w:p>
      <w:pPr>
        <w:spacing w:after="0" w:line="26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Speculative Nature of Investment Risk</w:t>
      </w:r>
    </w:p>
    <w:p>
      <w:pPr>
        <w:spacing w:after="0" w:line="258"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Stage of the Industry and Product Development</w:t>
      </w:r>
    </w:p>
    <w:p>
      <w:pPr>
        <w:spacing w:after="0" w:line="2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18"/>
          <w:szCs w:val="18"/>
          <w:b w:val="1"/>
          <w:bCs w:val="1"/>
          <w:color w:val="auto"/>
        </w:rPr>
        <w:t>PDD</w:t>
      </w:r>
      <w:r>
        <w:rPr>
          <w:rFonts w:ascii="Times New Roman" w:cs="Times New Roman" w:eastAsia="Times New Roman" w:hAnsi="Times New Roman"/>
          <w:sz w:val="18"/>
          <w:szCs w:val="18"/>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87"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8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60"/>
          </w:cols>
          <w:pgMar w:left="320" w:top="725" w:right="319" w:bottom="1440" w:gutter="0" w:footer="0" w:header="0"/>
        </w:sectPr>
      </w:pPr>
    </w:p>
    <w:bookmarkStart w:id="99" w:name="page100"/>
    <w:bookmarkEnd w:id="99"/>
    <w:p>
      <w:pPr>
        <w:jc w:val="both"/>
        <w:spacing w:after="0" w:line="292" w:lineRule="auto"/>
        <w:rPr>
          <w:sz w:val="20"/>
          <w:szCs w:val="20"/>
          <w:color w:val="auto"/>
        </w:rPr>
      </w:pPr>
      <w:r>
        <w:rPr>
          <w:rFonts w:ascii="Times New Roman" w:cs="Times New Roman" w:eastAsia="Times New Roman" w:hAnsi="Times New Roman"/>
          <w:sz w:val="18"/>
          <w:szCs w:val="18"/>
          <w:color w:val="auto"/>
        </w:rPr>
        <w:t>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18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83"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 xml:space="preserve">The Company’s business relies on its ability to access, develop, and sell psilocybin,DMT-based compounds and other psychedelic compounds. Psilocybin DMT-based compounds and other psychedelic compounds are controlled substance in many jurisdictions, including in Canada under Schedule III of the </w:t>
      </w:r>
      <w:r>
        <w:rPr>
          <w:rFonts w:ascii="Times New Roman" w:cs="Times New Roman" w:eastAsia="Times New Roman" w:hAnsi="Times New Roman"/>
          <w:sz w:val="17"/>
          <w:szCs w:val="17"/>
          <w:i w:val="1"/>
          <w:iCs w:val="1"/>
          <w:color w:val="auto"/>
        </w:rPr>
        <w:t xml:space="preserve">Controlled Drugs and Substances Act </w:t>
      </w:r>
      <w:r>
        <w:rPr>
          <w:rFonts w:ascii="Times New Roman" w:cs="Times New Roman" w:eastAsia="Times New Roman" w:hAnsi="Times New Roman"/>
          <w:sz w:val="17"/>
          <w:szCs w:val="17"/>
          <w:color w:val="auto"/>
        </w:rPr>
        <w:t>and in the United States. The Company may face difficulty accessing the public capital markets in Canada as a result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DMT-based compounds and other psychedelic compounds has not been confirmed and requires further study and scientific rigour.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and Uncertainties</w:t>
      </w:r>
    </w:p>
    <w:p>
      <w:pPr>
        <w:spacing w:after="0" w:line="2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20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60"/>
          </w:cols>
          <w:pgMar w:left="320" w:top="725" w:right="319" w:bottom="1440" w:gutter="0" w:footer="0" w:header="0"/>
        </w:sectPr>
      </w:pPr>
    </w:p>
    <w:bookmarkStart w:id="100" w:name="page101"/>
    <w:bookmarkEnd w:id="100"/>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the necessary licences and permits for any of the above scheduled drugs could have an adverse effect on the Company’s operations.</w:t>
      </w:r>
    </w:p>
    <w:p>
      <w:pPr>
        <w:spacing w:after="0" w:line="2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8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8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of Operating in European Countries</w:t>
      </w:r>
    </w:p>
    <w:p>
      <w:pPr>
        <w:spacing w:after="0" w:line="2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60"/>
          </w:cols>
          <w:pgMar w:left="320" w:top="725" w:right="319" w:bottom="1440" w:gutter="0" w:footer="0" w:header="0"/>
        </w:sectPr>
      </w:pPr>
    </w:p>
    <w:bookmarkStart w:id="101" w:name="page102"/>
    <w:bookmarkEnd w:id="101"/>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15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These and other risks associated with the Company’s international operations may materially adversely affect its ability to attain or maintain profitable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 Status Under U.S. Securities Laws</w:t>
      </w:r>
    </w:p>
    <w:p>
      <w:pPr>
        <w:spacing w:after="0" w:line="24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Company is a “foreign private issuer”, under applicable U.S. federal securities laws, and is, therefore, not subject to the same requirements that are imposed upon U.S. domestic issuers by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2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Plans for Growth</w:t>
      </w:r>
    </w:p>
    <w:p>
      <w:pPr>
        <w:spacing w:after="0" w:line="2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Products</w:t>
      </w:r>
    </w:p>
    <w:p>
      <w:pPr>
        <w:spacing w:after="0" w:line="258"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8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60"/>
          </w:cols>
          <w:pgMar w:left="320" w:top="725" w:right="319" w:bottom="1440" w:gutter="0" w:footer="0" w:header="0"/>
        </w:sectPr>
      </w:pPr>
    </w:p>
    <w:bookmarkStart w:id="102" w:name="page103"/>
    <w:bookmarkEnd w:id="102"/>
    <w:p>
      <w:pPr>
        <w:jc w:val="both"/>
        <w:spacing w:after="0" w:line="302" w:lineRule="auto"/>
        <w:rPr>
          <w:sz w:val="20"/>
          <w:szCs w:val="20"/>
          <w:color w:val="auto"/>
        </w:rPr>
      </w:pPr>
      <w:r>
        <w:rPr>
          <w:rFonts w:ascii="Times New Roman" w:cs="Times New Roman" w:eastAsia="Times New Roman" w:hAnsi="Times New Roman"/>
          <w:sz w:val="18"/>
          <w:szCs w:val="18"/>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Marketing and Sales Capabilities</w:t>
      </w:r>
    </w:p>
    <w:p>
      <w:pPr>
        <w:spacing w:after="0" w:line="2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of Commercial Success</w:t>
      </w:r>
    </w:p>
    <w:p>
      <w:pPr>
        <w:spacing w:after="0" w:line="2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Profits or Significant Revenues</w:t>
      </w:r>
    </w:p>
    <w:p>
      <w:pPr>
        <w:spacing w:after="0" w:line="2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Third Parties for Clinical Development Activities</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Third Party Relationships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943" w:right="339" w:bottom="1440" w:gutter="0" w:footer="0" w:header="0"/>
        </w:sectPr>
      </w:pPr>
    </w:p>
    <w:bookmarkStart w:id="103" w:name="page104"/>
    <w:bookmarkEnd w:id="103"/>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Contract Manufacturers</w:t>
      </w:r>
    </w:p>
    <w:p>
      <w:pPr>
        <w:spacing w:after="0" w:line="2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has limited manufacturing experience and relies on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Efficacy of Products</w:t>
      </w:r>
    </w:p>
    <w:p>
      <w:pPr>
        <w:spacing w:after="0" w:line="27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60"/>
          </w:cols>
          <w:pgMar w:left="320" w:top="943" w:right="319" w:bottom="1440" w:gutter="0" w:footer="0" w:header="0"/>
        </w:sectPr>
      </w:pPr>
    </w:p>
    <w:bookmarkStart w:id="104" w:name="page105"/>
    <w:bookmarkEnd w:id="104"/>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EMA,the PDD or other regulatory authorities, resulting in the Company being unable to derive any commercial revenue from them after investing significant amounts of capital in their development.</w:t>
      </w:r>
    </w:p>
    <w:p>
      <w:pPr>
        <w:spacing w:after="0" w:line="199"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 and Commercializing Products</w:t>
      </w:r>
    </w:p>
    <w:p>
      <w:pPr>
        <w:spacing w:after="0" w:line="25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9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60"/>
          </w:cols>
          <w:pgMar w:left="320" w:top="725" w:right="319" w:bottom="1440" w:gutter="0" w:footer="0" w:header="0"/>
        </w:sectPr>
      </w:pPr>
    </w:p>
    <w:bookmarkStart w:id="105" w:name="page106"/>
    <w:bookmarkEnd w:id="105"/>
    <w:p>
      <w:pPr>
        <w:spacing w:after="0" w:line="324" w:lineRule="auto"/>
        <w:rPr>
          <w:sz w:val="20"/>
          <w:szCs w:val="20"/>
          <w:color w:val="auto"/>
        </w:rPr>
      </w:pPr>
      <w:r>
        <w:rPr>
          <w:rFonts w:ascii="Times New Roman" w:cs="Times New Roman" w:eastAsia="Times New Roman" w:hAnsi="Times New Roman"/>
          <w:sz w:val="18"/>
          <w:szCs w:val="18"/>
          <w:color w:val="auto"/>
        </w:rPr>
        <w:t>market before the Company, which would impair the Company’s ability to successfully commercialize its prescription drug product candidates and may harm its financial condition, results of operations and prospects.</w:t>
      </w:r>
    </w:p>
    <w:p>
      <w:pPr>
        <w:spacing w:after="0" w:line="157"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8"/>
          <w:szCs w:val="18"/>
          <w:color w:val="auto"/>
        </w:rPr>
        <w:t>The commencement and completion of clinical trials for the Company’s prescription drug product candidates may be delayed for a number of reasons, including but not limited, to:</w:t>
      </w:r>
    </w:p>
    <w:p>
      <w:pPr>
        <w:spacing w:after="0" w:line="181" w:lineRule="exact"/>
        <w:rPr>
          <w:sz w:val="20"/>
          <w:szCs w:val="20"/>
          <w:color w:val="auto"/>
        </w:rPr>
      </w:pPr>
    </w:p>
    <w:p>
      <w:pPr>
        <w:ind w:left="560" w:hanging="272"/>
        <w:spacing w:after="0"/>
        <w:tabs>
          <w:tab w:leader="none" w:pos="56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failure by regulatory authorities to grant permission to proceed or placing clinical trials on hold;</w:t>
      </w:r>
    </w:p>
    <w:p>
      <w:pPr>
        <w:spacing w:after="0" w:line="34" w:lineRule="exact"/>
        <w:rPr>
          <w:rFonts w:ascii="Arial" w:cs="Arial" w:eastAsia="Arial" w:hAnsi="Arial"/>
          <w:sz w:val="18"/>
          <w:szCs w:val="18"/>
          <w:color w:val="auto"/>
        </w:rPr>
      </w:pPr>
    </w:p>
    <w:p>
      <w:pPr>
        <w:ind w:left="580" w:right="20" w:hanging="292"/>
        <w:spacing w:after="0" w:line="287" w:lineRule="auto"/>
        <w:tabs>
          <w:tab w:leader="none" w:pos="569"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spacing w:after="0" w:line="1" w:lineRule="exact"/>
        <w:rPr>
          <w:rFonts w:ascii="Arial" w:cs="Arial" w:eastAsia="Arial" w:hAnsi="Arial"/>
          <w:sz w:val="18"/>
          <w:szCs w:val="18"/>
          <w:color w:val="auto"/>
        </w:rPr>
      </w:pPr>
    </w:p>
    <w:p>
      <w:pPr>
        <w:ind w:left="580" w:right="20" w:hanging="292"/>
        <w:spacing w:after="0" w:line="287" w:lineRule="auto"/>
        <w:tabs>
          <w:tab w:leader="none" w:pos="569"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any changes to the Company’s manufacturing process that may be necessary or desired, delays or failure to obtain clinical supply from CMOs of the Company’s products necessary to conduct clinical trials;</w:t>
      </w:r>
    </w:p>
    <w:p>
      <w:pPr>
        <w:spacing w:after="0" w:line="1" w:lineRule="exact"/>
        <w:rPr>
          <w:rFonts w:ascii="Arial" w:cs="Arial" w:eastAsia="Arial" w:hAnsi="Arial"/>
          <w:sz w:val="18"/>
          <w:szCs w:val="18"/>
          <w:color w:val="auto"/>
        </w:rPr>
      </w:pPr>
    </w:p>
    <w:p>
      <w:pPr>
        <w:ind w:left="580" w:hanging="292"/>
        <w:spacing w:after="0" w:line="280" w:lineRule="auto"/>
        <w:tabs>
          <w:tab w:leader="none" w:pos="569"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prescription drug product candidates demonstrating a lack of safety or efficacy during clinical trials, reports of clinical testing on similar technologies and products raising safety or efficacy concerns;</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clinical investigators not performing the Company’s clinical trials on their anticipated schedule, dropping out of a trial, or employing methods not</w:t>
      </w:r>
    </w:p>
    <w:p>
      <w:pPr>
        <w:spacing w:after="0" w:line="46" w:lineRule="exact"/>
        <w:rPr>
          <w:rFonts w:ascii="Arial" w:cs="Arial" w:eastAsia="Arial" w:hAnsi="Arial"/>
          <w:sz w:val="18"/>
          <w:szCs w:val="18"/>
          <w:color w:val="auto"/>
        </w:rPr>
      </w:pPr>
    </w:p>
    <w:p>
      <w:pPr>
        <w:ind w:left="580" w:right="20"/>
        <w:spacing w:after="0" w:line="281" w:lineRule="auto"/>
        <w:rPr>
          <w:rFonts w:ascii="Arial" w:cs="Arial" w:eastAsia="Arial" w:hAnsi="Arial"/>
          <w:sz w:val="18"/>
          <w:szCs w:val="18"/>
          <w:color w:val="auto"/>
        </w:rPr>
      </w:pPr>
      <w:r>
        <w:rPr>
          <w:rFonts w:ascii="Times New Roman" w:cs="Times New Roman" w:eastAsia="Times New Roman" w:hAnsi="Times New Roman"/>
          <w:sz w:val="18"/>
          <w:szCs w:val="18"/>
          <w:color w:val="auto"/>
        </w:rPr>
        <w:t>consistent with the clinical trial protocol, regulatory requirements or other third parties not performing data collection and analysis in a timely or accurate manner;</w:t>
      </w:r>
    </w:p>
    <w:p>
      <w:pPr>
        <w:ind w:left="560" w:hanging="272"/>
        <w:spacing w:after="0"/>
        <w:tabs>
          <w:tab w:leader="none" w:pos="56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failure of the Company’s contract research organizations to satisfy their contractual duties or meet expected deadlines;</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inspections of clinical trial sites by regulatory authorities;</w:t>
      </w:r>
    </w:p>
    <w:p>
      <w:pPr>
        <w:spacing w:after="0" w:line="34" w:lineRule="exact"/>
        <w:rPr>
          <w:rFonts w:ascii="Arial" w:cs="Arial" w:eastAsia="Arial" w:hAnsi="Arial"/>
          <w:sz w:val="18"/>
          <w:szCs w:val="18"/>
          <w:color w:val="auto"/>
        </w:rPr>
      </w:pPr>
    </w:p>
    <w:p>
      <w:pPr>
        <w:ind w:left="580" w:right="20" w:hanging="292"/>
        <w:spacing w:after="0" w:line="287" w:lineRule="auto"/>
        <w:tabs>
          <w:tab w:leader="none" w:pos="569"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spacing w:after="0" w:line="1" w:lineRule="exact"/>
        <w:rPr>
          <w:rFonts w:ascii="Arial" w:cs="Arial" w:eastAsia="Arial" w:hAnsi="Arial"/>
          <w:sz w:val="18"/>
          <w:szCs w:val="18"/>
          <w:color w:val="auto"/>
        </w:rPr>
      </w:pPr>
    </w:p>
    <w:p>
      <w:pPr>
        <w:ind w:left="580" w:right="20" w:hanging="292"/>
        <w:spacing w:after="0" w:line="287" w:lineRule="auto"/>
        <w:tabs>
          <w:tab w:leader="none" w:pos="569"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reach agreement on acceptable terms with prospective clinical trial sites.</w:t>
      </w:r>
    </w:p>
    <w:p>
      <w:pPr>
        <w:spacing w:after="0" w:line="2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8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8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Clinical Trials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60"/>
          </w:cols>
          <w:pgMar w:left="320" w:top="725" w:right="319" w:bottom="1440" w:gutter="0" w:footer="0" w:header="0"/>
        </w:sectPr>
      </w:pPr>
    </w:p>
    <w:bookmarkStart w:id="106" w:name="page107"/>
    <w:bookmarkEnd w:id="106"/>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Grade Product Manufacturing</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Regulatory Approvals</w:t>
      </w:r>
    </w:p>
    <w:p>
      <w:pPr>
        <w:spacing w:after="0" w:line="25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9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60"/>
          </w:cols>
          <w:pgMar w:left="320" w:top="943" w:right="319" w:bottom="1440" w:gutter="0" w:footer="0" w:header="0"/>
        </w:sectPr>
      </w:pPr>
    </w:p>
    <w:bookmarkStart w:id="107" w:name="page108"/>
    <w:bookmarkEnd w:id="107"/>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7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EMA,the PDD or other regulatory authorities may impose a risk evaluation and mitigation strategy, thereby imposing certain restrictions on the sale and marketability of such products.</w:t>
      </w:r>
    </w:p>
    <w:p>
      <w:pPr>
        <w:spacing w:after="0" w:line="187"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Access and Acceptance</w:t>
      </w:r>
    </w:p>
    <w:p>
      <w:pPr>
        <w:spacing w:after="0" w:line="25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spacing w:after="0" w:line="185" w:lineRule="exact"/>
        <w:rPr>
          <w:sz w:val="20"/>
          <w:szCs w:val="20"/>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healthcare professionals, patients and healthcare payors of each product as safe, effective and cost-effective;</w:t>
      </w:r>
    </w:p>
    <w:p>
      <w:pPr>
        <w:spacing w:after="0" w:line="3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any product;</w:t>
      </w:r>
    </w:p>
    <w:p>
      <w:pPr>
        <w:spacing w:after="0" w:line="3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47"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3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relative convenience, ease of use, ease of administration and other perceived advantages over alternatives;</w:t>
      </w:r>
    </w:p>
    <w:p>
      <w:pPr>
        <w:spacing w:after="0" w:line="47"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or publicity;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60"/>
          </w:cols>
          <w:pgMar w:left="320" w:top="725" w:right="319" w:bottom="1440" w:gutter="0" w:footer="0" w:header="0"/>
        </w:sectPr>
      </w:pPr>
    </w:p>
    <w:bookmarkStart w:id="108" w:name="page109"/>
    <w:bookmarkEnd w:id="108"/>
    <w:p>
      <w:pPr>
        <w:ind w:left="580" w:hanging="292"/>
        <w:spacing w:after="0" w:line="288" w:lineRule="auto"/>
        <w:tabs>
          <w:tab w:leader="none" w:pos="61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precautions or warnings listed in the summary of product characteristics, patient information leaflet, package labeling or instructions for use;</w:t>
      </w:r>
    </w:p>
    <w:p>
      <w:pPr>
        <w:ind w:left="620" w:hanging="332"/>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with the Company’s product in relation to alternatives;</w:t>
      </w:r>
    </w:p>
    <w:p>
      <w:pPr>
        <w:spacing w:after="0" w:line="47"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that prescribers and dispensers must take, as well as the perceived risks based upon its controlled substance status;</w:t>
      </w:r>
    </w:p>
    <w:p>
      <w:pPr>
        <w:spacing w:after="0" w:line="3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the Company’s product in sufficient quantities and yields with adequate purity;</w:t>
      </w:r>
    </w:p>
    <w:p>
      <w:pPr>
        <w:spacing w:after="0" w:line="47" w:lineRule="exact"/>
        <w:rPr>
          <w:rFonts w:ascii="Times New Roman" w:cs="Times New Roman" w:eastAsia="Times New Roman" w:hAnsi="Times New Roman"/>
          <w:sz w:val="18"/>
          <w:szCs w:val="18"/>
          <w:color w:val="auto"/>
        </w:rPr>
      </w:pPr>
    </w:p>
    <w:p>
      <w:pPr>
        <w:ind w:left="580" w:right="20" w:hanging="292"/>
        <w:spacing w:after="0" w:line="281" w:lineRule="auto"/>
        <w:tabs>
          <w:tab w:leader="none" w:pos="56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coverage and reimbursement from healthcare payors, and the willingness of patients to pay out of pocket in the absence of healthcare payor coverage or adequate reimbursement;</w:t>
      </w:r>
    </w:p>
    <w:p>
      <w:pPr>
        <w:ind w:left="620" w:hanging="332"/>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healthcare professionals to prescribe, the product;</w:t>
      </w:r>
    </w:p>
    <w:p>
      <w:pPr>
        <w:spacing w:after="0" w:line="47" w:lineRule="exact"/>
        <w:rPr>
          <w:rFonts w:ascii="Times New Roman" w:cs="Times New Roman" w:eastAsia="Times New Roman" w:hAnsi="Times New Roman"/>
          <w:sz w:val="18"/>
          <w:szCs w:val="18"/>
          <w:color w:val="auto"/>
        </w:rPr>
      </w:pPr>
    </w:p>
    <w:p>
      <w:pPr>
        <w:ind w:left="580" w:right="20" w:hanging="292"/>
        <w:spacing w:after="0" w:line="288" w:lineRule="auto"/>
        <w:tabs>
          <w:tab w:leader="none" w:pos="56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unfavorable publicity, including negative publicity associated with recreational use or abuse of psilocybin, DMT-based compounds and other psychedelic compounds; and</w:t>
      </w:r>
    </w:p>
    <w:p>
      <w:pPr>
        <w:ind w:left="560" w:hanging="272"/>
        <w:spacing w:after="0"/>
        <w:tabs>
          <w:tab w:leader="none" w:pos="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sale or distribution of the Company’s future products.</w:t>
      </w:r>
    </w:p>
    <w:p>
      <w:pPr>
        <w:spacing w:after="0" w:line="25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18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Unfavourable Publicity or Consumer Perception</w:t>
      </w:r>
    </w:p>
    <w:p>
      <w:pPr>
        <w:spacing w:after="0" w:line="25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2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60"/>
          </w:cols>
          <w:pgMar w:left="320" w:top="725" w:right="319" w:bottom="1440" w:gutter="0" w:footer="0" w:header="0"/>
        </w:sectPr>
      </w:pPr>
    </w:p>
    <w:bookmarkStart w:id="109" w:name="page110"/>
    <w:bookmarkEnd w:id="109"/>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of psilocybin, DMT or isolated constituents, regulatory proceedings, litigation, media attention or other research findings or publicity will be favourable to the industry or the Company or any particular product, or consistent with earlier publicity.</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w:t>
      </w:r>
    </w:p>
    <w:p>
      <w:pPr>
        <w:spacing w:after="0" w:line="25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Biotechnology and Pharmaceutical Market Competition</w:t>
      </w:r>
    </w:p>
    <w:p>
      <w:pPr>
        <w:spacing w:after="0" w:line="27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83" w:lineRule="exact"/>
        <w:rPr>
          <w:sz w:val="20"/>
          <w:szCs w:val="20"/>
          <w:color w:val="auto"/>
        </w:rPr>
      </w:pPr>
    </w:p>
    <w:p>
      <w:pPr>
        <w:ind w:left="580" w:right="20" w:hanging="292"/>
        <w:spacing w:after="0" w:line="287" w:lineRule="auto"/>
        <w:tabs>
          <w:tab w:leader="none" w:pos="569"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the efficacy and safety profile of its prescription drug product candidates relative to marketed products and other prescription drug product candidates in development;</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develop and maintain a competitive position in the product categories and technologies on which it focuses;</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the time it takes for the Company’s prescription drug product candidates to complete clinical development and receive marketing approval;</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obtain required regulatory approvals;</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commercialize any of its prescription drug product candidates that receive regulatory approval;</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establish, maintain and protect intellectual property rights related to its prescription drug product candidates; and</w:t>
      </w:r>
    </w:p>
    <w:p>
      <w:pPr>
        <w:spacing w:after="0" w:line="34" w:lineRule="exact"/>
        <w:rPr>
          <w:rFonts w:ascii="Arial" w:cs="Arial" w:eastAsia="Arial" w:hAnsi="Arial"/>
          <w:sz w:val="18"/>
          <w:szCs w:val="18"/>
          <w:color w:val="auto"/>
        </w:rPr>
      </w:pPr>
    </w:p>
    <w:p>
      <w:pPr>
        <w:ind w:left="580" w:right="20" w:hanging="292"/>
        <w:spacing w:after="0" w:line="309" w:lineRule="auto"/>
        <w:tabs>
          <w:tab w:leader="none" w:pos="569"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acceptance of any of the Company’s prescription drug product candidates that receive regulatory approval by physicians and other healthcare providers and payers.</w:t>
      </w:r>
    </w:p>
    <w:p>
      <w:pPr>
        <w:spacing w:after="0" w:line="181"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7"/>
          <w:szCs w:val="17"/>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60"/>
          </w:cols>
          <w:pgMar w:left="320" w:top="725" w:right="319" w:bottom="1440" w:gutter="0" w:footer="0" w:header="0"/>
        </w:sectPr>
      </w:pPr>
    </w:p>
    <w:bookmarkStart w:id="110" w:name="page111"/>
    <w:bookmarkEnd w:id="110"/>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spacing w:after="0" w:line="195"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6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Executives and Scientists</w:t>
      </w:r>
    </w:p>
    <w:p>
      <w:pPr>
        <w:spacing w:after="0" w:line="27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Misconduct</w:t>
      </w:r>
    </w:p>
    <w:p>
      <w:pPr>
        <w:spacing w:after="0" w:line="25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60"/>
          </w:cols>
          <w:pgMar w:left="320" w:top="725" w:right="319" w:bottom="1440" w:gutter="0" w:footer="0" w:header="0"/>
        </w:sectPr>
      </w:pPr>
    </w:p>
    <w:bookmarkStart w:id="111" w:name="page112"/>
    <w:bookmarkEnd w:id="111"/>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Expansion and Growth</w:t>
      </w:r>
    </w:p>
    <w:p>
      <w:pPr>
        <w:spacing w:after="0" w:line="2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87"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Results of External Clinical Trials or Studies</w:t>
      </w:r>
    </w:p>
    <w:p>
      <w:pPr>
        <w:spacing w:after="0" w:line="2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5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18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60"/>
          </w:cols>
          <w:pgMar w:left="320" w:top="7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liability cover that may be obtained by the Company could have a material adverse effect on its business, financial conditional and results of operations.</w:t>
      </w:r>
    </w:p>
    <w:p>
      <w:pPr>
        <w:spacing w:after="0" w:line="26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Enforcing Contracts</w:t>
      </w:r>
    </w:p>
    <w:p>
      <w:pPr>
        <w:spacing w:after="0" w:line="25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77"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17"/>
          <w:szCs w:val="17"/>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Material Recalls</w:t>
      </w:r>
    </w:p>
    <w:p>
      <w:pPr>
        <w:spacing w:after="0" w:line="25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184"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Supply Chain Interruption</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60"/>
          </w:cols>
          <w:pgMar w:left="320" w:top="7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Difficulty to Forecast</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Promoting the Brand</w:t>
      </w:r>
    </w:p>
    <w:p>
      <w:pPr>
        <w:spacing w:after="0" w:line="25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Viability</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of Quality Control Systems</w:t>
      </w:r>
    </w:p>
    <w:p>
      <w:pPr>
        <w:spacing w:after="0" w:line="258"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Inputs</w:t>
      </w:r>
    </w:p>
    <w:p>
      <w:pPr>
        <w:spacing w:after="0" w:line="25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Arising from Fraudulent or Illegal Activity</w:t>
      </w:r>
    </w:p>
    <w:p>
      <w:pPr>
        <w:spacing w:after="0" w:line="258"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The Company is exposed to the risk that its employees, independent contractors, consultants, service providers and licensors may engage in fraudulent or other illegal activity. Misconduct by these parties could include intentional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60"/>
          </w:cols>
          <w:pgMar w:left="320" w:top="721" w:right="319" w:bottom="1440" w:gutter="0" w:footer="0" w:header="0"/>
        </w:sectPr>
      </w:pPr>
    </w:p>
    <w:bookmarkStart w:id="114" w:name="page115"/>
    <w:bookmarkEnd w:id="114"/>
    <w:p>
      <w:pPr>
        <w:jc w:val="both"/>
        <w:spacing w:after="0" w:line="295" w:lineRule="auto"/>
        <w:rPr>
          <w:sz w:val="20"/>
          <w:szCs w:val="20"/>
          <w:color w:val="auto"/>
        </w:rPr>
      </w:pPr>
      <w:r>
        <w:rPr>
          <w:rFonts w:ascii="Times New Roman" w:cs="Times New Roman" w:eastAsia="Times New Roman" w:hAnsi="Times New Roman"/>
          <w:sz w:val="18"/>
          <w:szCs w:val="18"/>
          <w:color w:val="auto"/>
        </w:rPr>
        <w:t>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9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Risk and Insurance Coverage</w:t>
      </w:r>
    </w:p>
    <w:p>
      <w:pPr>
        <w:spacing w:after="0" w:line="2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Operating as Public Company</w:t>
      </w:r>
    </w:p>
    <w:p>
      <w:pPr>
        <w:spacing w:after="0" w:line="2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60"/>
          </w:cols>
          <w:pgMar w:left="320" w:top="7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8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27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w:t>
      </w:r>
    </w:p>
    <w:p>
      <w:pPr>
        <w:ind w:left="560" w:hanging="272"/>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implications that may have a material impact on the Company’s ability to operate in other jurisdictions include:</w:t>
      </w:r>
    </w:p>
    <w:p>
      <w:pPr>
        <w:spacing w:after="0" w:line="3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the regulatory requirements for drug approvals;</w:t>
      </w:r>
    </w:p>
    <w:p>
      <w:pPr>
        <w:spacing w:after="0" w:line="3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requirements for securing, maintaining or obtaining freedom to operate;</w:t>
      </w:r>
    </w:p>
    <w:p>
      <w:pPr>
        <w:spacing w:after="0" w:line="47"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reduced protection for intellectual property rights;</w:t>
      </w:r>
    </w:p>
    <w:p>
      <w:pPr>
        <w:spacing w:after="0" w:line="3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compliance to different regulations and court systems of multiple jurisdictions and</w:t>
      </w:r>
    </w:p>
    <w:p>
      <w:pPr>
        <w:spacing w:after="0" w:line="47"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wide variety of foreign laws, treaties and regulations;</w:t>
      </w:r>
    </w:p>
    <w:p>
      <w:pPr>
        <w:spacing w:after="0" w:line="3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international markets;</w:t>
      </w:r>
    </w:p>
    <w:p>
      <w:pPr>
        <w:spacing w:after="0" w:line="47"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relations that create challenges with staffing and managing international operations; and</w:t>
      </w:r>
    </w:p>
    <w:p>
      <w:pPr>
        <w:spacing w:after="0" w:line="3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on manufacturing capabilities leading to production shortages.</w:t>
      </w:r>
    </w:p>
    <w:p>
      <w:pPr>
        <w:spacing w:after="0" w:line="266"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7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60"/>
          </w:cols>
          <w:pgMar w:left="320" w:top="939"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enforcing its rights with respect to a governmental entity or instrumentality because of the doctrine of sovereign immunity.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w:t>
      </w:r>
    </w:p>
    <w:p>
      <w:pPr>
        <w:spacing w:after="0" w:line="25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Due to the international scope of the Company’s current and future operations, the Company’s assets, future earnings and cash flows may be influenced by movements in exchange rates of several currencies, particularly the British Pound, the U.S. dollar, Canadian Dollar and the Euro. The Company’s reporting currency is denominated in Canadian dollars and the Company’s functional currency is the Canadian dollar and the majority of the Company’s operating expenses are paid in Canadian dollars.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the U.S.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Privacy Risk</w:t>
      </w:r>
    </w:p>
    <w:p>
      <w:pPr>
        <w:spacing w:after="0" w:line="25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20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8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18"/>
          <w:szCs w:val="18"/>
          <w:i w:val="1"/>
          <w:iCs w:val="1"/>
          <w:color w:val="auto"/>
        </w:rPr>
        <w:t>Personal Information Protection and Electronics Documents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b w:val="1"/>
          <w:bCs w:val="1"/>
          <w:color w:val="auto"/>
        </w:rPr>
        <w:t>PIPEDA</w:t>
      </w:r>
      <w:r>
        <w:rPr>
          <w:rFonts w:ascii="Times New Roman" w:cs="Times New Roman" w:eastAsia="Times New Roman" w:hAnsi="Times New Roman"/>
          <w:sz w:val="18"/>
          <w:szCs w:val="18"/>
          <w:color w:val="auto"/>
        </w:rPr>
        <w:t>”) and where applicable, provincial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60"/>
          </w:cols>
          <w:pgMar w:left="320" w:top="72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 and Risks</w:t>
      </w:r>
    </w:p>
    <w:p>
      <w:pPr>
        <w:spacing w:after="0" w:line="2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8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7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Decriminalization of Psychedelics</w:t>
      </w:r>
    </w:p>
    <w:p>
      <w:pPr>
        <w:spacing w:after="0" w:line="258"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7"/>
          <w:szCs w:val="17"/>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DMT,and potentially other psychotropic compounds in the future may also impact commercial sales for the Company due to a reduced barrier to entry leading to a risk of increasing competition.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may prove to be inaccurate</w:t>
      </w:r>
    </w:p>
    <w:p>
      <w:pPr>
        <w:spacing w:after="0" w:line="27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5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Global markets have recently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60"/>
          </w:cols>
          <w:pgMar w:left="320" w:top="721" w:right="319" w:bottom="1440" w:gutter="0" w:footer="0" w:header="0"/>
        </w:sectPr>
      </w:pPr>
    </w:p>
    <w:bookmarkStart w:id="118" w:name="page119"/>
    <w:bookmarkEnd w:id="118"/>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could be expected to have similar adverse effects on the level of economic activity in the market which the Company does business and, in turn, on the operations of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and Economic Conditions</w:t>
      </w:r>
    </w:p>
    <w:p>
      <w:pPr>
        <w:spacing w:after="0" w:line="25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7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89" w:lineRule="exact"/>
        <w:rPr>
          <w:sz w:val="20"/>
          <w:szCs w:val="20"/>
          <w:color w:val="auto"/>
        </w:rPr>
      </w:pPr>
    </w:p>
    <w:p>
      <w:pPr>
        <w:ind w:left="560" w:hanging="272"/>
        <w:spacing w:after="0"/>
        <w:tabs>
          <w:tab w:leader="none" w:pos="56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inflation;</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exchange rates;</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exchange controls and restrictions on remittances abroad;</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interest rates and monetary policies;</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import and export controls;</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liquidity of domestic capital, credit and financial markets;</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expansion or contraction of foreign economies, as measured by rates of growth in gross domestic product;</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fiscal policies; and</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other political, social and economic developments in or affecting foreign markets.</w:t>
      </w:r>
    </w:p>
    <w:p>
      <w:pPr>
        <w:spacing w:after="0" w:line="25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183"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5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and Interpretation of Tax Laws</w:t>
      </w:r>
    </w:p>
    <w:p>
      <w:pPr>
        <w:spacing w:after="0" w:line="27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60"/>
          </w:cols>
          <w:pgMar w:left="320" w:top="725" w:right="319" w:bottom="1440" w:gutter="0" w:footer="0" w:header="0"/>
        </w:sectPr>
      </w:pPr>
    </w:p>
    <w:bookmarkStart w:id="119" w:name="page120"/>
    <w:bookmarkEnd w:id="119"/>
    <w:p>
      <w:pPr>
        <w:jc w:val="both"/>
        <w:spacing w:after="0" w:line="302" w:lineRule="auto"/>
        <w:rPr>
          <w:sz w:val="20"/>
          <w:szCs w:val="20"/>
          <w:color w:val="auto"/>
        </w:rPr>
      </w:pPr>
      <w:r>
        <w:rPr>
          <w:rFonts w:ascii="Times New Roman" w:cs="Times New Roman" w:eastAsia="Times New Roman" w:hAnsi="Times New Roman"/>
          <w:sz w:val="18"/>
          <w:szCs w:val="18"/>
          <w:color w:val="auto"/>
        </w:rPr>
        <w:t>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27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7"/>
          <w:szCs w:val="17"/>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2"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7"/>
          <w:szCs w:val="17"/>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Protection</w:t>
      </w:r>
    </w:p>
    <w:p>
      <w:pPr>
        <w:spacing w:after="0" w:line="234"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Failure to register trademarks for the Company or its products could require the Company to rebrand its products resulting in a material adverse impact on its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34"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60"/>
          </w:cols>
          <w:pgMar w:left="320" w:top="725"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color w:val="auto"/>
        </w:rPr>
        <w:t>discovery of the Company’s trade secrets may impair its competitive position and could have a material adverse effect on its business and financial condition.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Law Reform</w:t>
      </w:r>
    </w:p>
    <w:p>
      <w:pPr>
        <w:spacing w:after="0" w:line="23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Litigation and Intellectual Property</w:t>
      </w:r>
    </w:p>
    <w:p>
      <w:pPr>
        <w:spacing w:after="0" w:line="23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5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85"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60"/>
          </w:cols>
          <w:pgMar w:left="320" w:top="725" w:right="319" w:bottom="1440" w:gutter="0" w:footer="0" w:header="0"/>
        </w:sectPr>
      </w:pPr>
    </w:p>
    <w:bookmarkStart w:id="121" w:name="page122"/>
    <w:bookmarkEnd w:id="121"/>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Company will have the financial or other resources to enforce its rights or be able to enforce its rights or prevent other parties from developing similar technology or designing around its intellectual property.</w:t>
      </w:r>
    </w:p>
    <w:p>
      <w:pPr>
        <w:spacing w:after="0" w:line="1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Intellectual Property</w:t>
      </w:r>
    </w:p>
    <w:p>
      <w:pPr>
        <w:spacing w:after="0" w:line="23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Licences</w:t>
      </w:r>
    </w:p>
    <w:p>
      <w:pPr>
        <w:spacing w:after="0" w:line="23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5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Accounting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Number of Authorized but Unissued Common Shares</w:t>
      </w:r>
    </w:p>
    <w:p>
      <w:pPr>
        <w:spacing w:after="0" w:line="25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270"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The Company may issue additional Common Shares in subsequent offerings (including through the sale of securities convertible into or exchangeable for Common Shares) and on the exercise of stock options or other securities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60"/>
          </w:cols>
          <w:pgMar w:left="320" w:top="725" w:right="319" w:bottom="1440" w:gutter="0" w:footer="0" w:header="0"/>
        </w:sectPr>
      </w:pPr>
    </w:p>
    <w:bookmarkStart w:id="122" w:name="page123"/>
    <w:bookmarkEnd w:id="122"/>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Cash Flow from Operating Activities and Going Concern</w:t>
      </w:r>
    </w:p>
    <w:p>
      <w:pPr>
        <w:spacing w:after="0" w:line="24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The threat of the Company’s ability </w:t>
      </w:r>
      <w:r>
        <w:rPr>
          <w:rFonts w:ascii="Times New Roman" w:cs="Times New Roman" w:eastAsia="Times New Roman" w:hAnsi="Times New Roman"/>
          <w:sz w:val="19"/>
          <w:szCs w:val="19"/>
          <w:color w:val="auto"/>
        </w:rPr>
        <w:t>to</w:t>
      </w:r>
      <w:r>
        <w:rPr>
          <w:rFonts w:ascii="Times New Roman" w:cs="Times New Roman" w:eastAsia="Times New Roman" w:hAnsi="Times New Roman"/>
          <w:sz w:val="18"/>
          <w:szCs w:val="18"/>
          <w:color w:val="auto"/>
        </w:rPr>
        <w:t xml:space="preserve">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shareholders could lose all or part of their investment. The Financial Statements do not include any adjustments to the Company’s recorded assets or liabilities that might be necessary if the Company becomes unable to continue as a going concern.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Capital Requirements</w:t>
      </w:r>
    </w:p>
    <w:p>
      <w:pPr>
        <w:spacing w:after="0" w:line="27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20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Heightened regulatory scrutiny could have a negative impact on the Company’s ability to raise capital.The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spacing w:after="0" w:line="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60"/>
          </w:cols>
          <w:pgMar w:left="320" w:top="725"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i w:val="1"/>
          <w:iCs w:val="1"/>
          <w:color w:val="auto"/>
        </w:rPr>
        <w:t>Lack of Significant Product Revenue</w:t>
      </w:r>
    </w:p>
    <w:p>
      <w:pPr>
        <w:spacing w:after="0" w:line="2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or Judgments Relating to Critical Accounting Policies</w:t>
      </w:r>
    </w:p>
    <w:p>
      <w:pPr>
        <w:spacing w:after="0" w:line="25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Inadequate Internal Controls</w:t>
      </w:r>
    </w:p>
    <w:p>
      <w:pPr>
        <w:spacing w:after="0" w:line="27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Common Shares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the Common Shares</w:t>
      </w:r>
    </w:p>
    <w:p>
      <w:pPr>
        <w:spacing w:after="0" w:line="24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60"/>
          </w:cols>
          <w:pgMar w:left="320" w:top="939" w:right="319" w:bottom="1440" w:gutter="0" w:footer="0" w:header="0"/>
        </w:sectPr>
      </w:pPr>
    </w:p>
    <w:bookmarkStart w:id="124" w:name="page125"/>
    <w:bookmarkEnd w:id="124"/>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Sales of the Common Shares</w:t>
      </w:r>
    </w:p>
    <w:p>
      <w:pPr>
        <w:spacing w:after="0" w:line="24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Volatile Market Price for the Common Shares</w:t>
      </w:r>
    </w:p>
    <w:p>
      <w:pPr>
        <w:spacing w:after="0" w:line="23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72"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6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Issues</w:t>
      </w:r>
    </w:p>
    <w:p>
      <w:pPr>
        <w:spacing w:after="0" w:line="23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There may be income tax consequences in relation to the Common Shares, which will vary according to circumstances. Independent advice from tax and legal advisers should be obtained.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60"/>
          </w:cols>
          <w:pgMar w:left="320" w:top="725"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No Dividends</w:t>
      </w:r>
    </w:p>
    <w:p>
      <w:pPr>
        <w:spacing w:after="0" w:line="24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on the Company has been filed electronically through SEDAR+ and is available online at </w:t>
      </w:r>
      <w:r>
        <w:rPr>
          <w:rFonts w:ascii="Times New Roman" w:cs="Times New Roman" w:eastAsia="Times New Roman" w:hAnsi="Times New Roman"/>
          <w:sz w:val="18"/>
          <w:szCs w:val="18"/>
          <w:i w:val="1"/>
          <w:iCs w:val="1"/>
          <w:u w:val="single" w:color="auto"/>
          <w:color w:val="0563C1"/>
        </w:rPr>
        <w:t>www.sedarplus.ca</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60"/>
          </w:cols>
          <w:pgMar w:left="320" w:top="721" w:right="319" w:bottom="1440" w:gutter="0" w:footer="0" w:header="0"/>
        </w:sectPr>
      </w:pPr>
    </w:p>
    <w:bookmarkStart w:id="126" w:name="page127"/>
    <w:bookmarkEnd w:id="126"/>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FORM 52-109F2</w:t>
      </w:r>
    </w:p>
    <w:p>
      <w:pPr>
        <w:jc w:val="center"/>
        <w:ind w:right="-2"/>
        <w:spacing w:after="0" w:line="221" w:lineRule="auto"/>
        <w:rPr>
          <w:sz w:val="20"/>
          <w:szCs w:val="20"/>
          <w:color w:val="auto"/>
        </w:rPr>
      </w:pPr>
      <w:r>
        <w:rPr>
          <w:rFonts w:ascii="Times New Roman" w:cs="Times New Roman" w:eastAsia="Times New Roman" w:hAnsi="Times New Roman"/>
          <w:sz w:val="16"/>
          <w:szCs w:val="16"/>
          <w:b w:val="1"/>
          <w:bCs w:val="1"/>
          <w:color w:val="auto"/>
        </w:rPr>
        <w:t>CERTIFICATION OF INTERIM FILINGS</w:t>
      </w:r>
    </w:p>
    <w:p>
      <w:pPr>
        <w:ind w:left="4843"/>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17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 Douglas Drysdale, as Chief Executive Officer of Cybin Inc., certify the following:</w:t>
      </w:r>
    </w:p>
    <w:p>
      <w:pPr>
        <w:spacing w:after="0" w:line="188" w:lineRule="exact"/>
        <w:rPr>
          <w:sz w:val="20"/>
          <w:szCs w:val="20"/>
          <w:color w:val="auto"/>
        </w:rPr>
      </w:pPr>
    </w:p>
    <w:p>
      <w:pPr>
        <w:ind w:left="583" w:hanging="292"/>
        <w:spacing w:after="0" w:line="260" w:lineRule="auto"/>
        <w:tabs>
          <w:tab w:leader="none" w:pos="58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December 31, 2023.</w:t>
      </w:r>
    </w:p>
    <w:p>
      <w:pPr>
        <w:spacing w:after="0" w:line="147" w:lineRule="exact"/>
        <w:rPr>
          <w:rFonts w:ascii="Times New Roman" w:cs="Times New Roman" w:eastAsia="Times New Roman" w:hAnsi="Times New Roman"/>
          <w:sz w:val="16"/>
          <w:szCs w:val="16"/>
          <w:color w:val="auto"/>
        </w:rPr>
      </w:pPr>
    </w:p>
    <w:p>
      <w:pPr>
        <w:jc w:val="both"/>
        <w:ind w:left="583" w:hanging="292"/>
        <w:spacing w:after="0" w:line="235" w:lineRule="auto"/>
        <w:tabs>
          <w:tab w:leader="none" w:pos="58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62" w:lineRule="exact"/>
        <w:rPr>
          <w:rFonts w:ascii="Times New Roman" w:cs="Times New Roman" w:eastAsia="Times New Roman" w:hAnsi="Times New Roman"/>
          <w:sz w:val="16"/>
          <w:szCs w:val="16"/>
          <w:color w:val="auto"/>
        </w:rPr>
      </w:pPr>
    </w:p>
    <w:p>
      <w:pPr>
        <w:jc w:val="both"/>
        <w:ind w:left="583" w:hanging="292"/>
        <w:spacing w:after="0" w:line="235" w:lineRule="auto"/>
        <w:tabs>
          <w:tab w:leader="none" w:pos="58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62" w:lineRule="exact"/>
        <w:rPr>
          <w:rFonts w:ascii="Times New Roman" w:cs="Times New Roman" w:eastAsia="Times New Roman" w:hAnsi="Times New Roman"/>
          <w:sz w:val="16"/>
          <w:szCs w:val="16"/>
          <w:color w:val="auto"/>
        </w:rPr>
      </w:pPr>
    </w:p>
    <w:p>
      <w:pPr>
        <w:jc w:val="both"/>
        <w:ind w:left="583" w:hanging="292"/>
        <w:spacing w:after="0" w:line="235" w:lineRule="auto"/>
        <w:tabs>
          <w:tab w:leader="none" w:pos="58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internal control over financial reporting (ICFR), as those terms are defined in National Instrument 52-109 Certification of Disclosure in Issuers’ Annual and Interim Filings, for the issuer.</w:t>
      </w:r>
    </w:p>
    <w:p>
      <w:pPr>
        <w:spacing w:after="0" w:line="162" w:lineRule="exact"/>
        <w:rPr>
          <w:rFonts w:ascii="Times New Roman" w:cs="Times New Roman" w:eastAsia="Times New Roman" w:hAnsi="Times New Roman"/>
          <w:sz w:val="16"/>
          <w:szCs w:val="16"/>
          <w:color w:val="auto"/>
        </w:rPr>
      </w:pPr>
    </w:p>
    <w:p>
      <w:pPr>
        <w:ind w:left="583" w:hanging="292"/>
        <w:spacing w:after="0" w:line="244" w:lineRule="auto"/>
        <w:tabs>
          <w:tab w:leader="none" w:pos="58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the interim filings</w:t>
      </w:r>
    </w:p>
    <w:p>
      <w:pPr>
        <w:spacing w:after="0" w:line="175" w:lineRule="exact"/>
        <w:rPr>
          <w:rFonts w:ascii="Times New Roman" w:cs="Times New Roman" w:eastAsia="Times New Roman" w:hAnsi="Times New Roman"/>
          <w:sz w:val="16"/>
          <w:szCs w:val="16"/>
          <w:color w:val="auto"/>
        </w:rPr>
      </w:pPr>
    </w:p>
    <w:p>
      <w:pPr>
        <w:ind w:left="1163" w:hanging="290"/>
        <w:spacing w:after="0"/>
        <w:tabs>
          <w:tab w:leader="none" w:pos="1163"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191" w:lineRule="exact"/>
        <w:rPr>
          <w:rFonts w:ascii="Times New Roman" w:cs="Times New Roman" w:eastAsia="Times New Roman" w:hAnsi="Times New Roman"/>
          <w:sz w:val="16"/>
          <w:szCs w:val="16"/>
          <w:color w:val="auto"/>
        </w:rPr>
      </w:pPr>
    </w:p>
    <w:p>
      <w:pPr>
        <w:ind w:left="1743" w:hanging="288"/>
        <w:spacing w:after="0" w:line="239" w:lineRule="auto"/>
        <w:tabs>
          <w:tab w:leader="none" w:pos="1743" w:val="left"/>
        </w:tabs>
        <w:numPr>
          <w:ilvl w:val="2"/>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79" w:lineRule="exact"/>
        <w:rPr>
          <w:rFonts w:ascii="Times New Roman" w:cs="Times New Roman" w:eastAsia="Times New Roman" w:hAnsi="Times New Roman"/>
          <w:sz w:val="16"/>
          <w:szCs w:val="16"/>
          <w:color w:val="auto"/>
        </w:rPr>
      </w:pPr>
    </w:p>
    <w:p>
      <w:pPr>
        <w:ind w:left="1743" w:hanging="288"/>
        <w:spacing w:after="0" w:line="239" w:lineRule="auto"/>
        <w:tabs>
          <w:tab w:leader="none" w:pos="1743" w:val="left"/>
        </w:tabs>
        <w:numPr>
          <w:ilvl w:val="2"/>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3" w:hanging="290"/>
        <w:spacing w:after="0" w:line="255" w:lineRule="auto"/>
        <w:tabs>
          <w:tab w:leader="none" w:pos="1163"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1" w:lineRule="exact"/>
        <w:rPr>
          <w:sz w:val="20"/>
          <w:szCs w:val="20"/>
          <w:color w:val="auto"/>
        </w:rPr>
      </w:pPr>
    </w:p>
    <w:p>
      <w:pPr>
        <w:ind w:left="583" w:hanging="290"/>
        <w:spacing w:after="0" w:line="244" w:lineRule="auto"/>
        <w:tabs>
          <w:tab w:leader="none" w:pos="563"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72" w:lineRule="exact"/>
        <w:rPr>
          <w:sz w:val="20"/>
          <w:szCs w:val="20"/>
          <w:color w:val="auto"/>
        </w:rPr>
      </w:pPr>
    </w:p>
    <w:p>
      <w:pPr>
        <w:ind w:left="283"/>
        <w:spacing w:after="0"/>
        <w:tabs>
          <w:tab w:leader="none" w:pos="643"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5"/>
          <w:szCs w:val="15"/>
          <w:b w:val="1"/>
          <w:bCs w:val="1"/>
          <w:i w:val="1"/>
          <w:iCs w:val="1"/>
          <w:color w:val="auto"/>
        </w:rPr>
        <w:t>N/A.</w:t>
      </w:r>
    </w:p>
    <w:p>
      <w:pPr>
        <w:spacing w:after="0" w:line="192" w:lineRule="exact"/>
        <w:rPr>
          <w:sz w:val="20"/>
          <w:szCs w:val="20"/>
          <w:color w:val="auto"/>
        </w:rPr>
      </w:pPr>
    </w:p>
    <w:p>
      <w:pPr>
        <w:ind w:left="283"/>
        <w:spacing w:after="0"/>
        <w:tabs>
          <w:tab w:leader="none" w:pos="643"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5"/>
          <w:szCs w:val="15"/>
          <w:b w:val="1"/>
          <w:bCs w:val="1"/>
          <w:i w:val="1"/>
          <w:iCs w:val="1"/>
          <w:color w:val="auto"/>
        </w:rPr>
        <w:t>N/A.</w:t>
      </w:r>
    </w:p>
    <w:p>
      <w:pPr>
        <w:spacing w:after="0" w:line="192" w:lineRule="exact"/>
        <w:rPr>
          <w:sz w:val="20"/>
          <w:szCs w:val="20"/>
          <w:color w:val="auto"/>
        </w:rPr>
      </w:pPr>
    </w:p>
    <w:p>
      <w:pPr>
        <w:ind w:left="583" w:hanging="292"/>
        <w:spacing w:after="0" w:line="260" w:lineRule="auto"/>
        <w:tabs>
          <w:tab w:leader="none" w:pos="583"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October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 2023 and ended on December 31, 2023 that has materially affected, or is reasonably likely to materially affect, the issuer’s ICFR.</w:t>
      </w:r>
    </w:p>
    <w:p>
      <w:pPr>
        <w:spacing w:after="0" w:line="200" w:lineRule="exact"/>
        <w:rPr>
          <w:sz w:val="20"/>
          <w:szCs w:val="20"/>
          <w:color w:val="auto"/>
        </w:rPr>
      </w:pPr>
    </w:p>
    <w:p>
      <w:pPr>
        <w:spacing w:after="0" w:line="2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February 14, 2024.</w:t>
      </w:r>
    </w:p>
    <w:p>
      <w:pPr>
        <w:spacing w:after="0" w:line="190" w:lineRule="exact"/>
        <w:rPr>
          <w:sz w:val="20"/>
          <w:szCs w:val="20"/>
          <w:color w:val="auto"/>
        </w:rPr>
      </w:pPr>
    </w:p>
    <w:p>
      <w:pPr>
        <w:ind w:left="63" w:right="9640" w:hanging="63"/>
        <w:spacing w:after="0" w:line="295" w:lineRule="auto"/>
        <w:tabs>
          <w:tab w:leader="none" w:pos="213" w:val="left"/>
        </w:tabs>
        <w:numPr>
          <w:ilvl w:val="0"/>
          <w:numId w:val="5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"Douglas Drysdale" </w:t>
      </w:r>
      <w:r>
        <w:rPr>
          <w:rFonts w:ascii="Times New Roman" w:cs="Times New Roman" w:eastAsia="Times New Roman" w:hAnsi="Times New Roman"/>
          <w:sz w:val="16"/>
          <w:szCs w:val="16"/>
          <w:color w:val="auto"/>
        </w:rPr>
        <w:t>Douglas Drysdale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-295275</wp:posOffset>
            </wp:positionV>
            <wp:extent cx="19558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5800" cy="7620"/>
                    </a:xfrm>
                    <a:prstGeom prst="rect">
                      <a:avLst/>
                    </a:prstGeom>
                    <a:noFill/>
                  </pic:spPr>
                </pic:pic>
              </a:graphicData>
            </a:graphic>
          </wp:anchor>
        </w:drawing>
      </w:r>
    </w:p>
    <w:p>
      <w:pPr>
        <w:sectPr>
          <w:pgSz w:w="11900" w:h="16838" w:orient="portrait"/>
          <w:cols w:equalWidth="0" w:num="1">
            <w:col w:w="11243"/>
          </w:cols>
          <w:pgMar w:left="317" w:top="126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6"/>
          <w:szCs w:val="16"/>
          <w:b w:val="1"/>
          <w:bCs w:val="1"/>
          <w:color w:val="auto"/>
        </w:rPr>
        <w:t>FORM 52-109F2</w:t>
      </w:r>
    </w:p>
    <w:p>
      <w:pPr>
        <w:jc w:val="center"/>
        <w:spacing w:after="0" w:line="221" w:lineRule="auto"/>
        <w:rPr>
          <w:sz w:val="20"/>
          <w:szCs w:val="20"/>
          <w:color w:val="auto"/>
        </w:rPr>
      </w:pPr>
      <w:r>
        <w:rPr>
          <w:rFonts w:ascii="Times New Roman" w:cs="Times New Roman" w:eastAsia="Times New Roman" w:hAnsi="Times New Roman"/>
          <w:sz w:val="16"/>
          <w:szCs w:val="16"/>
          <w:b w:val="1"/>
          <w:bCs w:val="1"/>
          <w:color w:val="auto"/>
        </w:rPr>
        <w:t>CERTIFICATION OF INTERIM FILINGS</w:t>
      </w:r>
    </w:p>
    <w:p>
      <w:pPr>
        <w:ind w:left="4840"/>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Greg Cavers, as Chief Financial Officer of Cybin Inc., certify the following:</w:t>
      </w:r>
    </w:p>
    <w:p>
      <w:pPr>
        <w:spacing w:after="0" w:line="164" w:lineRule="exact"/>
        <w:rPr>
          <w:sz w:val="20"/>
          <w:szCs w:val="20"/>
          <w:color w:val="auto"/>
        </w:rPr>
      </w:pPr>
    </w:p>
    <w:p>
      <w:pPr>
        <w:ind w:left="580" w:hanging="292"/>
        <w:spacing w:after="0" w:line="260"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December 31, 2023.</w:t>
      </w:r>
    </w:p>
    <w:p>
      <w:pPr>
        <w:spacing w:after="0" w:line="147"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62"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62"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internal control over financial reporting (ICFR), as those terms are defined in National Instrument 52-109 Certification of Disclosure in Issuers’ Annual and Interim Filings, for the issuer.</w:t>
      </w:r>
    </w:p>
    <w:p>
      <w:pPr>
        <w:spacing w:after="0" w:line="162" w:lineRule="exact"/>
        <w:rPr>
          <w:rFonts w:ascii="Times New Roman" w:cs="Times New Roman" w:eastAsia="Times New Roman" w:hAnsi="Times New Roman"/>
          <w:sz w:val="16"/>
          <w:szCs w:val="16"/>
          <w:color w:val="auto"/>
        </w:rPr>
      </w:pPr>
    </w:p>
    <w:p>
      <w:pPr>
        <w:ind w:left="580" w:hanging="292"/>
        <w:spacing w:after="0" w:line="244"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the interim filings</w:t>
      </w:r>
    </w:p>
    <w:p>
      <w:pPr>
        <w:spacing w:after="0" w:line="175" w:lineRule="exact"/>
        <w:rPr>
          <w:rFonts w:ascii="Times New Roman" w:cs="Times New Roman" w:eastAsia="Times New Roman" w:hAnsi="Times New Roman"/>
          <w:sz w:val="16"/>
          <w:szCs w:val="16"/>
          <w:color w:val="auto"/>
        </w:rPr>
      </w:pPr>
    </w:p>
    <w:p>
      <w:pPr>
        <w:ind w:left="1160" w:hanging="290"/>
        <w:spacing w:after="0"/>
        <w:tabs>
          <w:tab w:leader="none" w:pos="116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191" w:lineRule="exact"/>
        <w:rPr>
          <w:rFonts w:ascii="Times New Roman" w:cs="Times New Roman" w:eastAsia="Times New Roman" w:hAnsi="Times New Roman"/>
          <w:sz w:val="16"/>
          <w:szCs w:val="16"/>
          <w:color w:val="auto"/>
        </w:rPr>
      </w:pPr>
    </w:p>
    <w:p>
      <w:pPr>
        <w:ind w:left="1740" w:hanging="288"/>
        <w:spacing w:after="0" w:line="239" w:lineRule="auto"/>
        <w:tabs>
          <w:tab w:leader="none" w:pos="1740" w:val="left"/>
        </w:tabs>
        <w:numPr>
          <w:ilvl w:val="2"/>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79" w:lineRule="exact"/>
        <w:rPr>
          <w:rFonts w:ascii="Times New Roman" w:cs="Times New Roman" w:eastAsia="Times New Roman" w:hAnsi="Times New Roman"/>
          <w:sz w:val="16"/>
          <w:szCs w:val="16"/>
          <w:color w:val="auto"/>
        </w:rPr>
      </w:pPr>
    </w:p>
    <w:p>
      <w:pPr>
        <w:ind w:left="1740" w:hanging="288"/>
        <w:spacing w:after="0" w:line="239" w:lineRule="auto"/>
        <w:tabs>
          <w:tab w:leader="none" w:pos="1740" w:val="left"/>
        </w:tabs>
        <w:numPr>
          <w:ilvl w:val="2"/>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0" w:hanging="290"/>
        <w:spacing w:after="0" w:line="255" w:lineRule="auto"/>
        <w:tabs>
          <w:tab w:leader="none" w:pos="116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1" w:lineRule="exact"/>
        <w:rPr>
          <w:sz w:val="20"/>
          <w:szCs w:val="20"/>
          <w:color w:val="auto"/>
        </w:rPr>
      </w:pPr>
    </w:p>
    <w:p>
      <w:pPr>
        <w:ind w:left="580" w:hanging="290"/>
        <w:spacing w:after="0" w:line="244" w:lineRule="auto"/>
        <w:tabs>
          <w:tab w:leader="none" w:pos="5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72" w:lineRule="exact"/>
        <w:rPr>
          <w:sz w:val="20"/>
          <w:szCs w:val="20"/>
          <w:color w:val="auto"/>
        </w:rPr>
      </w:pPr>
    </w:p>
    <w:p>
      <w:pPr>
        <w:ind w:left="280"/>
        <w:spacing w:after="0"/>
        <w:tabs>
          <w:tab w:leader="none" w:pos="64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5"/>
          <w:szCs w:val="15"/>
          <w:b w:val="1"/>
          <w:bCs w:val="1"/>
          <w:i w:val="1"/>
          <w:iCs w:val="1"/>
          <w:color w:val="auto"/>
        </w:rPr>
        <w:t>N/A.</w:t>
      </w:r>
    </w:p>
    <w:p>
      <w:pPr>
        <w:spacing w:after="0" w:line="192" w:lineRule="exact"/>
        <w:rPr>
          <w:sz w:val="20"/>
          <w:szCs w:val="20"/>
          <w:color w:val="auto"/>
        </w:rPr>
      </w:pPr>
    </w:p>
    <w:p>
      <w:pPr>
        <w:ind w:left="280"/>
        <w:spacing w:after="0"/>
        <w:tabs>
          <w:tab w:leader="none" w:pos="64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5"/>
          <w:szCs w:val="15"/>
          <w:b w:val="1"/>
          <w:bCs w:val="1"/>
          <w:i w:val="1"/>
          <w:iCs w:val="1"/>
          <w:color w:val="auto"/>
        </w:rPr>
        <w:t>N/A.</w:t>
      </w:r>
    </w:p>
    <w:p>
      <w:pPr>
        <w:spacing w:after="0" w:line="192" w:lineRule="exact"/>
        <w:rPr>
          <w:sz w:val="20"/>
          <w:szCs w:val="20"/>
          <w:color w:val="auto"/>
        </w:rPr>
      </w:pPr>
    </w:p>
    <w:p>
      <w:pPr>
        <w:ind w:left="580" w:hanging="292"/>
        <w:spacing w:after="0" w:line="260" w:lineRule="auto"/>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October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 2023 and ended on December 31, 2023 that has materially affected, or is reasonably likely to materially affect, the issuer’s ICFR.</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2024.</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19558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5800" cy="762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Greg Cavers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240"/>
          </w:cols>
          <w:pgMar w:left="320" w:top="1267" w:right="33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2981325</wp:posOffset>
            </wp:positionH>
            <wp:positionV relativeFrom="page">
              <wp:posOffset>966470</wp:posOffset>
            </wp:positionV>
            <wp:extent cx="1586230" cy="923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586230"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
        <w:spacing w:after="0"/>
        <w:rPr>
          <w:sz w:val="20"/>
          <w:szCs w:val="20"/>
          <w:color w:val="auto"/>
        </w:rPr>
      </w:pPr>
      <w:r>
        <w:rPr>
          <w:rFonts w:ascii="Arial" w:cs="Arial" w:eastAsia="Arial" w:hAnsi="Arial"/>
          <w:sz w:val="23"/>
          <w:szCs w:val="23"/>
          <w:b w:val="1"/>
          <w:bCs w:val="1"/>
          <w:color w:val="auto"/>
        </w:rPr>
        <w:t>Cybin Reports Third Quarter Financial Results and Recent Business Highlights</w:t>
      </w:r>
    </w:p>
    <w:p>
      <w:pPr>
        <w:spacing w:after="0" w:line="246" w:lineRule="exact"/>
        <w:rPr>
          <w:sz w:val="20"/>
          <w:szCs w:val="20"/>
          <w:color w:val="auto"/>
        </w:rPr>
      </w:pPr>
    </w:p>
    <w:p>
      <w:pPr>
        <w:jc w:val="center"/>
        <w:ind w:left="1943" w:hanging="1943"/>
        <w:spacing w:after="0" w:line="322" w:lineRule="auto"/>
        <w:tabs>
          <w:tab w:leader="none" w:pos="109"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Reported positive Phase 2 topline results for CYB003, its proprietary deuterated psilocybin analog in development for the adjunctive treatment of Major Depressive Disorder (“</w:t>
      </w:r>
      <w:r>
        <w:rPr>
          <w:rFonts w:ascii="Arial" w:cs="Arial" w:eastAsia="Arial" w:hAnsi="Arial"/>
          <w:sz w:val="18"/>
          <w:szCs w:val="18"/>
          <w:b w:val="1"/>
          <w:bCs w:val="1"/>
          <w:i w:val="1"/>
          <w:iCs w:val="1"/>
          <w:color w:val="auto"/>
        </w:rPr>
        <w:t>MDD</w:t>
      </w:r>
      <w:r>
        <w:rPr>
          <w:rFonts w:ascii="Arial" w:cs="Arial" w:eastAsia="Arial" w:hAnsi="Arial"/>
          <w:sz w:val="18"/>
          <w:szCs w:val="18"/>
          <w:i w:val="1"/>
          <w:iCs w:val="1"/>
          <w:color w:val="auto"/>
        </w:rPr>
        <w:t>”), demonstrating a 79% remission rate from depression -</w:t>
      </w:r>
    </w:p>
    <w:p>
      <w:pPr>
        <w:spacing w:after="0" w:line="135" w:lineRule="exact"/>
        <w:rPr>
          <w:rFonts w:ascii="Arial" w:cs="Arial" w:eastAsia="Arial" w:hAnsi="Arial"/>
          <w:sz w:val="18"/>
          <w:szCs w:val="18"/>
          <w:i w:val="1"/>
          <w:iCs w:val="1"/>
          <w:color w:val="auto"/>
        </w:rPr>
      </w:pPr>
    </w:p>
    <w:p>
      <w:pPr>
        <w:ind w:left="1163" w:right="260" w:hanging="910"/>
        <w:spacing w:after="0" w:line="322" w:lineRule="auto"/>
        <w:tabs>
          <w:tab w:leader="none" w:pos="362" w:val="left"/>
        </w:tabs>
        <w:numPr>
          <w:ilvl w:val="2"/>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Announced positive topline results from Phase 1 studies of proprietary deuterated dimethyltryptamine (“</w:t>
      </w:r>
      <w:r>
        <w:rPr>
          <w:rFonts w:ascii="Arial" w:cs="Arial" w:eastAsia="Arial" w:hAnsi="Arial"/>
          <w:sz w:val="18"/>
          <w:szCs w:val="18"/>
          <w:b w:val="1"/>
          <w:bCs w:val="1"/>
          <w:i w:val="1"/>
          <w:iCs w:val="1"/>
          <w:color w:val="auto"/>
        </w:rPr>
        <w:t>dDMT</w:t>
      </w:r>
      <w:r>
        <w:rPr>
          <w:rFonts w:ascii="Arial" w:cs="Arial" w:eastAsia="Arial" w:hAnsi="Arial"/>
          <w:sz w:val="18"/>
          <w:szCs w:val="18"/>
          <w:i w:val="1"/>
          <w:iCs w:val="1"/>
          <w:color w:val="auto"/>
        </w:rPr>
        <w:t>”) molecules CYB004 and SPL028, supporting clinical advancement and the successful development of an intramuscular (“</w:t>
      </w:r>
      <w:r>
        <w:rPr>
          <w:rFonts w:ascii="Arial" w:cs="Arial" w:eastAsia="Arial" w:hAnsi="Arial"/>
          <w:sz w:val="18"/>
          <w:szCs w:val="18"/>
          <w:b w:val="1"/>
          <w:bCs w:val="1"/>
          <w:i w:val="1"/>
          <w:iCs w:val="1"/>
          <w:color w:val="auto"/>
        </w:rPr>
        <w:t>IM</w:t>
      </w:r>
      <w:r>
        <w:rPr>
          <w:rFonts w:ascii="Arial" w:cs="Arial" w:eastAsia="Arial" w:hAnsi="Arial"/>
          <w:sz w:val="18"/>
          <w:szCs w:val="18"/>
          <w:i w:val="1"/>
          <w:iCs w:val="1"/>
          <w:color w:val="auto"/>
        </w:rPr>
        <w:t>”) formulation -</w:t>
      </w:r>
    </w:p>
    <w:p>
      <w:pPr>
        <w:spacing w:after="0" w:line="135" w:lineRule="exact"/>
        <w:rPr>
          <w:rFonts w:ascii="Arial" w:cs="Arial" w:eastAsia="Arial" w:hAnsi="Arial"/>
          <w:sz w:val="18"/>
          <w:szCs w:val="18"/>
          <w:i w:val="1"/>
          <w:iCs w:val="1"/>
          <w:color w:val="auto"/>
        </w:rPr>
      </w:pPr>
    </w:p>
    <w:p>
      <w:pPr>
        <w:ind w:left="343" w:hanging="104"/>
        <w:spacing w:after="0"/>
        <w:tabs>
          <w:tab w:leader="none" w:pos="343" w:val="left"/>
        </w:tabs>
        <w:numPr>
          <w:ilvl w:val="1"/>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Received clearance from U.S. Food and Drug Administration (the “</w:t>
      </w:r>
      <w:r>
        <w:rPr>
          <w:rFonts w:ascii="Arial" w:cs="Arial" w:eastAsia="Arial" w:hAnsi="Arial"/>
          <w:sz w:val="18"/>
          <w:szCs w:val="18"/>
          <w:b w:val="1"/>
          <w:bCs w:val="1"/>
          <w:i w:val="1"/>
          <w:iCs w:val="1"/>
          <w:color w:val="auto"/>
        </w:rPr>
        <w:t>FDA</w:t>
      </w:r>
      <w:r>
        <w:rPr>
          <w:rFonts w:ascii="Arial" w:cs="Arial" w:eastAsia="Arial" w:hAnsi="Arial"/>
          <w:sz w:val="18"/>
          <w:szCs w:val="18"/>
          <w:i w:val="1"/>
          <w:iCs w:val="1"/>
          <w:color w:val="auto"/>
        </w:rPr>
        <w:t>”) for its investigational new drug (“</w:t>
      </w:r>
      <w:r>
        <w:rPr>
          <w:rFonts w:ascii="Arial" w:cs="Arial" w:eastAsia="Arial" w:hAnsi="Arial"/>
          <w:sz w:val="18"/>
          <w:szCs w:val="18"/>
          <w:b w:val="1"/>
          <w:bCs w:val="1"/>
          <w:i w:val="1"/>
          <w:iCs w:val="1"/>
          <w:color w:val="auto"/>
        </w:rPr>
        <w:t>IND</w:t>
      </w:r>
      <w:r>
        <w:rPr>
          <w:rFonts w:ascii="Arial" w:cs="Arial" w:eastAsia="Arial" w:hAnsi="Arial"/>
          <w:sz w:val="18"/>
          <w:szCs w:val="18"/>
          <w:i w:val="1"/>
          <w:iCs w:val="1"/>
          <w:color w:val="auto"/>
        </w:rPr>
        <w:t>”) application for CYB004,</w:t>
      </w:r>
    </w:p>
    <w:p>
      <w:pPr>
        <w:spacing w:after="0" w:line="35" w:lineRule="exact"/>
        <w:rPr>
          <w:rFonts w:ascii="Arial" w:cs="Arial" w:eastAsia="Arial" w:hAnsi="Arial"/>
          <w:sz w:val="18"/>
          <w:szCs w:val="18"/>
          <w:i w:val="1"/>
          <w:iCs w:val="1"/>
          <w:color w:val="auto"/>
        </w:rPr>
      </w:pPr>
    </w:p>
    <w:p>
      <w:pPr>
        <w:ind w:left="2523"/>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paving the way for a Phase 2a study in Generalized Anxiety Disorder (“</w:t>
      </w:r>
      <w:r>
        <w:rPr>
          <w:rFonts w:ascii="Arial" w:cs="Arial" w:eastAsia="Arial" w:hAnsi="Arial"/>
          <w:sz w:val="18"/>
          <w:szCs w:val="18"/>
          <w:b w:val="1"/>
          <w:bCs w:val="1"/>
          <w:i w:val="1"/>
          <w:iCs w:val="1"/>
          <w:color w:val="auto"/>
        </w:rPr>
        <w:t>GAD</w:t>
      </w:r>
      <w:r>
        <w:rPr>
          <w:rFonts w:ascii="Arial" w:cs="Arial" w:eastAsia="Arial" w:hAnsi="Arial"/>
          <w:sz w:val="18"/>
          <w:szCs w:val="18"/>
          <w:i w:val="1"/>
          <w:iCs w:val="1"/>
          <w:color w:val="auto"/>
        </w:rPr>
        <w:t>”) -</w:t>
      </w:r>
    </w:p>
    <w:p>
      <w:pPr>
        <w:spacing w:after="0" w:line="241" w:lineRule="exact"/>
        <w:rPr>
          <w:rFonts w:ascii="Arial" w:cs="Arial" w:eastAsia="Arial" w:hAnsi="Arial"/>
          <w:sz w:val="18"/>
          <w:szCs w:val="18"/>
          <w:i w:val="1"/>
          <w:iCs w:val="1"/>
          <w:color w:val="auto"/>
        </w:rPr>
      </w:pPr>
    </w:p>
    <w:p>
      <w:pPr>
        <w:ind w:left="963" w:hanging="108"/>
        <w:spacing w:after="0"/>
        <w:tabs>
          <w:tab w:leader="none" w:pos="963" w:val="left"/>
        </w:tabs>
        <w:numPr>
          <w:ilvl w:val="3"/>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Strengthened Intellectual Property (“</w:t>
      </w:r>
      <w:r>
        <w:rPr>
          <w:rFonts w:ascii="Arial" w:cs="Arial" w:eastAsia="Arial" w:hAnsi="Arial"/>
          <w:sz w:val="18"/>
          <w:szCs w:val="18"/>
          <w:b w:val="1"/>
          <w:bCs w:val="1"/>
          <w:i w:val="1"/>
          <w:iCs w:val="1"/>
          <w:color w:val="auto"/>
        </w:rPr>
        <w:t>IP</w:t>
      </w:r>
      <w:r>
        <w:rPr>
          <w:rFonts w:ascii="Arial" w:cs="Arial" w:eastAsia="Arial" w:hAnsi="Arial"/>
          <w:sz w:val="18"/>
          <w:szCs w:val="18"/>
          <w:i w:val="1"/>
          <w:iCs w:val="1"/>
          <w:color w:val="auto"/>
        </w:rPr>
        <w:t>”) portfolio with more than 50 granted patents and over 170 pending applications -</w:t>
      </w:r>
    </w:p>
    <w:p>
      <w:pPr>
        <w:spacing w:after="0" w:line="252" w:lineRule="exact"/>
        <w:rPr>
          <w:sz w:val="20"/>
          <w:szCs w:val="20"/>
          <w:color w:val="auto"/>
        </w:rPr>
      </w:pPr>
    </w:p>
    <w:p>
      <w:pPr>
        <w:jc w:val="both"/>
        <w:ind w:left="3" w:right="20"/>
        <w:spacing w:after="0" w:line="282"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February 14, 2024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(NYSE American:CYBN) (Cboe CA:CYBN)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clinical-stage biopharmaceutical company committed to revolutionizing mental healthcare by developing new and innovative next-generation psychedelic treatment options, today reported unaudited financial results for its third quarter ended December 31, 2023, and recent business highlights.</w:t>
      </w:r>
    </w:p>
    <w:p>
      <w:pPr>
        <w:spacing w:after="0" w:line="193" w:lineRule="exact"/>
        <w:rPr>
          <w:sz w:val="20"/>
          <w:szCs w:val="20"/>
          <w:color w:val="auto"/>
        </w:rPr>
      </w:pPr>
    </w:p>
    <w:p>
      <w:pPr>
        <w:jc w:val="both"/>
        <w:ind w:left="3"/>
        <w:spacing w:after="0" w:line="279" w:lineRule="auto"/>
        <w:rPr>
          <w:sz w:val="20"/>
          <w:szCs w:val="20"/>
          <w:color w:val="auto"/>
        </w:rPr>
      </w:pPr>
      <w:r>
        <w:rPr>
          <w:rFonts w:ascii="Arial" w:cs="Arial" w:eastAsia="Arial" w:hAnsi="Arial"/>
          <w:sz w:val="18"/>
          <w:szCs w:val="18"/>
          <w:color w:val="auto"/>
        </w:rPr>
        <w:t>“During the past three months, we have continued to make exciting progress with positive topline data from our CYB003 and DMT programs,” said Doug Drysdale, Chief Executive Officer of Cybin. “The data collected from our clinical trials forms the foundation of our next set of value-creating milestones, as we advance our key programs this year. For CYB003, the three-month Phase 2 efficacy data is expected in Q1 and will provide insights into the durability of treatment effect in MDD. Promising outcomes, such as a 79% remission from depression at 6 weeks in our Phase 2 CYB003 trial, and important safety and dosing findings in our Phase 1 dDMT studies, validate our path forward. Plans are underway to initiate a Phase 3 multisite trial of CYB003 for MDD, and with FDA clearance, we are progressing to a Phase 2a study of CYB004 for the treatment of GAD. We are proud of the rapid progress we have made and look forward to</w:t>
      </w:r>
    </w:p>
    <w:p>
      <w:pPr>
        <w:sectPr>
          <w:pgSz w:w="11900" w:h="16838" w:orient="portrait"/>
          <w:cols w:equalWidth="0" w:num="1">
            <w:col w:w="11263"/>
          </w:cols>
          <w:pgMar w:left="317" w:top="1440" w:right="319" w:bottom="1440" w:gutter="0" w:footer="0" w:header="0"/>
        </w:sectPr>
      </w:pPr>
    </w:p>
    <w:bookmarkStart w:id="129" w:name="page130"/>
    <w:bookmarkEnd w:id="129"/>
    <w:p>
      <w:pPr>
        <w:jc w:val="both"/>
        <w:ind w:right="20"/>
        <w:spacing w:after="0" w:line="289" w:lineRule="auto"/>
        <w:rPr>
          <w:sz w:val="20"/>
          <w:szCs w:val="20"/>
          <w:color w:val="auto"/>
        </w:rPr>
      </w:pPr>
      <w:r>
        <w:rPr>
          <w:rFonts w:ascii="Arial" w:cs="Arial" w:eastAsia="Arial" w:hAnsi="Arial"/>
          <w:sz w:val="18"/>
          <w:szCs w:val="18"/>
          <w:color w:val="auto"/>
        </w:rPr>
        <w:t>the important work ahead of us. We are encouraged by the positive findings across our clinical-stage programs to date and believe we are well on our way to providing more effective and patient-friendly treatment alternatives for a multitude of mental health disorders,” concluded Drysdale.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and Pipeline Highlights:</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Announced positive Phase 2 topline efficacy and safety data for CYB003, the Company’s proprietary deuterated psilocybin analog, in MDD. </w:t>
      </w:r>
      <w:r>
        <w:rPr>
          <w:rFonts w:ascii="Arial" w:cs="Arial" w:eastAsia="Arial" w:hAnsi="Arial"/>
          <w:sz w:val="18"/>
          <w:szCs w:val="18"/>
          <w:color w:val="auto"/>
        </w:rPr>
        <w:t>The study achieved its primary efficacy endpoint with an impressive mean 14-point difference in Montgomery-Asberg Depression Rating</w:t>
      </w:r>
      <w:r>
        <w:rPr>
          <w:rFonts w:ascii="Arial" w:cs="Arial" w:eastAsia="Arial" w:hAnsi="Arial"/>
          <w:sz w:val="18"/>
          <w:szCs w:val="18"/>
          <w:b w:val="1"/>
          <w:bCs w:val="1"/>
          <w:color w:val="auto"/>
        </w:rPr>
        <w:t xml:space="preserve"> </w:t>
      </w:r>
      <w:r>
        <w:rPr>
          <w:rFonts w:ascii="Arial" w:cs="Arial" w:eastAsia="Arial" w:hAnsi="Arial"/>
          <w:sz w:val="18"/>
          <w:szCs w:val="18"/>
          <w:color w:val="auto"/>
        </w:rPr>
        <w:t>Scale (“</w:t>
      </w:r>
      <w:r>
        <w:rPr>
          <w:rFonts w:ascii="Arial" w:cs="Arial" w:eastAsia="Arial" w:hAnsi="Arial"/>
          <w:sz w:val="18"/>
          <w:szCs w:val="18"/>
          <w:b w:val="1"/>
          <w:bCs w:val="1"/>
          <w:color w:val="auto"/>
        </w:rPr>
        <w:t>MADRS</w:t>
      </w:r>
      <w:r>
        <w:rPr>
          <w:rFonts w:ascii="Arial" w:cs="Arial" w:eastAsia="Arial" w:hAnsi="Arial"/>
          <w:sz w:val="18"/>
          <w:szCs w:val="18"/>
          <w:color w:val="auto"/>
        </w:rPr>
        <w:t>”) score reduction from baseline between CYB003 (12mg) vs. placebo (p=0.0005)</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at three weeks. At six weeks, incremental MADRS score reductions were seen with 79% of patients in remission from depression after just two 12mg doses of CYB003 -- an improvement that is far superior when compared against approved antidepressants and recently reported data with other psychedelics. Based on these encouraging results, and coupled with the fact that CYB003 is being developed as an adjunctive treatment that does not require candidates to discontinue the use of existing antidepressants, the Company intends to commence an international, multisite Phase 3 trial to further evaluate the safety and efficacy of CYB003 capsules in a larger MDD patient population</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1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Completed Phase 1 studies of intravenous (“IV”) CYB004 and IM and IV SPL028 and reported positive topline safety, pharmacokinetic (“PK”) and pharmacodynamic (“PD”) data.</w:t>
      </w:r>
    </w:p>
    <w:p>
      <w:pPr>
        <w:spacing w:after="0" w:line="13" w:lineRule="exact"/>
        <w:rPr>
          <w:sz w:val="20"/>
          <w:szCs w:val="20"/>
          <w:color w:val="auto"/>
        </w:rPr>
      </w:pPr>
    </w:p>
    <w:p>
      <w:pPr>
        <w:ind w:left="580" w:right="20" w:hanging="292"/>
        <w:spacing w:after="0" w:line="273" w:lineRule="auto"/>
        <w:tabs>
          <w:tab w:leader="none" w:pos="575" w:val="left"/>
        </w:tabs>
        <w:numPr>
          <w:ilvl w:val="0"/>
          <w:numId w:val="60"/>
        </w:numPr>
        <w:rPr>
          <w:rFonts w:ascii="Times New Roman" w:cs="Times New Roman" w:eastAsia="Times New Roman" w:hAnsi="Times New Roman"/>
          <w:sz w:val="19"/>
          <w:szCs w:val="19"/>
          <w:color w:val="auto"/>
        </w:rPr>
      </w:pPr>
      <w:r>
        <w:rPr>
          <w:rFonts w:ascii="Arial" w:cs="Arial" w:eastAsia="Arial" w:hAnsi="Arial"/>
          <w:sz w:val="18"/>
          <w:szCs w:val="18"/>
          <w:color w:val="auto"/>
        </w:rPr>
        <w:t>CYB004 demonstrated robust and rapid onset of psychedelic effects at lower doses compared to native N,N-dimethyltryptamine (“</w:t>
      </w:r>
      <w:r>
        <w:rPr>
          <w:rFonts w:ascii="Arial" w:cs="Arial" w:eastAsia="Arial" w:hAnsi="Arial"/>
          <w:sz w:val="18"/>
          <w:szCs w:val="18"/>
          <w:b w:val="1"/>
          <w:bCs w:val="1"/>
          <w:color w:val="auto"/>
        </w:rPr>
        <w:t>DMT</w:t>
      </w:r>
      <w:r>
        <w:rPr>
          <w:rFonts w:ascii="Arial" w:cs="Arial" w:eastAsia="Arial" w:hAnsi="Arial"/>
          <w:sz w:val="18"/>
          <w:szCs w:val="18"/>
          <w:color w:val="auto"/>
        </w:rPr>
        <w:t>”), suggesting potential as a short-acting, scalable treatment.</w:t>
      </w:r>
    </w:p>
    <w:p>
      <w:pPr>
        <w:spacing w:after="0" w:line="13" w:lineRule="exact"/>
        <w:rPr>
          <w:rFonts w:ascii="Times New Roman" w:cs="Times New Roman" w:eastAsia="Times New Roman" w:hAnsi="Times New Roman"/>
          <w:sz w:val="19"/>
          <w:szCs w:val="19"/>
          <w:color w:val="auto"/>
        </w:rPr>
      </w:pPr>
    </w:p>
    <w:p>
      <w:pPr>
        <w:ind w:left="580" w:hanging="292"/>
        <w:spacing w:after="0"/>
        <w:tabs>
          <w:tab w:leader="none" w:pos="580" w:val="left"/>
        </w:tabs>
        <w:numPr>
          <w:ilvl w:val="0"/>
          <w:numId w:val="60"/>
        </w:numPr>
        <w:rPr>
          <w:rFonts w:ascii="Times New Roman" w:cs="Times New Roman" w:eastAsia="Times New Roman" w:hAnsi="Times New Roman"/>
          <w:sz w:val="19"/>
          <w:szCs w:val="19"/>
          <w:color w:val="auto"/>
        </w:rPr>
      </w:pPr>
      <w:r>
        <w:rPr>
          <w:rFonts w:ascii="Arial" w:cs="Arial" w:eastAsia="Arial" w:hAnsi="Arial"/>
          <w:sz w:val="18"/>
          <w:szCs w:val="18"/>
          <w:color w:val="auto"/>
        </w:rPr>
        <w:t>Well-tolerated with no serious adverse events, and the majority of adverse events were mild to moderate and self-limiting.</w:t>
      </w:r>
    </w:p>
    <w:p>
      <w:pPr>
        <w:spacing w:after="0" w:line="48" w:lineRule="exact"/>
        <w:rPr>
          <w:rFonts w:ascii="Times New Roman" w:cs="Times New Roman" w:eastAsia="Times New Roman" w:hAnsi="Times New Roman"/>
          <w:sz w:val="19"/>
          <w:szCs w:val="19"/>
          <w:color w:val="auto"/>
        </w:rPr>
      </w:pPr>
    </w:p>
    <w:p>
      <w:pPr>
        <w:jc w:val="both"/>
        <w:ind w:left="580" w:right="20" w:hanging="292"/>
        <w:spacing w:after="0" w:line="269" w:lineRule="auto"/>
        <w:tabs>
          <w:tab w:leader="none" w:pos="575" w:val="left"/>
        </w:tabs>
        <w:numPr>
          <w:ilvl w:val="0"/>
          <w:numId w:val="60"/>
        </w:numPr>
        <w:rPr>
          <w:rFonts w:ascii="Times New Roman" w:cs="Times New Roman" w:eastAsia="Times New Roman" w:hAnsi="Times New Roman"/>
          <w:sz w:val="19"/>
          <w:szCs w:val="19"/>
          <w:color w:val="auto"/>
        </w:rPr>
      </w:pPr>
      <w:r>
        <w:rPr>
          <w:rFonts w:ascii="Arial" w:cs="Arial" w:eastAsia="Arial" w:hAnsi="Arial"/>
          <w:sz w:val="18"/>
          <w:szCs w:val="18"/>
          <w:color w:val="auto"/>
        </w:rPr>
        <w:t>The study identified an IM dose of SPL028 that resulted in a breakthrough psychedelic experience, with a duration range of 55-120 minutes. IV and IM SPL028 demonstrated a favorable safety and tolerability profile, with no serious adverse events observed. The majority of adverse events were mild to moderate and self-limiting.</w:t>
      </w:r>
    </w:p>
    <w:p>
      <w:pPr>
        <w:spacing w:after="0" w:line="18" w:lineRule="exact"/>
        <w:rPr>
          <w:rFonts w:ascii="Times New Roman" w:cs="Times New Roman" w:eastAsia="Times New Roman" w:hAnsi="Times New Roman"/>
          <w:sz w:val="19"/>
          <w:szCs w:val="19"/>
          <w:color w:val="auto"/>
        </w:rPr>
      </w:pPr>
    </w:p>
    <w:p>
      <w:pPr>
        <w:ind w:left="580" w:right="20" w:hanging="292"/>
        <w:spacing w:after="0" w:line="270" w:lineRule="auto"/>
        <w:tabs>
          <w:tab w:leader="none" w:pos="575" w:val="left"/>
        </w:tabs>
        <w:numPr>
          <w:ilvl w:val="0"/>
          <w:numId w:val="60"/>
        </w:numPr>
        <w:rPr>
          <w:rFonts w:ascii="Times New Roman" w:cs="Times New Roman" w:eastAsia="Times New Roman" w:hAnsi="Times New Roman"/>
          <w:sz w:val="19"/>
          <w:szCs w:val="19"/>
          <w:color w:val="auto"/>
        </w:rPr>
      </w:pPr>
      <w:r>
        <w:rPr>
          <w:rFonts w:ascii="Arial" w:cs="Arial" w:eastAsia="Arial" w:hAnsi="Arial"/>
          <w:sz w:val="18"/>
          <w:szCs w:val="18"/>
          <w:color w:val="auto"/>
        </w:rPr>
        <w:t>These results support the development of IM dosing, which provides a more convenient and patient-friendly administration route that avoids the need for an IV infusion pump, specialist equipment, staffing and training.</w:t>
      </w:r>
    </w:p>
    <w:p>
      <w:pPr>
        <w:spacing w:after="0" w:line="18" w:lineRule="exact"/>
        <w:rPr>
          <w:rFonts w:ascii="Times New Roman" w:cs="Times New Roman" w:eastAsia="Times New Roman" w:hAnsi="Times New Roman"/>
          <w:sz w:val="19"/>
          <w:szCs w:val="19"/>
          <w:color w:val="auto"/>
        </w:rPr>
      </w:pPr>
    </w:p>
    <w:p>
      <w:pPr>
        <w:ind w:left="580" w:hanging="292"/>
        <w:spacing w:after="0"/>
        <w:tabs>
          <w:tab w:leader="none" w:pos="580" w:val="left"/>
        </w:tabs>
        <w:numPr>
          <w:ilvl w:val="0"/>
          <w:numId w:val="60"/>
        </w:numPr>
        <w:rPr>
          <w:rFonts w:ascii="Times New Roman" w:cs="Times New Roman" w:eastAsia="Times New Roman" w:hAnsi="Times New Roman"/>
          <w:sz w:val="19"/>
          <w:szCs w:val="19"/>
          <w:color w:val="auto"/>
        </w:rPr>
      </w:pPr>
      <w:r>
        <w:rPr>
          <w:rFonts w:ascii="Arial" w:cs="Arial" w:eastAsia="Arial" w:hAnsi="Arial"/>
          <w:sz w:val="18"/>
          <w:szCs w:val="18"/>
          <w:color w:val="auto"/>
        </w:rPr>
        <w:t>Combined Phase 1 results from DMT program support progression to a Phase 2a study in GAD in the first quarter of 2024</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takeaways from dDMT studies:</w:t>
      </w:r>
    </w:p>
    <w:p>
      <w:pPr>
        <w:spacing w:after="0" w:line="38" w:lineRule="exact"/>
        <w:rPr>
          <w:sz w:val="20"/>
          <w:szCs w:val="20"/>
          <w:color w:val="auto"/>
        </w:rPr>
      </w:pPr>
    </w:p>
    <w:p>
      <w:pPr>
        <w:ind w:left="560" w:hanging="272"/>
        <w:spacing w:after="0"/>
        <w:tabs>
          <w:tab w:leader="none" w:pos="56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CYB004 and SPL028 demonstrated similar PK and PD profiles, which allow for synergistic insights that are relevant across molecules.</w:t>
      </w:r>
    </w:p>
    <w:p>
      <w:pPr>
        <w:spacing w:after="0" w:line="22"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PK profiles for both molecules demonstrated concentrations in the effective range.</w:t>
      </w:r>
    </w:p>
    <w:p>
      <w:pPr>
        <w:sectPr>
          <w:pgSz w:w="11900" w:h="16838" w:orient="portrait"/>
          <w:cols w:equalWidth="0" w:num="1">
            <w:col w:w="11260"/>
          </w:cols>
          <w:pgMar w:left="320" w:top="1296" w:right="319" w:bottom="1440" w:gutter="0" w:footer="0" w:header="0"/>
        </w:sectPr>
      </w:pPr>
    </w:p>
    <w:bookmarkStart w:id="130" w:name="page131"/>
    <w:bookmarkEnd w:id="130"/>
    <w:p>
      <w:pPr>
        <w:ind w:left="563" w:hanging="272"/>
        <w:spacing w:after="0"/>
        <w:tabs>
          <w:tab w:leader="none" w:pos="563"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IM dosing of SPL028 produced robust psychedelic effects lasting a short duration in the majority of subjects.</w:t>
      </w:r>
    </w:p>
    <w:p>
      <w:pPr>
        <w:spacing w:after="0" w:line="251" w:lineRule="exact"/>
        <w:rPr>
          <w:sz w:val="20"/>
          <w:szCs w:val="20"/>
          <w:color w:val="auto"/>
        </w:rPr>
      </w:pPr>
    </w:p>
    <w:p>
      <w:pPr>
        <w:jc w:val="both"/>
        <w:ind w:left="3"/>
        <w:spacing w:after="0" w:line="257" w:lineRule="auto"/>
        <w:rPr>
          <w:sz w:val="20"/>
          <w:szCs w:val="20"/>
          <w:color w:val="auto"/>
        </w:rPr>
      </w:pPr>
      <w:r>
        <w:rPr>
          <w:rFonts w:ascii="Arial" w:cs="Arial" w:eastAsia="Arial" w:hAnsi="Arial"/>
          <w:sz w:val="18"/>
          <w:szCs w:val="18"/>
          <w:b w:val="1"/>
          <w:bCs w:val="1"/>
          <w:color w:val="auto"/>
        </w:rPr>
        <w:t xml:space="preserve">Received FDA clearance to initiate Phase 2a study of CYB004 in GAD. </w:t>
      </w:r>
      <w:r>
        <w:rPr>
          <w:rFonts w:ascii="Arial" w:cs="Arial" w:eastAsia="Arial" w:hAnsi="Arial"/>
          <w:sz w:val="18"/>
          <w:szCs w:val="18"/>
          <w:color w:val="auto"/>
        </w:rPr>
        <w:t>The Company intends to initiate a Phase 2a study of CYB004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2024</w:t>
      </w:r>
      <w:r>
        <w:rPr>
          <w:rFonts w:ascii="Arial" w:cs="Arial" w:eastAsia="Arial" w:hAnsi="Arial"/>
          <w:sz w:val="23"/>
          <w:szCs w:val="23"/>
          <w:i w:val="1"/>
          <w:iCs w:val="1"/>
          <w:color w:val="auto"/>
          <w:vertAlign w:val="superscript"/>
        </w:rPr>
        <w:t>2</w:t>
      </w:r>
      <w:r>
        <w:rPr>
          <w:rFonts w:ascii="Arial" w:cs="Arial" w:eastAsia="Arial" w:hAnsi="Arial"/>
          <w:sz w:val="18"/>
          <w:szCs w:val="18"/>
          <w:color w:val="auto"/>
        </w:rPr>
        <w:t>. The study will be a randomized, double-blind, active-controlled trial to assess the preliminary clinical efficacy, safety, tolerability, PK, and PD of CYB004 in participants with GAD. This trial will be conducted at study sites in the United States.</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Strengthened patent portfolio with the addition of 6 new patents in key jurisdictions.</w:t>
      </w:r>
    </w:p>
    <w:p>
      <w:pPr>
        <w:spacing w:after="0" w:line="38" w:lineRule="exact"/>
        <w:rPr>
          <w:sz w:val="20"/>
          <w:szCs w:val="20"/>
          <w:color w:val="auto"/>
        </w:rPr>
      </w:pPr>
    </w:p>
    <w:p>
      <w:pPr>
        <w:jc w:val="both"/>
        <w:ind w:left="3" w:hanging="3"/>
        <w:spacing w:after="0" w:line="274" w:lineRule="auto"/>
        <w:tabs>
          <w:tab w:leader="none" w:pos="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United States Patent and Trademark Office (“</w:t>
      </w:r>
      <w:r>
        <w:rPr>
          <w:rFonts w:ascii="Arial" w:cs="Arial" w:eastAsia="Arial" w:hAnsi="Arial"/>
          <w:sz w:val="18"/>
          <w:szCs w:val="18"/>
          <w:b w:val="1"/>
          <w:bCs w:val="1"/>
          <w:color w:val="auto"/>
        </w:rPr>
        <w:t>USPTO</w:t>
      </w:r>
      <w:r>
        <w:rPr>
          <w:rFonts w:ascii="Arial" w:cs="Arial" w:eastAsia="Arial" w:hAnsi="Arial"/>
          <w:sz w:val="18"/>
          <w:szCs w:val="18"/>
          <w:color w:val="auto"/>
        </w:rPr>
        <w:t>”) granted U.S. patent 11,834,410 in support of the Company's CYB003 program. The patent includes composition of matter claims to pharmaceutical compositions within Cybin’s CYB003 program, as well as claims directed toward the therapeutic treatment of MDD, treatment-resistant depression, and alcohol use disorder, and is expected to provide exclusivity until at least 2041.</w:t>
      </w:r>
    </w:p>
    <w:p>
      <w:pPr>
        <w:ind w:left="3" w:hanging="3"/>
        <w:spacing w:after="0" w:line="274" w:lineRule="auto"/>
        <w:tabs>
          <w:tab w:leader="none" w:pos="2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USPTO granted U.S. patent 11,771,681 in support of the Company's dDMT program. The patent provides composition of matter protection for certain deuterated analogs of DMT.</w:t>
      </w:r>
    </w:p>
    <w:p>
      <w:pPr>
        <w:ind w:left="3" w:right="20" w:hanging="3"/>
        <w:spacing w:after="0" w:line="274" w:lineRule="auto"/>
        <w:tabs>
          <w:tab w:leader="none" w:pos="20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USPTO granted U.S. patent 11,773,062 in support of the Company's dDMT program. The patent provides protection for the medical use and the novel, efficient and scalable synthesis of certain analogs of DMT.</w:t>
      </w:r>
    </w:p>
    <w:p>
      <w:pPr>
        <w:ind w:left="3" w:right="20" w:hanging="3"/>
        <w:spacing w:after="0" w:line="274" w:lineRule="auto"/>
        <w:tabs>
          <w:tab w:leader="none" w:pos="2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Canadian Intellectual Property Office granted CA patent 3,179,161 in support of the Company's dDMT program. The patent provides protection for formulations of certain deuterated analogs of DMT.</w:t>
      </w:r>
    </w:p>
    <w:p>
      <w:pPr>
        <w:ind w:left="3" w:right="20" w:hanging="3"/>
        <w:spacing w:after="0" w:line="274" w:lineRule="auto"/>
        <w:tabs>
          <w:tab w:leader="none" w:pos="2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Japanese Patent Office granted JP patent 7422473 in support of the Company’s dDMT program. The patent provides protection for the novel, efficient and scalable synthesis of certain deuterated analogs of DMT.</w:t>
      </w:r>
    </w:p>
    <w:p>
      <w:pPr>
        <w:ind w:left="3" w:right="20" w:hanging="3"/>
        <w:spacing w:after="0" w:line="297" w:lineRule="auto"/>
        <w:tabs>
          <w:tab w:leader="none" w:pos="2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Japanese Patent Office granted JP patent 7422474 in support of the Company’s dDMT program. The patent provides protection for formulations of certain deuterated analogs of DMT.</w:t>
      </w:r>
    </w:p>
    <w:p>
      <w:pPr>
        <w:spacing w:after="0" w:line="177" w:lineRule="exact"/>
        <w:rPr>
          <w:sz w:val="20"/>
          <w:szCs w:val="20"/>
          <w:color w:val="auto"/>
        </w:rPr>
      </w:pPr>
    </w:p>
    <w:p>
      <w:pPr>
        <w:jc w:val="both"/>
        <w:ind w:left="3"/>
        <w:spacing w:after="0" w:line="290" w:lineRule="auto"/>
        <w:rPr>
          <w:sz w:val="20"/>
          <w:szCs w:val="20"/>
          <w:color w:val="auto"/>
        </w:rPr>
      </w:pPr>
      <w:r>
        <w:rPr>
          <w:rFonts w:ascii="Arial" w:cs="Arial" w:eastAsia="Arial" w:hAnsi="Arial"/>
          <w:sz w:val="18"/>
          <w:szCs w:val="18"/>
          <w:b w:val="1"/>
          <w:bCs w:val="1"/>
          <w:color w:val="auto"/>
        </w:rPr>
        <w:t xml:space="preserve">Continued extensive engagement with the scientific community, showcasing advancements in clinical and preclinical programs.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shared four poster presentations at the 2023 American College of Neuropsychopharmacology Annual Meeting, highlighting data from across its CYB003 and dDMT clinical programs, as well as preclinical development programs.</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Upcoming Clinical Milestones and Future Studies:</w:t>
      </w:r>
      <w:r>
        <w:rPr>
          <w:rFonts w:ascii="Arial" w:cs="Arial" w:eastAsia="Arial" w:hAnsi="Arial"/>
          <w:sz w:val="23"/>
          <w:szCs w:val="23"/>
          <w:color w:val="auto"/>
          <w:vertAlign w:val="superscript"/>
        </w:rPr>
        <w:t>2</w:t>
      </w:r>
    </w:p>
    <w:p>
      <w:pPr>
        <w:spacing w:after="0" w:line="19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CYB003 - Deuterated Psilocybin Analog Program</w:t>
      </w:r>
    </w:p>
    <w:p>
      <w:pPr>
        <w:sectPr>
          <w:pgSz w:w="11900" w:h="16838" w:orient="portrait"/>
          <w:cols w:equalWidth="0" w:num="1">
            <w:col w:w="11263"/>
          </w:cols>
          <w:pgMar w:left="317" w:top="1296" w:right="319" w:bottom="1440" w:gutter="0" w:footer="0" w:header="0"/>
        </w:sectPr>
      </w:pPr>
    </w:p>
    <w:p>
      <w:pPr>
        <w:spacing w:after="0" w:line="245"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0"/>
          <w:szCs w:val="10"/>
          <w:color w:val="auto"/>
        </w:rPr>
        <w:t>•</w:t>
      </w:r>
    </w:p>
    <w:p>
      <w:pPr>
        <w:spacing w:after="0" w:line="115"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0"/>
          <w:szCs w:val="10"/>
          <w:color w:val="auto"/>
        </w:rPr>
        <w:t>•</w:t>
      </w:r>
    </w:p>
    <w:p>
      <w:pPr>
        <w:spacing w:after="0" w:line="128"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Phase 2 three-month efficacy data for CYB003 in MDD expected in Q1 2024.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CYB003 Phase 1/2a data was submitted to the FDA in Q4 2023 to support end of Phase 2 meeting in Q1 2024.</w:t>
      </w:r>
    </w:p>
    <w:p>
      <w:pPr>
        <w:spacing w:after="0" w:line="26" w:lineRule="exact"/>
        <w:rPr>
          <w:sz w:val="20"/>
          <w:szCs w:val="20"/>
          <w:color w:val="auto"/>
        </w:rPr>
      </w:pPr>
    </w:p>
    <w:p>
      <w:pPr>
        <w:ind w:right="380" w:hanging="7"/>
        <w:spacing w:after="0" w:line="308" w:lineRule="auto"/>
        <w:rPr>
          <w:sz w:val="20"/>
          <w:szCs w:val="20"/>
          <w:color w:val="auto"/>
        </w:rPr>
      </w:pPr>
      <w:r>
        <w:rPr>
          <w:rFonts w:ascii="Arial" w:cs="Arial" w:eastAsia="Arial" w:hAnsi="Arial"/>
          <w:sz w:val="18"/>
          <w:szCs w:val="18"/>
          <w:color w:val="auto"/>
        </w:rPr>
        <w:t>Initiate a pivotal, international, multisite Phase 3 trial in Q2 2024 to further evaluate the safety and efficacy of CYB003 capsules in a larger MDD patient population.</w:t>
      </w:r>
    </w:p>
    <w:p>
      <w:pPr>
        <w:sectPr>
          <w:pgSz w:w="11900" w:h="16838" w:orient="portrait"/>
          <w:cols w:equalWidth="0" w:num="2">
            <w:col w:w="323" w:space="260"/>
            <w:col w:w="10680"/>
          </w:cols>
          <w:pgMar w:left="317" w:top="1296" w:right="319" w:bottom="1440" w:gutter="0" w:footer="0" w:header="0"/>
          <w:type w:val="continuous"/>
        </w:sectPr>
      </w:pPr>
    </w:p>
    <w:bookmarkStart w:id="131" w:name="page132"/>
    <w:bookmarkEnd w:id="131"/>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dDMT Program</w:t>
      </w:r>
    </w:p>
    <w:p>
      <w:pPr>
        <w:spacing w:after="0" w:line="38" w:lineRule="exact"/>
        <w:rPr>
          <w:sz w:val="20"/>
          <w:szCs w:val="20"/>
          <w:color w:val="auto"/>
        </w:rPr>
      </w:pPr>
    </w:p>
    <w:p>
      <w:pPr>
        <w:ind w:left="580" w:hanging="292"/>
        <w:spacing w:after="0"/>
        <w:tabs>
          <w:tab w:leader="none" w:pos="58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8"/>
          <w:szCs w:val="18"/>
          <w:color w:val="auto"/>
        </w:rPr>
        <w:t>Initiate Phase 2a study in participants with generalized anxiety disorder in Q1 2024.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Financial Information</w:t>
      </w:r>
    </w:p>
    <w:p>
      <w:pPr>
        <w:spacing w:after="0" w:line="256" w:lineRule="exact"/>
        <w:rPr>
          <w:sz w:val="20"/>
          <w:szCs w:val="20"/>
          <w:color w:val="auto"/>
        </w:rPr>
      </w:pPr>
    </w:p>
    <w:p>
      <w:pPr>
        <w:ind w:left="560" w:hanging="272"/>
        <w:spacing w:after="0"/>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totaled C$39.0 million as of December 31, 2023.</w:t>
      </w:r>
    </w:p>
    <w:p>
      <w:pPr>
        <w:spacing w:after="0" w:line="47" w:lineRule="exact"/>
        <w:rPr>
          <w:rFonts w:ascii="Arial" w:cs="Arial" w:eastAsia="Arial" w:hAnsi="Arial"/>
          <w:sz w:val="18"/>
          <w:szCs w:val="18"/>
          <w:color w:val="auto"/>
        </w:rPr>
      </w:pPr>
    </w:p>
    <w:p>
      <w:pPr>
        <w:jc w:val="both"/>
        <w:ind w:left="580" w:right="100" w:hanging="292"/>
        <w:spacing w:after="0" w:line="270" w:lineRule="auto"/>
        <w:tabs>
          <w:tab w:leader="none" w:pos="575" w:val="left"/>
        </w:tabs>
        <w:numPr>
          <w:ilvl w:val="0"/>
          <w:numId w:val="65"/>
        </w:numPr>
        <w:rPr>
          <w:rFonts w:ascii="Times New Roman" w:cs="Times New Roman" w:eastAsia="Times New Roman" w:hAnsi="Times New Roman"/>
          <w:sz w:val="19"/>
          <w:szCs w:val="19"/>
          <w:color w:val="auto"/>
        </w:rPr>
      </w:pPr>
      <w:r>
        <w:rPr>
          <w:rFonts w:ascii="Arial" w:cs="Arial" w:eastAsia="Arial" w:hAnsi="Arial"/>
          <w:sz w:val="18"/>
          <w:szCs w:val="18"/>
          <w:color w:val="auto"/>
        </w:rPr>
        <w:t>With the previously announced public offerings of units of the Company (the “Units”) and a combination of the Company's current cash position, current at-the-market equity program and assuming the exercise in full of the warrants issued as part of the Units, the Company has access to over C$121 million.</w:t>
      </w:r>
    </w:p>
    <w:p>
      <w:pPr>
        <w:spacing w:after="0" w:line="4" w:lineRule="exact"/>
        <w:rPr>
          <w:rFonts w:ascii="Times New Roman" w:cs="Times New Roman" w:eastAsia="Times New Roman" w:hAnsi="Times New Roman"/>
          <w:sz w:val="19"/>
          <w:szCs w:val="19"/>
          <w:color w:val="auto"/>
        </w:rPr>
      </w:pPr>
    </w:p>
    <w:p>
      <w:pPr>
        <w:ind w:left="580" w:right="100" w:hanging="292"/>
        <w:spacing w:after="0" w:line="272" w:lineRule="auto"/>
        <w:tabs>
          <w:tab w:leader="none" w:pos="569"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C$30.3 million for the quarter ended December 31, 2023, compared to a net loss of C$10.7 million in the same period last year.</w:t>
      </w:r>
    </w:p>
    <w:p>
      <w:pPr>
        <w:spacing w:after="0" w:line="2" w:lineRule="exact"/>
        <w:rPr>
          <w:rFonts w:ascii="Times New Roman" w:cs="Times New Roman" w:eastAsia="Times New Roman" w:hAnsi="Times New Roman"/>
          <w:sz w:val="18"/>
          <w:szCs w:val="18"/>
          <w:color w:val="auto"/>
        </w:rPr>
      </w:pPr>
    </w:p>
    <w:p>
      <w:pPr>
        <w:ind w:left="580" w:right="120" w:hanging="292"/>
        <w:spacing w:after="0" w:line="277" w:lineRule="auto"/>
        <w:tabs>
          <w:tab w:leader="none" w:pos="569"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Cash-based operating expenses totaled C$17.1 million for the quarter ended December 31, 2023, compared to C$11.1 million, in the prior year quarter.</w:t>
      </w:r>
    </w:p>
    <w:p>
      <w:pPr>
        <w:spacing w:after="0" w:line="18" w:lineRule="exact"/>
        <w:rPr>
          <w:rFonts w:ascii="Times New Roman" w:cs="Times New Roman" w:eastAsia="Times New Roman" w:hAnsi="Times New Roman"/>
          <w:sz w:val="18"/>
          <w:szCs w:val="18"/>
          <w:color w:val="auto"/>
        </w:rPr>
      </w:pPr>
    </w:p>
    <w:p>
      <w:pPr>
        <w:ind w:left="580" w:right="120" w:hanging="292"/>
        <w:spacing w:after="0" w:line="270" w:lineRule="auto"/>
        <w:tabs>
          <w:tab w:leader="none" w:pos="575" w:val="left"/>
        </w:tabs>
        <w:numPr>
          <w:ilvl w:val="0"/>
          <w:numId w:val="65"/>
        </w:numPr>
        <w:rPr>
          <w:rFonts w:ascii="Times New Roman" w:cs="Times New Roman" w:eastAsia="Times New Roman" w:hAnsi="Times New Roman"/>
          <w:sz w:val="19"/>
          <w:szCs w:val="19"/>
          <w:color w:val="auto"/>
        </w:rPr>
      </w:pPr>
      <w:r>
        <w:rPr>
          <w:rFonts w:ascii="Arial" w:cs="Arial" w:eastAsia="Arial" w:hAnsi="Arial"/>
          <w:sz w:val="18"/>
          <w:szCs w:val="18"/>
          <w:color w:val="auto"/>
        </w:rPr>
        <w:t>Cash flows used in operating activities were C$19.0 million for the quarter ended December 31, 2023, compared to C$10.8 million in the same period last year.</w:t>
      </w:r>
    </w:p>
    <w:p>
      <w:pPr>
        <w:spacing w:after="0" w:line="18" w:lineRule="exact"/>
        <w:rPr>
          <w:rFonts w:ascii="Times New Roman" w:cs="Times New Roman" w:eastAsia="Times New Roman" w:hAnsi="Times New Roman"/>
          <w:sz w:val="19"/>
          <w:szCs w:val="19"/>
          <w:color w:val="auto"/>
        </w:rPr>
      </w:pPr>
    </w:p>
    <w:p>
      <w:pPr>
        <w:jc w:val="both"/>
        <w:ind w:left="580" w:right="100" w:hanging="292"/>
        <w:spacing w:after="0" w:line="281" w:lineRule="auto"/>
        <w:tabs>
          <w:tab w:leader="none" w:pos="575" w:val="left"/>
        </w:tabs>
        <w:numPr>
          <w:ilvl w:val="0"/>
          <w:numId w:val="65"/>
        </w:numPr>
        <w:rPr>
          <w:rFonts w:ascii="Times New Roman" w:cs="Times New Roman" w:eastAsia="Times New Roman" w:hAnsi="Times New Roman"/>
          <w:sz w:val="19"/>
          <w:szCs w:val="19"/>
          <w:color w:val="auto"/>
        </w:rPr>
      </w:pPr>
      <w:r>
        <w:rPr>
          <w:rFonts w:ascii="Arial" w:cs="Arial" w:eastAsia="Arial" w:hAnsi="Arial"/>
          <w:sz w:val="18"/>
          <w:szCs w:val="18"/>
          <w:color w:val="auto"/>
        </w:rPr>
        <w:t>Cash flows received from financing activities were C$42.4 million for the quarter ended December 31, 2023, compared to C$3.5 million in the same period last year, related to the net proceeds on the issuance of Common Shares through the Company’s August 3, 2023 and November 14, 2023 financing and its at-the-market equity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256"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psilocybin analog for the treatment of major depressive disorder and CYB004, a proprietary dDMT molecule for generalized anxiety disorder and has a research pipeline of investigational psychedelic-based compounds.</w:t>
      </w:r>
    </w:p>
    <w:p>
      <w:pPr>
        <w:spacing w:after="0" w:line="183"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Headquartered in Canada and founded in 2019, Cybin is operational in Canada, the United States, the United Kingdom, the Netherlands and Ireland. For Company updates and to learn more about Cybin, visit www.cybin.com or follow the Company on X, LinkedIn, YouTube and Instagram.</w:t>
      </w:r>
    </w:p>
    <w:p>
      <w:pPr>
        <w:sectPr>
          <w:pgSz w:w="11900" w:h="16838" w:orient="portrait"/>
          <w:cols w:equalWidth="0" w:num="1">
            <w:col w:w="11260"/>
          </w:cols>
          <w:pgMar w:left="320" w:top="1440" w:right="3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progress to a Phase 3 trial of CYB003 in Q2 2024; initiate a Phase 2a study of CYB004 in Q1 2024; attend an end of Phase 2 meeting with the FDA in Q1 2024; the release of Phase 2 three-month efficacy data for CYB003 in MDD in Q1 2024; the Company’s ability to access capital under its current at-the-market offering; the exercise of the warrants issued as part of the Units; and the Company’s plans to engineer proprietary drug discovery platforms, innovative drug delivery systems, novel formulation approaches and treatment regimens for mental health conditions.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2023 and the Company’s annual information form for the year ended March 31, 2023, which are available under the Company's profile on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7"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w:t>
      </w:r>
    </w:p>
    <w:p>
      <w:pPr>
        <w:sectPr>
          <w:pgSz w:w="11900" w:h="16838" w:orient="portrait"/>
          <w:cols w:equalWidth="0" w:num="1">
            <w:col w:w="11260"/>
          </w:cols>
          <w:pgMar w:left="320" w:top="1294" w:right="319" w:bottom="1440" w:gutter="0" w:footer="0" w:header="0"/>
        </w:sectPr>
      </w:pPr>
    </w:p>
    <w:bookmarkStart w:id="133" w:name="page134"/>
    <w:bookmarkEnd w:id="133"/>
    <w:p>
      <w:pPr>
        <w:jc w:val="both"/>
        <w:ind w:right="20"/>
        <w:spacing w:after="0" w:line="279" w:lineRule="auto"/>
        <w:rPr>
          <w:sz w:val="20"/>
          <w:szCs w:val="20"/>
          <w:color w:val="auto"/>
        </w:rPr>
      </w:pPr>
      <w:r>
        <w:rPr>
          <w:rFonts w:ascii="Arial" w:cs="Arial" w:eastAsia="Arial" w:hAnsi="Arial"/>
          <w:sz w:val="18"/>
          <w:szCs w:val="18"/>
          <w:color w:val="auto"/>
        </w:rPr>
        <w:t>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8"/>
          <w:szCs w:val="18"/>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Gabriel Fahel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1-866-292-4601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irteam@cybin.com – or – media@cybin.com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83" w:lineRule="exact"/>
        <w:rPr>
          <w:sz w:val="20"/>
          <w:szCs w:val="20"/>
          <w:color w:val="auto"/>
        </w:rPr>
      </w:pPr>
    </w:p>
    <w:p>
      <w:pPr>
        <w:ind w:left="580" w:hanging="292"/>
        <w:spacing w:after="0"/>
        <w:tabs>
          <w:tab w:leader="none" w:pos="5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p-value indicates statistical significance. Values &lt;0.05 are considered statistically significant and values &lt;0.001 are considered highly statistically significant. Cohen’s d represents size of the effect. An effect size of 2.15 is considered large.</w:t>
      </w:r>
    </w:p>
    <w:p>
      <w:pPr>
        <w:spacing w:after="0" w:line="156" w:lineRule="exact"/>
        <w:rPr>
          <w:rFonts w:ascii="Arial" w:cs="Arial" w:eastAsia="Arial" w:hAnsi="Arial"/>
          <w:sz w:val="18"/>
          <w:szCs w:val="18"/>
          <w:color w:val="auto"/>
        </w:rPr>
      </w:pPr>
    </w:p>
    <w:p>
      <w:pPr>
        <w:jc w:val="both"/>
        <w:ind w:left="580" w:hanging="292"/>
        <w:spacing w:after="0" w:line="219" w:lineRule="auto"/>
        <w:tabs>
          <w:tab w:leader="none" w:pos="5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is no assurance that timelines will be met.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 the success of implementation and results of such studies on timelines indicated as possible by such guidelines, other industry examples, and the Company’s development efforts to date.</w:t>
      </w:r>
    </w:p>
    <w:sectPr>
      <w:pgSz w:w="11900" w:h="16838" w:orient="portrait"/>
      <w:cols w:equalWidth="0" w:num="1">
        <w:col w:w="11260"/>
      </w:cols>
      <w:pgMar w:left="320" w:top="129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bullet"/>
      <w:start w:val="1"/>
    </w:lvl>
  </w:abstractNum>
  <w:abstractNum w:abstractNumId="1">
    <w:nsid w:val="614FD4A1"/>
    <w:multiLevelType w:val="hybridMultilevel"/>
    <w:lvl w:ilvl="0">
      <w:lvlJc w:val="left"/>
      <w:lvlText w:val="%1."/>
      <w:numFmt w:val="decimal"/>
      <w:start w:val="8"/>
    </w:lvl>
    <w:lvl w:ilvl="1">
      <w:lvlJc w:val="left"/>
      <w:lvlText w:val="%2)"/>
      <w:numFmt w:val="lowerLetter"/>
      <w:start w:val="1"/>
    </w:lvl>
  </w:abstractNum>
  <w:abstractNum w:abstractNumId="2">
    <w:nsid w:val="419AC241"/>
    <w:multiLevelType w:val="hybridMultilevel"/>
    <w:lvl w:ilvl="0">
      <w:lvlJc w:val="left"/>
      <w:lvlText w:val="%1)"/>
      <w:numFmt w:val="lowerLetter"/>
      <w:start w:val="2"/>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1"/>
    </w:lvl>
    <w:lvl w:ilvl="1">
      <w:lvlJc w:val="left"/>
      <w:lvlText w:val="%2)"/>
      <w:numFmt w:val="decimal"/>
      <w:start w:val="1"/>
    </w:lvl>
  </w:abstractNum>
  <w:abstractNum w:abstractNumId="5">
    <w:nsid w:val="5072367"/>
    <w:multiLevelType w:val="hybridMultilevel"/>
    <w:lvl w:ilvl="0">
      <w:lvlJc w:val="left"/>
      <w:lvlText w:val="(%1)"/>
      <w:numFmt w:val="decimal"/>
      <w:start w:val="2"/>
    </w:lvl>
    <w:lvl w:ilvl="1">
      <w:lvlJc w:val="left"/>
      <w:lvlText w:val="%2"/>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6"/>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bullet"/>
      <w:start w:val="1"/>
    </w:lvl>
  </w:abstractNum>
  <w:abstractNum w:abstractNumId="17">
    <w:nsid w:val="70A64E2A"/>
    <w:multiLevelType w:val="hybridMultilevel"/>
    <w:lvl w:ilvl="0">
      <w:lvlJc w:val="left"/>
      <w:lvlText w:val="2"/>
      <w:numFmt w:val="bullet"/>
      <w:start w:val="1"/>
    </w:lvl>
  </w:abstractNum>
  <w:abstractNum w:abstractNumId="18">
    <w:nsid w:val="6A2342EC"/>
    <w:multiLevelType w:val="hybridMultilevel"/>
    <w:lvl w:ilvl="0">
      <w:lvlJc w:val="left"/>
      <w:lvlText w:val="4"/>
      <w:numFmt w:val="bullet"/>
      <w:start w:val="1"/>
    </w:lvl>
  </w:abstractNum>
  <w:abstractNum w:abstractNumId="19">
    <w:nsid w:val="2A487CB0"/>
    <w:multiLevelType w:val="hybridMultilevel"/>
    <w:lvl w:ilvl="0">
      <w:lvlJc w:val="left"/>
      <w:lvlText w:val="5"/>
      <w:numFmt w:val="bullet"/>
      <w:start w:val="1"/>
    </w:lvl>
  </w:abstractNum>
  <w:abstractNum w:abstractNumId="20">
    <w:nsid w:val="1D4ED43B"/>
    <w:multiLevelType w:val="hybridMultilevel"/>
    <w:lvl w:ilvl="0">
      <w:lvlJc w:val="left"/>
      <w:lvlText w:val="6"/>
      <w:numFmt w:val="bullet"/>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7"/>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9"/>
      <w:numFmt w:val="bullet"/>
      <w:start w:val="1"/>
    </w:lvl>
  </w:abstractNum>
  <w:abstractNum w:abstractNumId="26">
    <w:nsid w:val="542289EC"/>
    <w:multiLevelType w:val="hybridMultilevel"/>
    <w:lvl w:ilvl="0">
      <w:lvlJc w:val="left"/>
      <w:lvlText w:val="%1"/>
      <w:numFmt w:val="decimal"/>
      <w:start w:val="10"/>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1"/>
      <w:numFmt w:val="decimal"/>
      <w:start w:val="14"/>
    </w:lvl>
  </w:abstractNum>
  <w:abstractNum w:abstractNumId="31">
    <w:nsid w:val="684A481A"/>
    <w:multiLevelType w:val="hybridMultilevel"/>
    <w:lvl w:ilvl="0">
      <w:lvlJc w:val="left"/>
      <w:lvlText w:val="%1"/>
      <w:numFmt w:val="decimal"/>
      <w:start w:val="15"/>
    </w:lvl>
  </w:abstractNum>
  <w:abstractNum w:abstractNumId="32">
    <w:nsid w:val="579478FE"/>
    <w:multiLevelType w:val="hybridMultilevel"/>
    <w:lvl w:ilvl="0">
      <w:lvlJc w:val="left"/>
      <w:lvlText w:val="%1"/>
      <w:numFmt w:val="decimal"/>
      <w:start w:val="20"/>
    </w:lvl>
  </w:abstractNum>
  <w:abstractNum w:abstractNumId="33">
    <w:nsid w:val="749ABB43"/>
    <w:multiLevelType w:val="hybridMultilevel"/>
    <w:lvl w:ilvl="0">
      <w:lvlJc w:val="left"/>
      <w:lvlText w:val="%1"/>
      <w:numFmt w:val="decimal"/>
      <w:start w:val="22"/>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25"/>
    </w:lvl>
  </w:abstractNum>
  <w:abstractNum w:abstractNumId="37">
    <w:nsid w:val="75C6C33A"/>
    <w:multiLevelType w:val="hybridMultilevel"/>
    <w:lvl w:ilvl="0">
      <w:lvlJc w:val="left"/>
      <w:lvlText w:val="%1"/>
      <w:numFmt w:val="decimal"/>
      <w:start w:val="26"/>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27"/>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1"/>
      <w:numFmt w:val="decimal"/>
      <w:start w:val="29"/>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4">
    <w:nsid w:val="D34B6A8"/>
    <w:multiLevelType w:val="hybridMultilevel"/>
    <w:lvl w:ilvl="0">
      <w:lvlJc w:val="left"/>
      <w:lvlText w:val="%1."/>
      <w:numFmt w:val="decimal"/>
      <w:start w:val="6"/>
    </w:lvl>
  </w:abstractNum>
  <w:abstractNum w:abstractNumId="55">
    <w:nsid w:val="10233C99"/>
    <w:multiLevelType w:val="hybridMultilevel"/>
    <w:lvl w:ilvl="0">
      <w:lvlJc w:val="left"/>
      <w:lvlText w:val="(%1)"/>
      <w:numFmt w:val="lowerLetter"/>
      <w:start w:val="19"/>
    </w:lvl>
  </w:abstractNum>
  <w:abstractNum w:abstractNumId="56">
    <w:nsid w:val="3F6AB60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7">
    <w:nsid w:val="61574095"/>
    <w:multiLevelType w:val="hybridMultilevel"/>
    <w:lvl w:ilvl="0">
      <w:lvlJc w:val="left"/>
      <w:lvlText w:val="%1."/>
      <w:numFmt w:val="decimal"/>
      <w:start w:val="6"/>
    </w:lvl>
  </w:abstractNum>
  <w:abstractNum w:abstractNumId="58">
    <w:nsid w:val="7E0C57B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2024-02-14T07:21:02Z</dcterms:created>
  <dcterms:modified xsi:type="dcterms:W3CDTF">2024-02-14T07:21:02Z</dcterms:modified>
</cp:coreProperties>
</file>