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spacing w:after="0" w:line="207" w:lineRule="exact"/>
        <w:tabs>
          <w:tab w:leader="none" w:pos="1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77"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169545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46"/>
        </w:trPr>
        <w:tc>
          <w:tcPr>
            <w:tcW w:w="3580" w:type="dxa"/>
            <w:vAlign w:val="bottom"/>
          </w:tcPr>
          <w:p>
            <w:pPr>
              <w:spacing w:after="0"/>
              <w:rPr>
                <w:sz w:val="20"/>
                <w:szCs w:val="20"/>
                <w:color w:val="auto"/>
              </w:rPr>
            </w:pPr>
            <w:r>
              <w:rPr>
                <w:rFonts w:ascii="Arial" w:cs="Arial" w:eastAsia="Arial" w:hAnsi="Arial"/>
                <w:sz w:val="18"/>
                <w:szCs w:val="18"/>
                <w:color w:val="auto"/>
              </w:rPr>
              <w:t>Date: August 16, 2021</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8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Interim Financial Statements – June 30, 2021</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MD&amp;A – June 30, 2021</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7"/>
          <w:szCs w:val="17"/>
          <w:color w:val="auto"/>
        </w:rPr>
        <w:t>Certification of Interim Filings – CFO</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7"/>
          <w:szCs w:val="17"/>
          <w:color w:val="auto"/>
        </w:rPr>
        <w:t>Certification of Interim Filings – CEO</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5"/>
          <w:szCs w:val="15"/>
          <w:color w:val="auto"/>
        </w:rPr>
        <w:t>News Release dated August 13, 2021</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1757680</wp:posOffset>
            </wp:positionV>
            <wp:extent cx="1671320" cy="107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132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CONDENSED INTERIM CONSOLIDATED FINANCIAL STATEMENTS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THREE MONTHS ENDED</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30, 2021</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020"/>
          </w:cols>
          <w:pgMar w:left="1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OUR SHAREHOLDERS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accompanying unaudited condensed interim consolidated financial statements of Cybin Inc. (“Cybin”) have been prepared by and are the responsibility of Cybin’s management in accordance with International Accounting Standards (“IAS”) 34, Interim Financial Reporting as issued by the International Accounting Standards Board (“IASB’’). These unaudited condensed interim consolidated financial statements do not include all the information and notes required by International Financial Reporting Standards (“IFRS’’) for annual financial statements and should be read in conjunction with Cybin’s annual financial statements and notes for the year ended March 31, 2021, which are available on SEDAR at </w:t>
      </w:r>
      <w:r>
        <w:rPr>
          <w:rFonts w:ascii="Arial" w:cs="Arial" w:eastAsia="Arial" w:hAnsi="Arial"/>
          <w:sz w:val="16"/>
          <w:szCs w:val="16"/>
          <w:u w:val="single" w:color="auto"/>
          <w:color w:val="auto"/>
        </w:rPr>
        <w:t>www.sedar.com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20</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right="4020"/>
        <w:spacing w:after="0" w:line="260" w:lineRule="auto"/>
        <w:rPr>
          <w:sz w:val="20"/>
          <w:szCs w:val="20"/>
          <w:color w:val="auto"/>
        </w:rPr>
      </w:pPr>
      <w:r>
        <w:rPr>
          <w:rFonts w:ascii="Arial" w:cs="Arial" w:eastAsia="Arial" w:hAnsi="Arial"/>
          <w:sz w:val="18"/>
          <w:szCs w:val="18"/>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675640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 at</w:t>
            </w:r>
          </w:p>
        </w:tc>
        <w:tc>
          <w:tcPr>
            <w:tcW w:w="7700" w:type="dxa"/>
            <w:vAlign w:val="bottom"/>
          </w:tcPr>
          <w:p>
            <w:pPr>
              <w:spacing w:after="0"/>
              <w:rPr>
                <w:sz w:val="16"/>
                <w:szCs w:val="16"/>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i w:val="1"/>
                <w:iCs w:val="1"/>
                <w:color w:val="auto"/>
                <w:w w:val="81"/>
              </w:rPr>
              <w:t>Notes</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June 30, 2021</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89"/>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55,075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1,675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820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57,570</w:t>
            </w:r>
          </w:p>
        </w:tc>
        <w:tc>
          <w:tcPr>
            <w:tcW w:w="4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4</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Equipment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5</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561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Intangible assets</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6</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1,751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22,705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23,370</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25,267</w:t>
            </w:r>
          </w:p>
        </w:tc>
        <w:tc>
          <w:tcPr>
            <w:tcW w:w="4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82,837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3,052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contingent consideration payable</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7</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2,746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5,798</w:t>
            </w:r>
          </w:p>
        </w:tc>
        <w:tc>
          <w:tcPr>
            <w:tcW w:w="4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Contingent consideration payable</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7</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770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770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6,568</w:t>
            </w:r>
          </w:p>
        </w:tc>
        <w:tc>
          <w:tcPr>
            <w:tcW w:w="4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Share capital</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8</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101,603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100,676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Contributed surplus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Options reserve</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8</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11,733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 reserve</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8</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11,224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(668)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Deficit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(47,747)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(33,030)</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76,269</w:t>
            </w:r>
          </w:p>
        </w:tc>
        <w:tc>
          <w:tcPr>
            <w:tcW w:w="4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82,837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Corporate information and continuance of operations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(note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 (note 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condensed interim consolidated financial statements were approved for issue on August 13, 2021 by the Board of Directors and signed on its behalf by:</w:t>
      </w:r>
    </w:p>
    <w:p>
      <w:pPr>
        <w:spacing w:after="0" w:line="197" w:lineRule="exact"/>
        <w:rPr>
          <w:sz w:val="20"/>
          <w:szCs w:val="20"/>
          <w:color w:val="auto"/>
        </w:rPr>
      </w:pPr>
    </w:p>
    <w:p>
      <w:pPr>
        <w:spacing w:after="0"/>
        <w:tabs>
          <w:tab w:leader="none" w:pos="9600" w:val="left"/>
        </w:tabs>
        <w:rPr>
          <w:sz w:val="20"/>
          <w:szCs w:val="20"/>
          <w:color w:val="auto"/>
        </w:rPr>
      </w:pPr>
      <w:r>
        <w:rPr>
          <w:rFonts w:ascii="Arial" w:cs="Arial" w:eastAsia="Arial" w:hAnsi="Arial"/>
          <w:sz w:val="18"/>
          <w:szCs w:val="18"/>
          <w:i w:val="1"/>
          <w:iCs w:val="1"/>
          <w:color w:val="auto"/>
        </w:rPr>
        <w:t xml:space="preserve">/s/Paul Glavine </w:t>
      </w:r>
      <w:r>
        <w:rPr>
          <w:rFonts w:ascii="Arial" w:cs="Arial" w:eastAsia="Arial" w:hAnsi="Arial"/>
          <w:sz w:val="18"/>
          <w:szCs w:val="18"/>
          <w:color w:val="auto"/>
        </w:rPr>
        <w:t>Director</w:t>
      </w:r>
      <w:r>
        <w:rPr>
          <w:sz w:val="20"/>
          <w:szCs w:val="20"/>
          <w:color w:val="auto"/>
        </w:rPr>
        <w:tab/>
      </w:r>
      <w:r>
        <w:rPr>
          <w:rFonts w:ascii="Arial" w:cs="Arial" w:eastAsia="Arial" w:hAnsi="Arial"/>
          <w:sz w:val="16"/>
          <w:szCs w:val="16"/>
          <w:i w:val="1"/>
          <w:iCs w:val="1"/>
          <w:color w:val="auto"/>
        </w:rPr>
        <w:t xml:space="preserve">/s/ Eric So </w:t>
      </w:r>
      <w:r>
        <w:rPr>
          <w:rFonts w:ascii="Arial" w:cs="Arial" w:eastAsia="Arial" w:hAnsi="Arial"/>
          <w:sz w:val="16"/>
          <w:szCs w:val="16"/>
          <w:color w:val="auto"/>
        </w:rPr>
        <w:t>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20</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right="2900"/>
        <w:spacing w:after="0" w:line="255" w:lineRule="auto"/>
        <w:rPr>
          <w:sz w:val="20"/>
          <w:szCs w:val="20"/>
          <w:color w:val="auto"/>
        </w:rPr>
      </w:pPr>
      <w:r>
        <w:rPr>
          <w:rFonts w:ascii="Arial" w:cs="Arial" w:eastAsia="Arial" w:hAnsi="Arial"/>
          <w:sz w:val="18"/>
          <w:szCs w:val="18"/>
          <w:b w:val="1"/>
          <w:bCs w:val="1"/>
          <w:color w:val="auto"/>
        </w:rPr>
        <w:t>CONDENSED INTERIM CONSOLIDATED STATEMENTS OF LOSS AND COMPREHENSIVE LOSS (All amounts expressed in thousands of Canadian dollars, except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541020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Notes</w:t>
            </w:r>
          </w:p>
        </w:tc>
        <w:tc>
          <w:tcPr>
            <w:tcW w:w="21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June 30,</w:t>
            </w: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31"/>
        </w:trPr>
        <w:tc>
          <w:tcPr>
            <w:tcW w:w="8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8,9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4,773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General and administrative costs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6,190</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2,976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on convertible debt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 accretion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7</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8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(14,717)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115"/>
        </w:trPr>
        <w:tc>
          <w:tcPr>
            <w:tcW w:w="8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Foreign currency translation differences for foreign operations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(692)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(15,409)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380" w:type="dxa"/>
            <w:vAlign w:val="bottom"/>
          </w:tcPr>
          <w:p>
            <w:pPr>
              <w:spacing w:after="0"/>
              <w:rPr>
                <w:sz w:val="20"/>
                <w:szCs w:val="20"/>
                <w:color w:val="auto"/>
              </w:rPr>
            </w:pPr>
            <w:r>
              <w:rPr>
                <w:rFonts w:ascii="Arial" w:cs="Arial" w:eastAsia="Arial" w:hAnsi="Arial"/>
                <w:sz w:val="18"/>
                <w:szCs w:val="18"/>
                <w:b w:val="1"/>
                <w:bCs w:val="1"/>
                <w:color w:val="auto"/>
              </w:rPr>
              <w:t>Basic loss per share for the period attributable to common shareholders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(0.09)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share for the period attributable to common shareholders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157,711,518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60,703,392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4 of 20</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right="2460"/>
        <w:spacing w:after="0" w:line="250" w:lineRule="auto"/>
        <w:rPr>
          <w:sz w:val="20"/>
          <w:szCs w:val="20"/>
          <w:color w:val="auto"/>
        </w:rPr>
      </w:pPr>
      <w:r>
        <w:rPr>
          <w:rFonts w:ascii="Arial" w:cs="Arial" w:eastAsia="Arial" w:hAnsi="Arial"/>
          <w:sz w:val="18"/>
          <w:szCs w:val="18"/>
          <w:b w:val="1"/>
          <w:bCs w:val="1"/>
          <w:color w:val="auto"/>
        </w:rPr>
        <w:t>CONDENSED INTERIM CONSOLIDATED STATEMENTS OF CHANGES IN SHAREHOLDERS’ EQUITY FOR THE THREE MONTHS ENDED JUNE 30, 2021 AND JUNE 30, 2020 (All amounts expressed in thousands of Canadian dollars, except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Share capital</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ind w:left="840"/>
              <w:spacing w:after="0"/>
              <w:rPr>
                <w:sz w:val="20"/>
                <w:szCs w:val="20"/>
                <w:color w:val="auto"/>
              </w:rPr>
            </w:pPr>
            <w:r>
              <w:rPr>
                <w:rFonts w:ascii="Arial" w:cs="Arial" w:eastAsia="Arial" w:hAnsi="Arial"/>
                <w:sz w:val="14"/>
                <w:szCs w:val="14"/>
                <w:b w:val="1"/>
                <w:bCs w:val="1"/>
                <w:color w:val="auto"/>
              </w:rPr>
              <w:t>Reserves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Equity</w:t>
            </w: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component of</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Contributed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Note</w:t>
            </w:r>
          </w:p>
        </w:tc>
        <w:tc>
          <w:tcPr>
            <w:tcW w:w="120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9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debt</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Surplus</w:t>
            </w:r>
          </w:p>
        </w:tc>
        <w:tc>
          <w:tcPr>
            <w:tcW w:w="860" w:type="dxa"/>
            <w:vAlign w:val="bottom"/>
            <w:gridSpan w:val="2"/>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March 31,</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56,503,570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2,187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1,448</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w w:val="95"/>
              </w:rPr>
              <w:t>Shares issued for cash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w w:val="98"/>
              </w:rPr>
              <w:t>of share issuance costs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 private placement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14,246,666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7,294</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share</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(2,799,985)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Issuance of convertible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on</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Founders’ round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additional capital</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Finders’ warrants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2,337</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150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and</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 for</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period</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05"/>
        </w:trPr>
        <w:tc>
          <w:tcPr>
            <w:tcW w:w="206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at June 30,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69,150,251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9,166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2,433</w:t>
            </w:r>
          </w:p>
        </w:tc>
        <w:tc>
          <w:tcPr>
            <w:tcW w:w="760" w:type="dxa"/>
            <w:vAlign w:val="bottom"/>
            <w:gridSpan w:val="2"/>
          </w:tcPr>
          <w:p>
            <w:pPr>
              <w:ind w:left="260"/>
              <w:spacing w:after="0"/>
              <w:rPr>
                <w:sz w:val="20"/>
                <w:szCs w:val="20"/>
                <w:color w:val="auto"/>
              </w:rPr>
            </w:pPr>
            <w:r>
              <w:rPr>
                <w:rFonts w:ascii="Arial" w:cs="Arial" w:eastAsia="Arial" w:hAnsi="Arial"/>
                <w:sz w:val="18"/>
                <w:szCs w:val="18"/>
                <w:b w:val="1"/>
                <w:bCs w:val="1"/>
                <w:color w:val="auto"/>
              </w:rPr>
              <w:t>214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(5,173)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6,640</w:t>
            </w:r>
          </w:p>
        </w:tc>
        <w:tc>
          <w:tcPr>
            <w:tcW w:w="0" w:type="dxa"/>
            <w:vAlign w:val="bottom"/>
          </w:tcPr>
          <w:p>
            <w:pPr>
              <w:spacing w:after="0"/>
              <w:rPr>
                <w:sz w:val="1"/>
                <w:szCs w:val="1"/>
                <w:color w:val="auto"/>
              </w:rPr>
            </w:pPr>
          </w:p>
        </w:tc>
      </w:tr>
      <w:tr>
        <w:trPr>
          <w:trHeight w:val="115"/>
        </w:trPr>
        <w:tc>
          <w:tcPr>
            <w:tcW w:w="2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at March 31,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157,454,415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100,676</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11,166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7,158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124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(33,030)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86,118</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rPr>
              <w:t>Shares issued on Adelia</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7, 8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157,771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458</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256,031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Options exercised</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325,000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Finders’ warrants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8, 9</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4,668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(14,717)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(14,717)</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translation of foreign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at June 30,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158,193,217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101,603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11,224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11,733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124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(47,747)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76,269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5 of 20</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right="4860"/>
        <w:spacing w:after="0" w:line="260" w:lineRule="auto"/>
        <w:rPr>
          <w:sz w:val="20"/>
          <w:szCs w:val="20"/>
          <w:color w:val="auto"/>
        </w:rPr>
      </w:pPr>
      <w:r>
        <w:rPr>
          <w:rFonts w:ascii="Arial" w:cs="Arial" w:eastAsia="Arial" w:hAnsi="Arial"/>
          <w:sz w:val="18"/>
          <w:szCs w:val="18"/>
          <w:b w:val="1"/>
          <w:bCs w:val="1"/>
          <w:color w:val="auto"/>
        </w:rPr>
        <w:t>CONDENSED INTERIM CONSOLIDATED STATEMENT OF CASH FLOWS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675640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1480" w:type="dxa"/>
            <w:vAlign w:val="bottom"/>
            <w:gridSpan w:val="5"/>
          </w:tcPr>
          <w:p>
            <w:pPr>
              <w:jc w:val="right"/>
              <w:ind w:right="261"/>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(14,717)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(4,363)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for items not affecting cash:</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4,773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Accretion of convertible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 accretion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612</w:t>
            </w:r>
          </w:p>
        </w:tc>
        <w:tc>
          <w:tcPr>
            <w:tcW w:w="2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foreign currency translation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changes in non-cash working capital items: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(346)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Purchase of investment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(250)</w:t>
            </w:r>
          </w:p>
        </w:tc>
        <w:tc>
          <w:tcPr>
            <w:tcW w:w="6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 of intangible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w:t>
            </w:r>
          </w:p>
        </w:tc>
        <w:tc>
          <w:tcPr>
            <w:tcW w:w="6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Purchase of equipment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(49)</w:t>
            </w:r>
          </w:p>
        </w:tc>
        <w:tc>
          <w:tcPr>
            <w:tcW w:w="6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(395)</w:t>
            </w:r>
          </w:p>
        </w:tc>
        <w:tc>
          <w:tcPr>
            <w:tcW w:w="6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9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issuance of common shares,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Issuance of convertible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capital on founders’ round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Shares issued for cash - warrant exercise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Shares issued for cash - options exercise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Effects of exchange rate changes on cash</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6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tcPr>
          <w:p>
            <w:pPr>
              <w:spacing w:after="0"/>
              <w:rPr>
                <w:sz w:val="20"/>
                <w:szCs w:val="20"/>
                <w:color w:val="auto"/>
              </w:rPr>
            </w:pPr>
            <w:r>
              <w:rPr>
                <w:rFonts w:ascii="Arial" w:cs="Arial" w:eastAsia="Arial" w:hAnsi="Arial"/>
                <w:sz w:val="18"/>
                <w:szCs w:val="18"/>
                <w:b w:val="1"/>
                <w:bCs w:val="1"/>
                <w:color w:val="auto"/>
              </w:rPr>
              <w:t>Change in cash</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(8,951)</w:t>
            </w: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64,026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55,075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6 of 20</w:t>
      </w:r>
    </w:p>
    <w:p>
      <w:pPr>
        <w:sectPr>
          <w:pgSz w:w="11900" w:h="16838" w:orient="portrait"/>
          <w:cols w:equalWidth="0" w:num="1">
            <w:col w:w="11020"/>
          </w:cols>
          <w:pgMar w:left="440" w:top="270" w:right="43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 AND CONTINUANCE OF OPERATIONS</w:t>
      </w:r>
    </w:p>
    <w:p>
      <w:pPr>
        <w:spacing w:after="0" w:line="121" w:lineRule="exact"/>
        <w:rPr>
          <w:rFonts w:ascii="Arial" w:cs="Arial" w:eastAsia="Arial" w:hAnsi="Arial"/>
          <w:sz w:val="18"/>
          <w:szCs w:val="18"/>
          <w:b w:val="1"/>
          <w:bCs w:val="1"/>
          <w:color w:val="auto"/>
        </w:rPr>
      </w:pPr>
    </w:p>
    <w:p>
      <w:pPr>
        <w:jc w:val="both"/>
        <w:ind w:left="444"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Cybin Inc. (“Cybin”), was incorporated under the Business Corporations Act (British Columbia) on October 13, 2016. These condensed interim consolidated financial statements include the accounts of the Company’s six subsidiaries (together, with Cybin, the “Company”): Cybin Corp., Natures Journey Inc. (“Journey”), Serenity Life Sciences Inc. (“Serenity”), Cybin US Holdings Inc. (“Cybin US”), Adelia Therapeutics Inc. (“Adelia”) and Cybin IRL Limited. The Company’s head office, principal address and registered address and records office is 100 King Street West, Suite 5600, Toronto, Ontario M5X 1C9.</w:t>
      </w:r>
    </w:p>
    <w:p>
      <w:pPr>
        <w:spacing w:after="0" w:line="79" w:lineRule="exact"/>
        <w:rPr>
          <w:rFonts w:ascii="Arial" w:cs="Arial" w:eastAsia="Arial" w:hAnsi="Arial"/>
          <w:sz w:val="18"/>
          <w:szCs w:val="18"/>
          <w:b w:val="1"/>
          <w:bCs w:val="1"/>
          <w:color w:val="auto"/>
        </w:rPr>
      </w:pPr>
    </w:p>
    <w:p>
      <w:pPr>
        <w:jc w:val="both"/>
        <w:ind w:left="444"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Cybin carries on business through its wholly owned subsidiary Cybin Corp. Cybin Corp was incorporated under the Business Corporations Act (Ontario) on October 22, 2019. The Company is a biotechnology company focused on progressing psychedelic therapeutics. The Company is structuring and supporting clinical studies in North America and other regions, through strategic academic and institutional partnerships and plans to launch psilocybin-based products in jurisdictions where the substance is not banned.</w:t>
      </w:r>
    </w:p>
    <w:p>
      <w:pPr>
        <w:spacing w:after="0" w:line="63"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condensed interim consolidated financial statements as at, and for the three months ended, June 30, 2021 were approved and authorized for issue by the Board of Directors on August 13, 2021.</w:t>
      </w:r>
    </w:p>
    <w:p>
      <w:pPr>
        <w:spacing w:after="0" w:line="2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COVID 19-</w:t>
      </w:r>
    </w:p>
    <w:p>
      <w:pPr>
        <w:spacing w:after="0" w:line="117" w:lineRule="exact"/>
        <w:rPr>
          <w:rFonts w:ascii="Arial" w:cs="Arial" w:eastAsia="Arial" w:hAnsi="Arial"/>
          <w:sz w:val="18"/>
          <w:szCs w:val="18"/>
          <w:b w:val="1"/>
          <w:bCs w:val="1"/>
          <w:color w:val="auto"/>
        </w:rPr>
      </w:pPr>
    </w:p>
    <w:p>
      <w:pPr>
        <w:jc w:val="both"/>
        <w:ind w:left="444"/>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March 2020, the outbreak of the novel strain of corona virus, specifically identified as “COVID-19”,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in future periods.</w:t>
      </w:r>
    </w:p>
    <w:p>
      <w:pPr>
        <w:spacing w:after="0" w:line="28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Reverse takeover-</w:t>
      </w:r>
    </w:p>
    <w:p>
      <w:pPr>
        <w:spacing w:after="0" w:line="117" w:lineRule="exact"/>
        <w:rPr>
          <w:rFonts w:ascii="Arial" w:cs="Arial" w:eastAsia="Arial" w:hAnsi="Arial"/>
          <w:sz w:val="18"/>
          <w:szCs w:val="18"/>
          <w:b w:val="1"/>
          <w:bCs w:val="1"/>
          <w:color w:val="auto"/>
        </w:rPr>
      </w:pPr>
    </w:p>
    <w:p>
      <w:pPr>
        <w:jc w:val="both"/>
        <w:ind w:left="444"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November 5, 2020, Cybin (formerly Clarmin Explorations Inc.) completed a reverse takeover transaction pursuant to the terms of an amalgamation agreement dated June 26, 2020, as amended on October 21, 2020, among Cybin, Cybin Corp. and 2762898 Ontario Inc. (“SubCo”), a wholly-owned subsidiary of Cybin (the “Reverse Takeover”). The Reverse Takeover was completed by way of a “three-cornered” amalgamation pursuant to the provisions of the Business Corporations Act (Ontario) whereby Cybin Corp. amalgamated with SubCo to form an amalgamated corporation and a wholly owned subsidiary of Cybin. Effective November 5, 2020, Cybin completed a consolidation of its common shares on the basis of 6.672 old common shares into one new common share of Cybin (each, a “Common Share”). All shares and per share amounts have been restated to reflect the share consolidation retrospectively.</w:t>
      </w:r>
    </w:p>
    <w:p>
      <w:pPr>
        <w:spacing w:after="0" w:line="69" w:lineRule="exact"/>
        <w:rPr>
          <w:rFonts w:ascii="Arial" w:cs="Arial" w:eastAsia="Arial" w:hAnsi="Arial"/>
          <w:sz w:val="18"/>
          <w:szCs w:val="18"/>
          <w:b w:val="1"/>
          <w:bCs w:val="1"/>
          <w:color w:val="auto"/>
        </w:rPr>
      </w:pPr>
    </w:p>
    <w:p>
      <w:pPr>
        <w:jc w:val="both"/>
        <w:ind w:left="444"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xml:space="preserve">In accordance with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substance of the reverse takeover is a takeover of a non-operating company. The Reverse Takeover does not constitute a business combination as Clarmin Explorations Inc. did not meet the definition of a business under IFRS 3. As a result, the transaction has been accounted for as a capital transaction with Cybin Corp. being identified as the acquirer and the equity consideration being measured at fair value. The resulting consolidated financial statements are presented as a continuation of Cybin Corp. and comparative figures presented in the condensed interim consolidated financial statements are those of Cybin Corp.</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7 of 20</w:t>
      </w:r>
    </w:p>
    <w:p>
      <w:pPr>
        <w:sectPr>
          <w:pgSz w:w="11900" w:h="16838" w:orient="portrait"/>
          <w:cols w:equalWidth="0" w:num="1">
            <w:col w:w="11024"/>
          </w:cols>
          <w:pgMar w:left="436" w:top="270"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Stock exchange listing –</w:t>
      </w:r>
    </w:p>
    <w:p>
      <w:pPr>
        <w:spacing w:after="0" w:line="117" w:lineRule="exact"/>
        <w:rPr>
          <w:sz w:val="20"/>
          <w:szCs w:val="20"/>
          <w:color w:val="auto"/>
        </w:rPr>
      </w:pPr>
    </w:p>
    <w:p>
      <w:pPr>
        <w:jc w:val="both"/>
        <w:ind w:left="444"/>
        <w:spacing w:after="0" w:line="259" w:lineRule="auto"/>
        <w:rPr>
          <w:sz w:val="20"/>
          <w:szCs w:val="20"/>
          <w:color w:val="auto"/>
        </w:rPr>
      </w:pPr>
      <w:r>
        <w:rPr>
          <w:rFonts w:ascii="Arial" w:cs="Arial" w:eastAsia="Arial" w:hAnsi="Arial"/>
          <w:sz w:val="18"/>
          <w:szCs w:val="18"/>
          <w:color w:val="auto"/>
        </w:rPr>
        <w:t>On November 10, 2020, the Common Shares became listed for trading on the NEO Exchange under the trading symbol “CYBN”. On March 8, 2021, the Common Shares commenced trading on the OTCQB</w:t>
      </w:r>
      <w:r>
        <w:rPr>
          <w:rFonts w:ascii="Arial" w:cs="Arial" w:eastAsia="Arial" w:hAnsi="Arial"/>
          <w:sz w:val="15"/>
          <w:szCs w:val="15"/>
          <w:color w:val="auto"/>
        </w:rPr>
        <w:t>®</w:t>
      </w:r>
      <w:r>
        <w:rPr>
          <w:rFonts w:ascii="Arial" w:cs="Arial" w:eastAsia="Arial" w:hAnsi="Arial"/>
          <w:sz w:val="18"/>
          <w:szCs w:val="18"/>
          <w:color w:val="auto"/>
        </w:rPr>
        <w:t xml:space="preserve"> Venture Market under the symbol “CLXPF”. On August 5, 2021, the Common Shares commenced trading on the NYSE American LLC under the symbol “CYBN” and concurrently ceased trading on the OTCQB</w:t>
      </w:r>
      <w:r>
        <w:rPr>
          <w:rFonts w:ascii="Arial" w:cs="Arial" w:eastAsia="Arial" w:hAnsi="Arial"/>
          <w:sz w:val="15"/>
          <w:szCs w:val="15"/>
          <w:color w:val="auto"/>
        </w:rPr>
        <w:t>®</w:t>
      </w:r>
      <w:r>
        <w:rPr>
          <w:rFonts w:ascii="Arial" w:cs="Arial" w:eastAsia="Arial" w:hAnsi="Arial"/>
          <w:sz w:val="18"/>
          <w:szCs w:val="18"/>
          <w:color w:val="auto"/>
        </w:rPr>
        <w:t xml:space="preserve"> Venture Market under the symbol “CLXPF” (see note 15).</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Acquisition –</w:t>
      </w:r>
    </w:p>
    <w:p>
      <w:pPr>
        <w:spacing w:after="0" w:line="117" w:lineRule="exact"/>
        <w:rPr>
          <w:sz w:val="20"/>
          <w:szCs w:val="20"/>
          <w:color w:val="auto"/>
        </w:rPr>
      </w:pPr>
    </w:p>
    <w:p>
      <w:pPr>
        <w:jc w:val="both"/>
        <w:ind w:left="444"/>
        <w:spacing w:after="0" w:line="259" w:lineRule="auto"/>
        <w:rPr>
          <w:sz w:val="20"/>
          <w:szCs w:val="20"/>
          <w:color w:val="auto"/>
        </w:rPr>
      </w:pPr>
      <w:r>
        <w:rPr>
          <w:rFonts w:ascii="Arial" w:cs="Arial" w:eastAsia="Arial" w:hAnsi="Arial"/>
          <w:sz w:val="18"/>
          <w:szCs w:val="18"/>
          <w:color w:val="auto"/>
        </w:rPr>
        <w:t>On December 14, 2020, the Company completed its acquisition of Adelia by issuing shares of Cybin US that are exchangeable into Common Shares (the “Adelia Transaction”). These Cybin US exchangeable shares were issued in place of Common Shares to permit the deferral of US tax by the former shareholders of Adelia. These condensed interim consolidated financial statements reflect these Cybin US exchangeable shares as if they have already been exchanged for Common Shares.</w:t>
      </w:r>
    </w:p>
    <w:p>
      <w:pPr>
        <w:spacing w:after="0" w:line="331" w:lineRule="exact"/>
        <w:rPr>
          <w:sz w:val="20"/>
          <w:szCs w:val="20"/>
          <w:color w:val="auto"/>
        </w:rPr>
      </w:pPr>
    </w:p>
    <w:p>
      <w:pPr>
        <w:ind w:left="444" w:right="4560" w:hanging="444"/>
        <w:spacing w:after="0" w:line="377" w:lineRule="auto"/>
        <w:tabs>
          <w:tab w:leader="none" w:pos="43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AND BASIS OF PREPARATION </w:t>
      </w:r>
      <w:r>
        <w:rPr>
          <w:rFonts w:ascii="Arial" w:cs="Arial" w:eastAsia="Arial" w:hAnsi="Arial"/>
          <w:sz w:val="18"/>
          <w:szCs w:val="18"/>
          <w:b w:val="1"/>
          <w:bCs w:val="1"/>
          <w:i w:val="1"/>
          <w:iCs w:val="1"/>
          <w:u w:val="single" w:color="auto"/>
          <w:color w:val="auto"/>
        </w:rPr>
        <w:t>Statement of compliance</w:t>
      </w:r>
    </w:p>
    <w:p>
      <w:pPr>
        <w:spacing w:after="0" w:line="1" w:lineRule="exact"/>
        <w:rPr>
          <w:rFonts w:ascii="Arial" w:cs="Arial" w:eastAsia="Arial" w:hAnsi="Arial"/>
          <w:sz w:val="18"/>
          <w:szCs w:val="18"/>
          <w:b w:val="1"/>
          <w:bCs w:val="1"/>
          <w:color w:val="auto"/>
        </w:rPr>
      </w:pPr>
    </w:p>
    <w:p>
      <w:pPr>
        <w:jc w:val="both"/>
        <w:ind w:left="444"/>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These condensed interim consolidated financial statements for the three months ended June 30, 2021 have been prepared in accordance with International Accounting Standard 34 “Interim Financial Reporting”. Accordingly, certain information and footnote disclosure normally included in annual financial statements prepared in accordance with International Financial Reporting Standards (“IFRS”) have been omitted or condensed.</w:t>
      </w:r>
    </w:p>
    <w:p>
      <w:pPr>
        <w:spacing w:after="0" w:line="40" w:lineRule="exact"/>
        <w:rPr>
          <w:rFonts w:ascii="Arial" w:cs="Arial" w:eastAsia="Arial" w:hAnsi="Arial"/>
          <w:sz w:val="18"/>
          <w:szCs w:val="18"/>
          <w:b w:val="1"/>
          <w:bCs w:val="1"/>
          <w:color w:val="auto"/>
        </w:rPr>
      </w:pPr>
    </w:p>
    <w:p>
      <w:pPr>
        <w:jc w:val="both"/>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2021.</w:t>
      </w:r>
    </w:p>
    <w:p>
      <w:pPr>
        <w:spacing w:after="0" w:line="75"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condensed interim consolidated financial statements should be read in conjunction with the consolidated financial statements for the year ended March 31, 2021.</w:t>
      </w:r>
    </w:p>
    <w:p>
      <w:pPr>
        <w:spacing w:after="0" w:line="2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Basis of measurement</w:t>
      </w:r>
    </w:p>
    <w:p>
      <w:pPr>
        <w:spacing w:after="0" w:line="117"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2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Functional and presentation currency</w:t>
      </w:r>
    </w:p>
    <w:p>
      <w:pPr>
        <w:spacing w:after="0" w:line="117"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62"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condensed interim consolidated financial statements are presented in Canadian dollars, the Company’s presentation currency. The Company’s and its subsidiaries functional currencies are as follows: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8 of 20</w:t>
      </w:r>
    </w:p>
    <w:p>
      <w:pPr>
        <w:sectPr>
          <w:pgSz w:w="11900" w:h="16838" w:orient="portrait"/>
          <w:cols w:equalWidth="0" w:num="1">
            <w:col w:w="11024"/>
          </w:cols>
          <w:pgMar w:left="436" w:top="270"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left="4" w:right="384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Entity</w:t>
            </w:r>
          </w:p>
        </w:tc>
        <w:tc>
          <w:tcPr>
            <w:tcW w:w="3280" w:type="dxa"/>
            <w:vAlign w:val="bottom"/>
          </w:tcPr>
          <w:p>
            <w:pPr>
              <w:spacing w:after="0"/>
              <w:rPr>
                <w:sz w:val="16"/>
                <w:szCs w:val="16"/>
                <w:color w:val="auto"/>
              </w:rPr>
            </w:pPr>
          </w:p>
        </w:tc>
        <w:tc>
          <w:tcPr>
            <w:tcW w:w="3520" w:type="dxa"/>
            <w:vAlign w:val="bottom"/>
            <w:gridSpan w:val="2"/>
          </w:tcPr>
          <w:p>
            <w:pPr>
              <w:ind w:left="2300"/>
              <w:spacing w:after="0"/>
              <w:rPr>
                <w:sz w:val="20"/>
                <w:szCs w:val="20"/>
                <w:color w:val="auto"/>
              </w:rPr>
            </w:pPr>
            <w:r>
              <w:rPr>
                <w:rFonts w:ascii="Arial" w:cs="Arial" w:eastAsia="Arial" w:hAnsi="Arial"/>
                <w:sz w:val="14"/>
                <w:szCs w:val="14"/>
                <w:b w:val="1"/>
                <w:bCs w:val="1"/>
                <w:color w:val="auto"/>
              </w:rPr>
              <w:t>Currency</w:t>
            </w:r>
          </w:p>
        </w:tc>
        <w:tc>
          <w:tcPr>
            <w:tcW w:w="1160" w:type="dxa"/>
            <w:vAlign w:val="bottom"/>
            <w:gridSpan w:val="2"/>
          </w:tcPr>
          <w:p>
            <w:pPr>
              <w:ind w:left="480"/>
              <w:spacing w:after="0"/>
              <w:rPr>
                <w:sz w:val="20"/>
                <w:szCs w:val="20"/>
                <w:color w:val="auto"/>
              </w:rPr>
            </w:pPr>
            <w:r>
              <w:rPr>
                <w:rFonts w:ascii="Arial" w:cs="Arial" w:eastAsia="Arial" w:hAnsi="Arial"/>
                <w:sz w:val="14"/>
                <w:szCs w:val="14"/>
                <w:b w:val="1"/>
                <w:bCs w:val="1"/>
                <w:color w:val="auto"/>
                <w:w w:val="91"/>
              </w:rPr>
              <w:t>Ownership</w:t>
            </w: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Cybin Corp.</w:t>
            </w:r>
          </w:p>
        </w:tc>
        <w:tc>
          <w:tcPr>
            <w:tcW w:w="23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Canadian dollars</w:t>
            </w: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100%</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Journey</w:t>
            </w:r>
          </w:p>
        </w:tc>
        <w:tc>
          <w:tcPr>
            <w:tcW w:w="3520" w:type="dxa"/>
            <w:vAlign w:val="bottom"/>
            <w:gridSpan w:val="2"/>
          </w:tcPr>
          <w:p>
            <w:pPr>
              <w:ind w:left="2300"/>
              <w:spacing w:after="0"/>
              <w:rPr>
                <w:sz w:val="20"/>
                <w:szCs w:val="20"/>
                <w:color w:val="auto"/>
              </w:rPr>
            </w:pPr>
            <w:r>
              <w:rPr>
                <w:rFonts w:ascii="Arial" w:cs="Arial" w:eastAsia="Arial" w:hAnsi="Arial"/>
                <w:sz w:val="18"/>
                <w:szCs w:val="18"/>
                <w:color w:val="auto"/>
                <w:w w:val="88"/>
              </w:rPr>
              <w:t>Canadian dollars</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100%</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Serenity</w:t>
            </w:r>
          </w:p>
        </w:tc>
        <w:tc>
          <w:tcPr>
            <w:tcW w:w="35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88"/>
              </w:rPr>
              <w:t>Canadian dollars</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100%</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Cybin US</w:t>
            </w:r>
          </w:p>
        </w:tc>
        <w:tc>
          <w:tcPr>
            <w:tcW w:w="3520" w:type="dxa"/>
            <w:vAlign w:val="bottom"/>
            <w:gridSpan w:val="2"/>
          </w:tcPr>
          <w:p>
            <w:pPr>
              <w:ind w:left="2300"/>
              <w:spacing w:after="0"/>
              <w:rPr>
                <w:sz w:val="20"/>
                <w:szCs w:val="20"/>
                <w:color w:val="auto"/>
              </w:rPr>
            </w:pPr>
            <w:r>
              <w:rPr>
                <w:rFonts w:ascii="Arial" w:cs="Arial" w:eastAsia="Arial" w:hAnsi="Arial"/>
                <w:sz w:val="18"/>
                <w:szCs w:val="18"/>
                <w:color w:val="auto"/>
              </w:rPr>
              <w:t>U.S. dollars</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1</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Adelia</w:t>
            </w:r>
          </w:p>
        </w:tc>
        <w:tc>
          <w:tcPr>
            <w:tcW w:w="35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U.S. dollars</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100%</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Cybin IRL Limited</w:t>
            </w:r>
          </w:p>
        </w:tc>
        <w:tc>
          <w:tcPr>
            <w:tcW w:w="3520" w:type="dxa"/>
            <w:vAlign w:val="bottom"/>
            <w:gridSpan w:val="2"/>
          </w:tcPr>
          <w:p>
            <w:pPr>
              <w:ind w:left="2300"/>
              <w:spacing w:after="0"/>
              <w:rPr>
                <w:sz w:val="20"/>
                <w:szCs w:val="20"/>
                <w:color w:val="auto"/>
              </w:rPr>
            </w:pPr>
            <w:r>
              <w:rPr>
                <w:rFonts w:ascii="Arial" w:cs="Arial" w:eastAsia="Arial" w:hAnsi="Arial"/>
                <w:sz w:val="18"/>
                <w:szCs w:val="18"/>
                <w:color w:val="auto"/>
              </w:rPr>
              <w:t>U.S. dollars</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2</w:t>
            </w:r>
          </w:p>
        </w:tc>
      </w:tr>
    </w:tbl>
    <w:p>
      <w:pPr>
        <w:spacing w:after="0" w:line="93"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4"/>
          <w:szCs w:val="14"/>
          <w:i w:val="1"/>
          <w:iCs w:val="1"/>
          <w:color w:val="auto"/>
        </w:rPr>
      </w:pPr>
      <w:r>
        <w:rPr>
          <w:rFonts w:ascii="Arial" w:cs="Arial" w:eastAsia="Arial" w:hAnsi="Arial"/>
          <w:sz w:val="17"/>
          <w:szCs w:val="17"/>
          <w:i w:val="1"/>
          <w:iCs w:val="1"/>
          <w:color w:val="auto"/>
        </w:rPr>
        <w:t>For accounting purposes, Cybin US is a wholly-owned subsidiary of Cybin. Certain former shareholders of Adelia hold non-voting shares in</w:t>
      </w:r>
    </w:p>
    <w:p>
      <w:pPr>
        <w:spacing w:after="0" w:line="23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5"/>
          <w:szCs w:val="15"/>
          <w:i w:val="1"/>
          <w:iCs w:val="1"/>
          <w:color w:val="auto"/>
        </w:rPr>
      </w:pPr>
      <w:r>
        <w:rPr>
          <w:rFonts w:ascii="Arial" w:cs="Arial" w:eastAsia="Arial" w:hAnsi="Arial"/>
          <w:sz w:val="18"/>
          <w:szCs w:val="18"/>
          <w:i w:val="1"/>
          <w:iCs w:val="1"/>
          <w:color w:val="auto"/>
        </w:rPr>
        <w:t>Cybin IRL Ltd. was not active as of June 30, 2021 and therefore no balances were consolidated in these financial statements.</w:t>
      </w:r>
    </w:p>
    <w:p>
      <w:pPr>
        <w:spacing w:after="0" w:line="333" w:lineRule="exact"/>
        <w:rPr>
          <w:rFonts w:ascii="Arial" w:cs="Arial" w:eastAsia="Arial" w:hAnsi="Arial"/>
          <w:sz w:val="15"/>
          <w:szCs w:val="15"/>
          <w:i w:val="1"/>
          <w:iCs w:val="1"/>
          <w:color w:val="auto"/>
        </w:rPr>
      </w:pPr>
    </w:p>
    <w:p>
      <w:pPr>
        <w:ind w:left="444"/>
        <w:spacing w:after="0"/>
        <w:rPr>
          <w:rFonts w:ascii="Arial" w:cs="Arial" w:eastAsia="Arial" w:hAnsi="Arial"/>
          <w:sz w:val="15"/>
          <w:szCs w:val="15"/>
          <w:i w:val="1"/>
          <w:iCs w:val="1"/>
          <w:color w:val="auto"/>
        </w:rPr>
      </w:pPr>
      <w:r>
        <w:rPr>
          <w:rFonts w:ascii="Arial" w:cs="Arial" w:eastAsia="Arial" w:hAnsi="Arial"/>
          <w:sz w:val="18"/>
          <w:szCs w:val="18"/>
          <w:b w:val="1"/>
          <w:bCs w:val="1"/>
          <w:i w:val="1"/>
          <w:iCs w:val="1"/>
          <w:u w:val="single" w:color="auto"/>
          <w:color w:val="auto"/>
        </w:rPr>
        <w:t>Significant accounting policies</w:t>
      </w:r>
    </w:p>
    <w:p>
      <w:pPr>
        <w:spacing w:after="0" w:line="117" w:lineRule="exact"/>
        <w:rPr>
          <w:rFonts w:ascii="Arial" w:cs="Arial" w:eastAsia="Arial" w:hAnsi="Arial"/>
          <w:sz w:val="15"/>
          <w:szCs w:val="15"/>
          <w:i w:val="1"/>
          <w:iCs w:val="1"/>
          <w:color w:val="auto"/>
        </w:rPr>
      </w:pPr>
    </w:p>
    <w:p>
      <w:pPr>
        <w:ind w:left="444"/>
        <w:spacing w:after="0" w:line="277" w:lineRule="auto"/>
        <w:rPr>
          <w:rFonts w:ascii="Arial" w:cs="Arial" w:eastAsia="Arial" w:hAnsi="Arial"/>
          <w:sz w:val="15"/>
          <w:szCs w:val="15"/>
          <w:i w:val="1"/>
          <w:iCs w:val="1"/>
          <w:color w:val="auto"/>
        </w:rPr>
      </w:pPr>
      <w:r>
        <w:rPr>
          <w:rFonts w:ascii="Arial" w:cs="Arial" w:eastAsia="Arial" w:hAnsi="Arial"/>
          <w:sz w:val="18"/>
          <w:szCs w:val="18"/>
          <w:color w:val="auto"/>
        </w:rPr>
        <w:t>These condensed interim consolidated financial statements have been prepared using the same accounting policies and methods as those used in the Company’s annual consolidated financial statements for the year ended March 31, 2021.</w:t>
      </w:r>
    </w:p>
    <w:p>
      <w:pPr>
        <w:spacing w:after="0" w:line="278" w:lineRule="exact"/>
        <w:rPr>
          <w:rFonts w:ascii="Arial" w:cs="Arial" w:eastAsia="Arial" w:hAnsi="Arial"/>
          <w:sz w:val="15"/>
          <w:szCs w:val="15"/>
          <w:i w:val="1"/>
          <w:iCs w:val="1"/>
          <w:color w:val="auto"/>
        </w:rPr>
      </w:pPr>
    </w:p>
    <w:p>
      <w:pPr>
        <w:ind w:left="444"/>
        <w:spacing w:after="0"/>
        <w:rPr>
          <w:rFonts w:ascii="Arial" w:cs="Arial" w:eastAsia="Arial" w:hAnsi="Arial"/>
          <w:sz w:val="15"/>
          <w:szCs w:val="15"/>
          <w:i w:val="1"/>
          <w:iCs w:val="1"/>
          <w:color w:val="auto"/>
        </w:rPr>
      </w:pPr>
      <w:r>
        <w:rPr>
          <w:rFonts w:ascii="Arial" w:cs="Arial" w:eastAsia="Arial" w:hAnsi="Arial"/>
          <w:sz w:val="18"/>
          <w:szCs w:val="18"/>
          <w:b w:val="1"/>
          <w:bCs w:val="1"/>
          <w:i w:val="1"/>
          <w:iCs w:val="1"/>
          <w:u w:val="single" w:color="auto"/>
          <w:color w:val="auto"/>
        </w:rPr>
        <w:t>Use of significant estimates and assumptions</w:t>
      </w:r>
    </w:p>
    <w:p>
      <w:pPr>
        <w:spacing w:after="0" w:line="117" w:lineRule="exact"/>
        <w:rPr>
          <w:rFonts w:ascii="Arial" w:cs="Arial" w:eastAsia="Arial" w:hAnsi="Arial"/>
          <w:sz w:val="15"/>
          <w:szCs w:val="15"/>
          <w:i w:val="1"/>
          <w:iCs w:val="1"/>
          <w:color w:val="auto"/>
        </w:rPr>
      </w:pPr>
    </w:p>
    <w:p>
      <w:pPr>
        <w:jc w:val="both"/>
        <w:ind w:left="444"/>
        <w:spacing w:after="0" w:line="286" w:lineRule="auto"/>
        <w:rPr>
          <w:rFonts w:ascii="Arial" w:cs="Arial" w:eastAsia="Arial" w:hAnsi="Arial"/>
          <w:sz w:val="15"/>
          <w:szCs w:val="15"/>
          <w:i w:val="1"/>
          <w:iCs w:val="1"/>
          <w:color w:val="auto"/>
        </w:rPr>
      </w:pPr>
      <w:r>
        <w:rPr>
          <w:rFonts w:ascii="Arial" w:cs="Arial" w:eastAsia="Arial" w:hAnsi="Arial"/>
          <w:sz w:val="17"/>
          <w:szCs w:val="17"/>
          <w:color w:val="auto"/>
        </w:rPr>
        <w:t>The preparation of financial statements in accordance with IAS 34 requires the use of certain significant estimates and assumptions. It also requires management to exercise judgment when applying the Company’s accounting policies. The critical accounting estimates and judgments have been set out in note 3 of the Company’s annual consolidated financial statements for the year ended March 31, 2021.</w:t>
      </w:r>
    </w:p>
    <w:p>
      <w:pPr>
        <w:spacing w:after="0" w:line="273" w:lineRule="exact"/>
        <w:rPr>
          <w:rFonts w:ascii="Arial" w:cs="Arial" w:eastAsia="Arial" w:hAnsi="Arial"/>
          <w:sz w:val="15"/>
          <w:szCs w:val="15"/>
          <w:i w:val="1"/>
          <w:iCs w:val="1"/>
          <w:color w:val="auto"/>
        </w:rPr>
      </w:pPr>
    </w:p>
    <w:p>
      <w:pPr>
        <w:ind w:left="444"/>
        <w:spacing w:after="0"/>
        <w:rPr>
          <w:rFonts w:ascii="Arial" w:cs="Arial" w:eastAsia="Arial" w:hAnsi="Arial"/>
          <w:sz w:val="15"/>
          <w:szCs w:val="15"/>
          <w:i w:val="1"/>
          <w:iCs w:val="1"/>
          <w:color w:val="auto"/>
        </w:rPr>
      </w:pPr>
      <w:r>
        <w:rPr>
          <w:rFonts w:ascii="Arial" w:cs="Arial" w:eastAsia="Arial" w:hAnsi="Arial"/>
          <w:sz w:val="18"/>
          <w:szCs w:val="18"/>
          <w:b w:val="1"/>
          <w:bCs w:val="1"/>
          <w:i w:val="1"/>
          <w:iCs w:val="1"/>
          <w:u w:val="single" w:color="auto"/>
          <w:color w:val="auto"/>
        </w:rPr>
        <w:t>New standards and interpretations not yet adopted</w:t>
      </w:r>
    </w:p>
    <w:p>
      <w:pPr>
        <w:spacing w:after="0" w:line="117" w:lineRule="exact"/>
        <w:rPr>
          <w:rFonts w:ascii="Arial" w:cs="Arial" w:eastAsia="Arial" w:hAnsi="Arial"/>
          <w:sz w:val="15"/>
          <w:szCs w:val="15"/>
          <w:i w:val="1"/>
          <w:iCs w:val="1"/>
          <w:color w:val="auto"/>
        </w:rPr>
      </w:pPr>
    </w:p>
    <w:p>
      <w:pPr>
        <w:jc w:val="both"/>
        <w:ind w:left="444"/>
        <w:spacing w:after="0" w:line="263" w:lineRule="auto"/>
        <w:rPr>
          <w:rFonts w:ascii="Arial" w:cs="Arial" w:eastAsia="Arial" w:hAnsi="Arial"/>
          <w:sz w:val="15"/>
          <w:szCs w:val="15"/>
          <w:i w:val="1"/>
          <w:iCs w:val="1"/>
          <w:color w:val="auto"/>
        </w:rPr>
      </w:pPr>
      <w:r>
        <w:rPr>
          <w:rFonts w:ascii="Arial" w:cs="Arial" w:eastAsia="Arial" w:hAnsi="Arial"/>
          <w:sz w:val="18"/>
          <w:szCs w:val="18"/>
          <w:color w:val="auto"/>
        </w:rPr>
        <w:t>A number of new standards, amendments to standards and interpretations are not yet effective at June 30, 2021, and have not been applied in preparing these condensed interim consolidated financial statements. Management has determined that none of these will have a significant effect on these condensed interim consolidated financial statements of the Company.</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w:t>
        <w:tab/>
        <w:t>CASH AND CASH EQUIVALENTS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40" w:type="dxa"/>
            <w:vAlign w:val="bottom"/>
          </w:tcPr>
          <w:p>
            <w:pPr>
              <w:spacing w:after="0"/>
              <w:rPr>
                <w:sz w:val="20"/>
                <w:szCs w:val="20"/>
                <w:color w:val="auto"/>
              </w:rPr>
            </w:pPr>
            <w:r>
              <w:rPr>
                <w:rFonts w:ascii="Arial" w:cs="Arial" w:eastAsia="Arial" w:hAnsi="Arial"/>
                <w:sz w:val="14"/>
                <w:szCs w:val="14"/>
                <w:b w:val="1"/>
                <w:bCs w:val="1"/>
                <w:color w:val="auto"/>
              </w:rPr>
              <w:t>As at</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2021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March 31, 2021</w:t>
            </w:r>
          </w:p>
        </w:tc>
      </w:tr>
      <w:tr>
        <w:trPr>
          <w:trHeight w:val="171"/>
        </w:trPr>
        <w:tc>
          <w:tcPr>
            <w:tcW w:w="594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$000’s</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$000’s</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in bank</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64,026</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color w:val="auto"/>
              </w:rPr>
              <w:t>Redeemable GICs earning interest at a rate of 0.40% and maturing on</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5940" w:type="dxa"/>
            <w:vAlign w:val="bottom"/>
          </w:tcPr>
          <w:p>
            <w:pPr>
              <w:ind w:left="180"/>
              <w:spacing w:after="0"/>
              <w:rPr>
                <w:sz w:val="20"/>
                <w:szCs w:val="20"/>
                <w:color w:val="auto"/>
              </w:rPr>
            </w:pPr>
            <w:r>
              <w:rPr>
                <w:rFonts w:ascii="Arial" w:cs="Arial" w:eastAsia="Arial" w:hAnsi="Arial"/>
                <w:sz w:val="18"/>
                <w:szCs w:val="18"/>
                <w:color w:val="auto"/>
              </w:rPr>
              <w:t>May 12,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20"/>
                <w:szCs w:val="20"/>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55,075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64,026</w:t>
            </w:r>
          </w:p>
        </w:tc>
      </w:tr>
      <w:tr>
        <w:trPr>
          <w:trHeight w:val="20"/>
        </w:trPr>
        <w:tc>
          <w:tcPr>
            <w:tcW w:w="5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9 of 20</w:t>
      </w:r>
    </w:p>
    <w:p>
      <w:pPr>
        <w:sectPr>
          <w:pgSz w:w="11900" w:h="16838" w:orient="portrait"/>
          <w:cols w:equalWidth="0" w:num="1">
            <w:col w:w="11004"/>
          </w:cols>
          <w:pgMar w:left="436" w:top="270"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jc w:val="both"/>
        <w:ind w:left="444"/>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June 8, 2021, the Company entered into a subscription agreement with RxLive Limited (“RxLive”) whereby the Company purchased $250 of 10.0% unsecured convertible redeemable debentures (the “Rx Debentures”). RxLive is a UK-based online platform that connects pharmacists and patients through a secure app that allows for pharmacist consultations, initial or renewal prescription fulfilment and delivery of prescription medication. The Rx Debentures mature and become due on June 8, 2022, unless any equity financing is completed by 1301376 B.C. Ltd. (“Finco”) concurrent with a go public transaction, in which case the Rx Debentures automatically convert into units at a price of equal to 80% of the offering price. Each unit is to consist of one common share of Finco (a “Finco Share”) and one Finco Share purchase warrant, with each warrant being exercisable to acquire one Finco Share at a price equal to 125% of the conversion price (the “Rx Conversion Feature”). As a result of the transaction, the Company recorded a hybrid financial instrument representing the Rx Debentures and the Rx Conversion Feature (the “Rx Hybrid Instrument”). The fair value of the Rx Hybrid Instrument was $250 determined by the sum of the fair values of the Rx Debenture and Rx Conversion Feature derived respectively using the discounted cash flow approach and the Black-Scholes model.</w:t>
      </w:r>
    </w:p>
    <w:p>
      <w:pPr>
        <w:spacing w:after="0" w:line="60" w:lineRule="exact"/>
        <w:rPr>
          <w:rFonts w:ascii="Arial" w:cs="Arial" w:eastAsia="Arial" w:hAnsi="Arial"/>
          <w:sz w:val="18"/>
          <w:szCs w:val="18"/>
          <w:b w:val="1"/>
          <w:bCs w:val="1"/>
          <w:color w:val="auto"/>
        </w:rPr>
      </w:pPr>
    </w:p>
    <w:p>
      <w:pPr>
        <w:jc w:val="both"/>
        <w:ind w:left="444"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Concurrent with the purchase of the Rx Debentures, the Company entered into a side letter to be the exclusive partner for RxLive’s products and services in the psychedelics space. In addition, Cybin has agreed to participate in a private placement of subscription receipts of Finco in an amount of up to $500 and also has a right of first refusal to purchase any new securities of RxLive until the completion of certain events described in the side letter (together, the “RxLive Derivatives”).</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EQUIPMENT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Equipment consists as follows:</w:t>
      </w:r>
    </w:p>
    <w:p>
      <w:pPr>
        <w:spacing w:after="0" w:line="231"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w:t>
            </w:r>
          </w:p>
        </w:tc>
        <w:tc>
          <w:tcPr>
            <w:tcW w:w="17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Lab</w:t>
            </w: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Computer</w:t>
            </w:r>
          </w:p>
        </w:tc>
        <w:tc>
          <w:tcPr>
            <w:tcW w:w="540" w:type="dxa"/>
            <w:vAlign w:val="bottom"/>
          </w:tcPr>
          <w:p>
            <w:pPr>
              <w:spacing w:after="0"/>
              <w:rPr>
                <w:sz w:val="13"/>
                <w:szCs w:val="13"/>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60" w:type="dxa"/>
            <w:vAlign w:val="bottom"/>
            <w:gridSpan w:val="2"/>
            <w:vMerge w:val="continue"/>
          </w:tcPr>
          <w:p>
            <w:pPr>
              <w:spacing w:after="0"/>
              <w:rPr>
                <w:sz w:val="12"/>
                <w:szCs w:val="12"/>
                <w:color w:val="auto"/>
              </w:rPr>
            </w:pPr>
          </w:p>
        </w:tc>
        <w:tc>
          <w:tcPr>
            <w:tcW w:w="2740" w:type="dxa"/>
            <w:vAlign w:val="bottom"/>
            <w:gridSpan w:val="3"/>
          </w:tcPr>
          <w:p>
            <w:pPr>
              <w:jc w:val="center"/>
              <w:ind w:left="1375"/>
              <w:spacing w:after="0" w:line="149" w:lineRule="exact"/>
              <w:rPr>
                <w:sz w:val="20"/>
                <w:szCs w:val="20"/>
                <w:color w:val="auto"/>
              </w:rPr>
            </w:pPr>
            <w:r>
              <w:rPr>
                <w:rFonts w:ascii="Arial" w:cs="Arial" w:eastAsia="Arial" w:hAnsi="Arial"/>
                <w:sz w:val="14"/>
                <w:szCs w:val="14"/>
                <w:b w:val="1"/>
                <w:bCs w:val="1"/>
                <w:color w:val="auto"/>
                <w:w w:val="93"/>
              </w:rPr>
              <w:t>Equipment</w:t>
            </w:r>
          </w:p>
        </w:tc>
        <w:tc>
          <w:tcPr>
            <w:tcW w:w="92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Equipment</w:t>
            </w:r>
          </w:p>
        </w:tc>
        <w:tc>
          <w:tcPr>
            <w:tcW w:w="5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$000’s</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$000’s</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March 31, 2021</w:t>
            </w:r>
          </w:p>
        </w:tc>
        <w:tc>
          <w:tcPr>
            <w:tcW w:w="1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Additions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Balance as at June 30, 2021</w:t>
            </w:r>
          </w:p>
        </w:tc>
        <w:tc>
          <w:tcPr>
            <w:tcW w:w="17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5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Balance as at March 31, 2021</w:t>
            </w:r>
          </w:p>
        </w:tc>
        <w:tc>
          <w:tcPr>
            <w:tcW w:w="17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5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Effect of foreign exchange</w:t>
            </w:r>
          </w:p>
        </w:tc>
        <w:tc>
          <w:tcPr>
            <w:tcW w:w="176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June 30, 2021</w:t>
            </w:r>
          </w:p>
        </w:tc>
        <w:tc>
          <w:tcPr>
            <w:tcW w:w="1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book value as at March 31, 2021</w:t>
            </w:r>
          </w:p>
        </w:tc>
        <w:tc>
          <w:tcPr>
            <w:tcW w:w="176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5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as at June 30, 2021</w:t>
            </w:r>
          </w:p>
        </w:tc>
        <w:tc>
          <w:tcPr>
            <w:tcW w:w="1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10 of 20</w:t>
      </w:r>
    </w:p>
    <w:p>
      <w:pPr>
        <w:sectPr>
          <w:pgSz w:w="11900" w:h="16838" w:orient="portrait"/>
          <w:cols w:equalWidth="0" w:num="1">
            <w:col w:w="11024"/>
          </w:cols>
          <w:pgMar w:left="436" w:top="270"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left="4" w:right="384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w:t>
        <w:tab/>
        <w:t>INTANGIBLE ASSETS</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Cost</w:t>
            </w:r>
          </w:p>
        </w:tc>
        <w:tc>
          <w:tcPr>
            <w:tcW w:w="3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Patents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Software</w:t>
            </w:r>
          </w:p>
        </w:tc>
        <w:tc>
          <w:tcPr>
            <w:tcW w:w="4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71"/>
        </w:trPr>
        <w:tc>
          <w:tcPr>
            <w:tcW w:w="4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000’s</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$000’s</w:t>
            </w:r>
          </w:p>
        </w:tc>
        <w:tc>
          <w:tcPr>
            <w:tcW w:w="4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000’s</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March 31, 2021</w:t>
            </w:r>
          </w:p>
        </w:tc>
        <w:tc>
          <w:tcPr>
            <w:tcW w:w="2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1,701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Additions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w:t>
            </w:r>
          </w:p>
        </w:tc>
        <w:tc>
          <w:tcPr>
            <w:tcW w:w="3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Balance as at June 30, 2021</w:t>
            </w:r>
          </w:p>
        </w:tc>
        <w:tc>
          <w:tcPr>
            <w:tcW w:w="23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1,736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1,751</w:t>
            </w:r>
          </w:p>
        </w:tc>
        <w:tc>
          <w:tcPr>
            <w:tcW w:w="12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44" w:right="8180" w:hanging="444"/>
        <w:spacing w:after="0" w:line="425" w:lineRule="auto"/>
        <w:tabs>
          <w:tab w:leader="none" w:pos="43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CONTINGENT LIABILITIES Former Adelia shareholders –</w:t>
      </w:r>
    </w:p>
    <w:p>
      <w:pPr>
        <w:ind w:left="444"/>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has commitments to the former shareholders of Adelia based on milestone achievements. Milestone payments are earned and paid quarterly over the next two years. The discounted fair value of these payments are as follows:</w:t>
      </w:r>
    </w:p>
    <w:p>
      <w:pPr>
        <w:sectPr>
          <w:pgSz w:w="11900" w:h="16838" w:orient="portrait"/>
          <w:cols w:equalWidth="0" w:num="1">
            <w:col w:w="11004"/>
          </w:cols>
          <w:pgMar w:left="436" w:top="270" w:right="459" w:bottom="1440" w:gutter="0" w:footer="0" w:header="0"/>
        </w:sectPr>
      </w:pPr>
    </w:p>
    <w:p>
      <w:pPr>
        <w:spacing w:after="0" w:line="346"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-121920</wp:posOffset>
            </wp:positionV>
            <wp:extent cx="474916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2023</w:t>
      </w:r>
    </w:p>
    <w:p>
      <w:pPr>
        <w:spacing w:after="0" w:line="31"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Balance as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-119380</wp:posOffset>
            </wp:positionV>
            <wp:extent cx="47491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63" w:lineRule="exact"/>
        <w:rPr>
          <w:sz w:val="20"/>
          <w:szCs w:val="20"/>
          <w:color w:val="auto"/>
        </w:rPr>
      </w:pPr>
    </w:p>
    <w:p>
      <w:pPr>
        <w:jc w:val="center"/>
        <w:ind w:left="444"/>
        <w:spacing w:after="0"/>
        <w:rPr>
          <w:sz w:val="20"/>
          <w:szCs w:val="20"/>
          <w:color w:val="auto"/>
        </w:rPr>
      </w:pPr>
      <w:r>
        <w:rPr>
          <w:rFonts w:ascii="Arial" w:cs="Arial" w:eastAsia="Arial" w:hAnsi="Arial"/>
          <w:sz w:val="16"/>
          <w:szCs w:val="16"/>
          <w:color w:val="auto"/>
        </w:rPr>
        <w:t>The following table presents the change in the carrying value of the contingent consideration during the year.</w:t>
      </w:r>
    </w:p>
    <w:p>
      <w:pPr>
        <w:spacing w:after="0" w:line="200" w:lineRule="exact"/>
        <w:rPr>
          <w:sz w:val="20"/>
          <w:szCs w:val="20"/>
          <w:color w:val="auto"/>
        </w:rPr>
      </w:pPr>
    </w:p>
    <w:p>
      <w:pPr>
        <w:spacing w:after="0" w:line="224"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Balance as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-121920</wp:posOffset>
            </wp:positionV>
            <wp:extent cx="474916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Milestone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14605</wp:posOffset>
            </wp:positionV>
            <wp:extent cx="474916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Accretion expense</w:t>
      </w:r>
    </w:p>
    <w:p>
      <w:pPr>
        <w:spacing w:after="0" w:line="18"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Balance as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-119380</wp:posOffset>
            </wp:positionV>
            <wp:extent cx="474916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$000’s</w:t>
      </w:r>
    </w:p>
    <w:p>
      <w:pPr>
        <w:spacing w:after="0" w:line="25"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2,746</w:t>
      </w:r>
    </w:p>
    <w:p>
      <w:pPr>
        <w:spacing w:after="0" w:line="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91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u w:val="single" w:color="auto"/>
          <w:color w:val="auto"/>
        </w:rPr>
        <w:t>3,516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48895</wp:posOffset>
            </wp:positionV>
            <wp:extent cx="291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$000’s</w:t>
      </w:r>
    </w:p>
    <w:p>
      <w:pPr>
        <w:spacing w:after="0" w:line="25" w:lineRule="exact"/>
        <w:rPr>
          <w:sz w:val="20"/>
          <w:szCs w:val="20"/>
          <w:color w:val="auto"/>
        </w:rPr>
      </w:pPr>
    </w:p>
    <w:p>
      <w:pPr>
        <w:jc w:val="right"/>
        <w:ind w:right="1860"/>
        <w:spacing w:after="0"/>
        <w:rPr>
          <w:sz w:val="20"/>
          <w:szCs w:val="20"/>
          <w:color w:val="auto"/>
        </w:rPr>
      </w:pPr>
      <w:r>
        <w:rPr>
          <w:rFonts w:ascii="Arial" w:cs="Arial" w:eastAsia="Arial" w:hAnsi="Arial"/>
          <w:sz w:val="16"/>
          <w:szCs w:val="16"/>
          <w:color w:val="auto"/>
        </w:rPr>
        <w:t>3,201</w:t>
      </w:r>
    </w:p>
    <w:p>
      <w:pPr>
        <w:spacing w:after="0" w:line="3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(458)</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612</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5715</wp:posOffset>
            </wp:positionV>
            <wp:extent cx="291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u w:val="single" w:color="auto"/>
          <w:color w:val="auto"/>
        </w:rPr>
        <w:t>3,516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34290</wp:posOffset>
            </wp:positionV>
            <wp:extent cx="291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8284" w:space="440"/>
            <w:col w:w="2280"/>
          </w:cols>
          <w:pgMar w:left="436" w:top="270" w:right="459" w:bottom="1440" w:gutter="0" w:footer="0" w:header="0"/>
          <w:type w:val="continuous"/>
        </w:sectPr>
      </w:pPr>
    </w:p>
    <w:p>
      <w:pPr>
        <w:jc w:val="both"/>
        <w:ind w:left="444"/>
        <w:spacing w:after="0" w:line="263" w:lineRule="auto"/>
        <w:rPr>
          <w:sz w:val="20"/>
          <w:szCs w:val="20"/>
          <w:color w:val="auto"/>
        </w:rPr>
      </w:pPr>
      <w:r>
        <w:rPr>
          <w:rFonts w:ascii="Arial" w:cs="Arial" w:eastAsia="Arial" w:hAnsi="Arial"/>
          <w:sz w:val="18"/>
          <w:szCs w:val="18"/>
          <w:color w:val="auto"/>
        </w:rPr>
        <w:t>As a result of changes in fair value of the contingent liabilities, during the three-month period ended June 30, 2021, the Company recorded an expense of $612 in the statement of loss as “Change in fair value of contingent consideration”. In addition, the Company recorded an accretion expense of $161 in the statement of loss as “Contingent liability accretion”.</w:t>
      </w:r>
    </w:p>
    <w:p>
      <w:pPr>
        <w:spacing w:after="0" w:line="28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Other contingent liabilities –</w:t>
      </w:r>
    </w:p>
    <w:p>
      <w:pPr>
        <w:spacing w:after="0" w:line="121" w:lineRule="exact"/>
        <w:rPr>
          <w:sz w:val="20"/>
          <w:szCs w:val="20"/>
          <w:color w:val="auto"/>
        </w:rPr>
      </w:pPr>
    </w:p>
    <w:p>
      <w:pPr>
        <w:jc w:val="both"/>
        <w:ind w:left="444"/>
        <w:spacing w:after="0" w:line="308" w:lineRule="auto"/>
        <w:rPr>
          <w:sz w:val="20"/>
          <w:szCs w:val="20"/>
          <w:color w:val="auto"/>
        </w:rPr>
      </w:pPr>
      <w:r>
        <w:rPr>
          <w:rFonts w:ascii="Arial" w:cs="Arial" w:eastAsia="Arial" w:hAnsi="Arial"/>
          <w:sz w:val="17"/>
          <w:szCs w:val="17"/>
          <w:color w:val="auto"/>
        </w:rPr>
        <w:t>The Company is currently involved in settlement negotiations in connection with the dismissal of a former employee. Management is of the opinion that any resulting settlement would not materially affect the Company’s consolidated financial position or financial results.</w:t>
      </w:r>
    </w:p>
    <w:p>
      <w:pPr>
        <w:spacing w:after="0" w:line="29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Authorized share capital</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Unlimited number of Common Shares and an unlimited number of preferred shares without par value.</w:t>
      </w:r>
    </w:p>
    <w:p>
      <w:pPr>
        <w:spacing w:after="0" w:line="126" w:lineRule="exact"/>
        <w:rPr>
          <w:rFonts w:ascii="Arial" w:cs="Arial" w:eastAsia="Arial" w:hAnsi="Arial"/>
          <w:sz w:val="18"/>
          <w:szCs w:val="18"/>
          <w:b w:val="1"/>
          <w:bCs w:val="1"/>
          <w:color w:val="auto"/>
        </w:rPr>
      </w:pPr>
    </w:p>
    <w:p>
      <w:pPr>
        <w:ind w:left="964" w:hanging="532"/>
        <w:spacing w:after="0"/>
        <w:tabs>
          <w:tab w:leader="none" w:pos="964"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Issued share capital</w:t>
      </w:r>
    </w:p>
    <w:p>
      <w:pPr>
        <w:spacing w:after="0" w:line="121" w:lineRule="exact"/>
        <w:rPr>
          <w:rFonts w:ascii="Arial" w:cs="Arial" w:eastAsia="Arial" w:hAnsi="Arial"/>
          <w:sz w:val="18"/>
          <w:szCs w:val="18"/>
          <w:b w:val="1"/>
          <w:bCs w:val="1"/>
          <w:color w:val="auto"/>
        </w:rPr>
      </w:pPr>
    </w:p>
    <w:p>
      <w:pPr>
        <w:jc w:val="both"/>
        <w:ind w:left="98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June 24, 2021 Adelia completed the remaining requirements of the second milestone. Accordingly, 15,777.10 Cybin US class B shares (“Class B Shares”) were issued to the Adelia Shareholders, amounting to $458. The Class B Shares are exchangeable for a total of 157,771 Common Shares, representing an effective issue price of $2.90 per Common Share. As at June 30, 2021, 978,020.4 Class B Shares were outstanding, which are exchangeable for a total of 9,780,204 Common Shares. No Class B Shares are exchangeable prior to the first anniversary of closing of the Adelia Transaction, and not more than: (i) 33 1/3% of the Class B Shares are to be exchangeable prior to the second anniversary of the Adelia Transaction; (ii) 66 2/3% of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11 of 20</w:t>
      </w:r>
    </w:p>
    <w:p>
      <w:pPr>
        <w:sectPr>
          <w:pgSz w:w="11900" w:h="16838" w:orient="portrait"/>
          <w:cols w:equalWidth="0" w:num="1">
            <w:col w:w="11004"/>
          </w:cols>
          <w:pgMar w:left="436" w:top="270" w:right="4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right="384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Class B Shares are to be exchangeable prior to the third anniversary of the Adelia Transaction; and (iii) thereafter, 100% of the Class B Shares are to be exchangeable.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at June 30, 2021, the Company has 25,091,534 Common Shares held in escrow (March 31, 2021 - 37,637,300).</w:t>
      </w:r>
    </w:p>
    <w:p>
      <w:pPr>
        <w:spacing w:after="0" w:line="127"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The continuity of the outstanding warrants is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178"/>
        </w:trPr>
        <w:tc>
          <w:tcPr>
            <w:tcW w:w="6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As at April 1, 2021</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3"/>
              </w:rPr>
              <w:t>29,564,977</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(256,031)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at June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29,308,946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Exercisable as at June 30, 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26,758,946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During the three-month period ended June 30, 2021, 256,031 warrants were exercised by various holders for aggregate proceeds to the Company of $199.</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summarizes information about warrants outstanding at June 30, 2021:</w:t>
      </w:r>
    </w:p>
    <w:p>
      <w:pPr>
        <w:spacing w:after="0" w:line="23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3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Warrants</w:t>
            </w:r>
          </w:p>
        </w:tc>
        <w:tc>
          <w:tcPr>
            <w:tcW w:w="340" w:type="dxa"/>
            <w:vAlign w:val="bottom"/>
          </w:tcPr>
          <w:p>
            <w:pPr>
              <w:spacing w:after="0"/>
              <w:rPr>
                <w:sz w:val="12"/>
                <w:szCs w:val="12"/>
                <w:color w:val="auto"/>
              </w:rPr>
            </w:pPr>
          </w:p>
        </w:tc>
        <w:tc>
          <w:tcPr>
            <w:tcW w:w="8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Warrants</w:t>
            </w:r>
          </w:p>
        </w:tc>
        <w:tc>
          <w:tcPr>
            <w:tcW w:w="3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average of</w:t>
            </w: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remaining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exercisable</w:t>
            </w:r>
          </w:p>
        </w:tc>
        <w:tc>
          <w:tcPr>
            <w:tcW w:w="980" w:type="dxa"/>
            <w:vAlign w:val="bottom"/>
            <w:gridSpan w:val="2"/>
          </w:tcPr>
          <w:p>
            <w:pPr>
              <w:jc w:val="center"/>
              <w:ind w:left="252"/>
              <w:spacing w:after="0" w:line="149" w:lineRule="exact"/>
              <w:rPr>
                <w:sz w:val="20"/>
                <w:szCs w:val="20"/>
                <w:color w:val="auto"/>
              </w:rPr>
            </w:pPr>
            <w:r>
              <w:rPr>
                <w:rFonts w:ascii="Arial" w:cs="Arial" w:eastAsia="Arial" w:hAnsi="Arial"/>
                <w:sz w:val="14"/>
                <w:szCs w:val="14"/>
                <w:b w:val="1"/>
                <w:bCs w:val="1"/>
                <w:color w:val="auto"/>
                <w:w w:val="94"/>
              </w:rPr>
              <w:t>grant date</w:t>
            </w:r>
          </w:p>
        </w:tc>
        <w:tc>
          <w:tcPr>
            <w:tcW w:w="3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71"/>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Expiry date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34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exercisable</w:t>
            </w:r>
          </w:p>
        </w:tc>
        <w:tc>
          <w:tcPr>
            <w:tcW w:w="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29"/>
        </w:trPr>
        <w:tc>
          <w:tcPr>
            <w:tcW w:w="3600" w:type="dxa"/>
            <w:vAlign w:val="bottom"/>
            <w:gridSpan w:val="3"/>
            <w:vMerge w:val="continue"/>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$000’s</w:t>
            </w:r>
          </w:p>
        </w:tc>
        <w:tc>
          <w:tcPr>
            <w:tcW w:w="36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Years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28-Feb-22</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32,500</w:t>
            </w:r>
          </w:p>
        </w:tc>
        <w:tc>
          <w:tcPr>
            <w:tcW w:w="1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32,500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15-Jun-22</w:t>
            </w:r>
          </w:p>
        </w:tc>
        <w:tc>
          <w:tcPr>
            <w:tcW w:w="860" w:type="dxa"/>
            <w:vAlign w:val="bottom"/>
          </w:tcPr>
          <w:p>
            <w:pPr>
              <w:jc w:val="right"/>
              <w:spacing w:after="0"/>
              <w:rPr>
                <w:sz w:val="20"/>
                <w:szCs w:val="20"/>
                <w:color w:val="auto"/>
              </w:rPr>
            </w:pPr>
            <w:r>
              <w:rPr>
                <w:rFonts w:ascii="Arial" w:cs="Arial" w:eastAsia="Arial" w:hAnsi="Arial"/>
                <w:sz w:val="18"/>
                <w:szCs w:val="18"/>
                <w:color w:val="auto"/>
              </w:rPr>
              <w:t>2,018,000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768,000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16-Jun-22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26-Jun-22</w:t>
            </w:r>
          </w:p>
        </w:tc>
        <w:tc>
          <w:tcPr>
            <w:tcW w:w="860" w:type="dxa"/>
            <w:vAlign w:val="bottom"/>
          </w:tcPr>
          <w:p>
            <w:pPr>
              <w:jc w:val="right"/>
              <w:spacing w:after="0"/>
              <w:rPr>
                <w:sz w:val="20"/>
                <w:szCs w:val="20"/>
                <w:color w:val="auto"/>
              </w:rPr>
            </w:pPr>
            <w:r>
              <w:rPr>
                <w:rFonts w:ascii="Arial" w:cs="Arial" w:eastAsia="Arial" w:hAnsi="Arial"/>
                <w:sz w:val="18"/>
                <w:szCs w:val="18"/>
                <w:color w:val="auto"/>
              </w:rPr>
              <w:t>199,275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199,275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19-Oct-22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03-Nov-22</w:t>
            </w:r>
          </w:p>
        </w:tc>
        <w:tc>
          <w:tcPr>
            <w:tcW w:w="860" w:type="dxa"/>
            <w:vAlign w:val="bottom"/>
          </w:tcPr>
          <w:p>
            <w:pPr>
              <w:jc w:val="right"/>
              <w:spacing w:after="0"/>
              <w:rPr>
                <w:sz w:val="20"/>
                <w:szCs w:val="20"/>
                <w:color w:val="auto"/>
              </w:rPr>
            </w:pPr>
            <w:r>
              <w:rPr>
                <w:rFonts w:ascii="Arial" w:cs="Arial" w:eastAsia="Arial" w:hAnsi="Arial"/>
                <w:sz w:val="18"/>
                <w:szCs w:val="18"/>
                <w:color w:val="auto"/>
              </w:rPr>
              <w:t>1,955,000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1,955,000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01-Feb-24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7,623,000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04-Feb-24</w:t>
            </w:r>
          </w:p>
        </w:tc>
        <w:tc>
          <w:tcPr>
            <w:tcW w:w="860" w:type="dxa"/>
            <w:vAlign w:val="bottom"/>
          </w:tcPr>
          <w:p>
            <w:pPr>
              <w:jc w:val="right"/>
              <w:spacing w:after="0"/>
              <w:rPr>
                <w:sz w:val="20"/>
                <w:szCs w:val="20"/>
                <w:color w:val="auto"/>
              </w:rPr>
            </w:pPr>
            <w:r>
              <w:rPr>
                <w:rFonts w:ascii="Arial" w:cs="Arial" w:eastAsia="Arial" w:hAnsi="Arial"/>
                <w:sz w:val="18"/>
                <w:szCs w:val="18"/>
                <w:color w:val="auto"/>
              </w:rPr>
              <w:t>868,740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868,740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15-Jun-25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20-Aug-25</w:t>
            </w:r>
          </w:p>
        </w:tc>
        <w:tc>
          <w:tcPr>
            <w:tcW w:w="860" w:type="dxa"/>
            <w:vAlign w:val="bottom"/>
          </w:tcPr>
          <w:p>
            <w:pPr>
              <w:jc w:val="right"/>
              <w:spacing w:after="0"/>
              <w:rPr>
                <w:sz w:val="20"/>
                <w:szCs w:val="20"/>
                <w:color w:val="auto"/>
              </w:rPr>
            </w:pPr>
            <w:r>
              <w:rPr>
                <w:rFonts w:ascii="Arial" w:cs="Arial" w:eastAsia="Arial" w:hAnsi="Arial"/>
                <w:sz w:val="18"/>
                <w:szCs w:val="18"/>
                <w:color w:val="auto"/>
              </w:rPr>
              <w:t>2,000,125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1,200,125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14-Sep-25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29,308,946</w:t>
            </w: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26,758,946</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11,224</w:t>
            </w:r>
          </w:p>
        </w:tc>
        <w:tc>
          <w:tcPr>
            <w:tcW w:w="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at June 30, 2021, the Company has 6,250,063 warrants held in escrow (March 31, 2021 - 9,375,094).</w:t>
      </w:r>
    </w:p>
    <w:p>
      <w:pPr>
        <w:spacing w:after="0" w:line="117"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Company recognized share-based payments expense related to the issuance of warrants for the three-month period ended June 30, 2021 of $105.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20</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p>
    <w:p>
      <w:pPr>
        <w:spacing w:after="0" w:line="121" w:lineRule="exact"/>
        <w:rPr>
          <w:rFonts w:ascii="Arial" w:cs="Arial" w:eastAsia="Arial" w:hAnsi="Arial"/>
          <w:sz w:val="18"/>
          <w:szCs w:val="18"/>
          <w:b w:val="1"/>
          <w:bCs w:val="1"/>
          <w:color w:val="auto"/>
        </w:rPr>
      </w:pPr>
    </w:p>
    <w:p>
      <w:pPr>
        <w:jc w:val="both"/>
        <w:ind w:left="98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5, 2020, Cybin adopted a new equity incentive plan. Under the Company’s equity incentive plan, the Board of Directors may grant share-based awards to acquire such number of Common Shares as is equal to up to 20% of the total number of issued and outstanding Common Shares of the Company at the time such awards are granted. Options granted under the plan vest over a period of time at the discretion of the board of directors.</w:t>
      </w:r>
    </w:p>
    <w:p>
      <w:pPr>
        <w:spacing w:after="0" w:line="78"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The changes in options are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5720" w:type="dxa"/>
            <w:vAlign w:val="bottom"/>
          </w:tcPr>
          <w:p>
            <w:pPr>
              <w:spacing w:after="0"/>
              <w:rPr>
                <w:sz w:val="14"/>
                <w:szCs w:val="14"/>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 price</w:t>
            </w:r>
          </w:p>
        </w:tc>
      </w:tr>
      <w:tr>
        <w:trPr>
          <w:trHeight w:val="142"/>
        </w:trPr>
        <w:tc>
          <w:tcPr>
            <w:tcW w:w="5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As at April 1, 2021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22,032,452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3,834,000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(325,000)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Outstanding as at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25,541,452</w:t>
            </w:r>
          </w:p>
        </w:tc>
        <w:tc>
          <w:tcPr>
            <w:tcW w:w="6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4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at June 30, 2021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9,707,335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0.98</w:t>
            </w:r>
          </w:p>
        </w:tc>
      </w:tr>
      <w:tr>
        <w:trPr>
          <w:trHeight w:val="20"/>
        </w:trPr>
        <w:tc>
          <w:tcPr>
            <w:tcW w:w="5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On June 28, 2021, the Company granted 3,259,000 options to purchase up to: 1,975,000 Common Shares to executive officers, 1,090,000 Common Shares to employees, and 194,000 Common Shares to consultants, with an exercise price of $2.90 per Common Share and vesting over a 24-month period expiring June 28, 2026. On the same date, the Company granted 550,000 options to purchase 550,000 Common Shares to consultants with an exercise price of $2.90 per Common Share and vesting over a 12-month period expiring June 28, 2026. In addition, the Company granted 25,000 options to purchase 25,000 Common Shares to a consultant that vested immediately with an exercise price of $2.90 expiring June 28, 2026.</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estimated grant date fair value of the 3,834,000 options granted on June 28, 2021 was determined to be $7,994, calculated using the</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annual volatility, based on comparable companies</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95.00%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Exercise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r>
    </w:tbl>
    <w:p>
      <w:pPr>
        <w:spacing w:after="0" w:line="107"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During the three-month period ended June 30, 2021, 325,000 options were exercised by various holders for aggregate proceeds to the Company of $130.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20</w:t>
      </w:r>
    </w:p>
    <w:p>
      <w:pPr>
        <w:sectPr>
          <w:pgSz w:w="11900" w:h="16838" w:orient="portrait"/>
          <w:cols w:equalWidth="0" w:num="1">
            <w:col w:w="11020"/>
          </w:cols>
          <w:pgMar w:left="440" w:top="270" w:right="43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following summarizes information about stock options outstanding on June 30, 2021:</w:t>
      </w:r>
    </w:p>
    <w:p>
      <w:pPr>
        <w:spacing w:after="0" w:line="231" w:lineRule="exact"/>
        <w:rPr>
          <w:sz w:val="20"/>
          <w:szCs w:val="20"/>
          <w:color w:val="auto"/>
        </w:rPr>
      </w:pPr>
    </w:p>
    <w:tbl>
      <w:tblPr>
        <w:tblLayout w:type="fixed"/>
        <w:tblInd w:w="9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Exercise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3"/>
          </w:tcPr>
          <w:p>
            <w:pPr>
              <w:jc w:val="center"/>
              <w:ind w:left="251"/>
              <w:spacing w:after="0" w:line="149" w:lineRule="exact"/>
              <w:rPr>
                <w:sz w:val="20"/>
                <w:szCs w:val="20"/>
                <w:color w:val="auto"/>
              </w:rPr>
            </w:pPr>
            <w:r>
              <w:rPr>
                <w:rFonts w:ascii="Arial" w:cs="Arial" w:eastAsia="Arial" w:hAnsi="Arial"/>
                <w:sz w:val="14"/>
                <w:szCs w:val="14"/>
                <w:b w:val="1"/>
                <w:bCs w:val="1"/>
                <w:color w:val="auto"/>
                <w:w w:val="92"/>
              </w:rPr>
              <w:t>estimated grant</w:t>
            </w:r>
          </w:p>
        </w:tc>
        <w:tc>
          <w:tcPr>
            <w:tcW w:w="0" w:type="dxa"/>
            <w:vAlign w:val="bottom"/>
          </w:tcPr>
          <w:p>
            <w:pPr>
              <w:spacing w:after="0"/>
              <w:rPr>
                <w:sz w:val="1"/>
                <w:szCs w:val="1"/>
                <w:color w:val="auto"/>
              </w:rPr>
            </w:pPr>
          </w:p>
        </w:tc>
      </w:tr>
      <w:tr>
        <w:trPr>
          <w:trHeight w:val="171"/>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Expiry date</w:t>
            </w:r>
          </w:p>
        </w:tc>
        <w:tc>
          <w:tcPr>
            <w:tcW w:w="9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exercisable</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 life</w:t>
            </w:r>
          </w:p>
        </w:tc>
        <w:tc>
          <w:tcPr>
            <w:tcW w:w="4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28"/>
        </w:trPr>
        <w:tc>
          <w:tcPr>
            <w:tcW w:w="240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$000’s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27, 2022</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0.91</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1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December 11, 2022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59,952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June 15, 2025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1,431,250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22, 2025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October 12, 2025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November 13, 2025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11, 2025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December 14, 2025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2,264,100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846,536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January 2, 2026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February 16, 2026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1,870,900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1,433,972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March 15, 2026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March 29, 2026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June 28, 2026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3,834,000</w:t>
            </w:r>
          </w:p>
        </w:tc>
        <w:tc>
          <w:tcPr>
            <w:tcW w:w="4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25,541,452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9,707,335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84" w:right="20"/>
        <w:spacing w:after="0" w:line="277" w:lineRule="auto"/>
        <w:rPr>
          <w:sz w:val="20"/>
          <w:szCs w:val="20"/>
          <w:color w:val="auto"/>
        </w:rPr>
      </w:pPr>
      <w:r>
        <w:rPr>
          <w:rFonts w:ascii="Arial" w:cs="Arial" w:eastAsia="Arial" w:hAnsi="Arial"/>
          <w:sz w:val="18"/>
          <w:szCs w:val="18"/>
          <w:color w:val="auto"/>
        </w:rPr>
        <w:t>The Company recognized share-based payments expense related to the issuance of stock options for the three-month period ended June 30, 2021 of $4,668.</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As at June 30, 2021, the Company has 5,650,000 options held in escrow (March 31, 2021 - 8,475,000).</w:t>
      </w:r>
    </w:p>
    <w:p>
      <w:pPr>
        <w:spacing w:after="0" w:line="117" w:lineRule="exact"/>
        <w:rPr>
          <w:sz w:val="20"/>
          <w:szCs w:val="20"/>
          <w:color w:val="auto"/>
        </w:rPr>
      </w:pPr>
    </w:p>
    <w:p>
      <w:pPr>
        <w:ind w:left="984" w:right="20"/>
        <w:spacing w:after="0" w:line="277" w:lineRule="auto"/>
        <w:rPr>
          <w:sz w:val="20"/>
          <w:szCs w:val="20"/>
          <w:color w:val="auto"/>
        </w:rPr>
      </w:pPr>
      <w:r>
        <w:rPr>
          <w:rFonts w:ascii="Arial" w:cs="Arial" w:eastAsia="Arial" w:hAnsi="Arial"/>
          <w:sz w:val="18"/>
          <w:szCs w:val="18"/>
          <w:color w:val="auto"/>
        </w:rPr>
        <w:t>The outstanding options and warrants disclosed above were anti-dilutive for the current period and did not impact the calculation of the loss per share.</w:t>
      </w:r>
    </w:p>
    <w:p>
      <w:pPr>
        <w:spacing w:after="0" w:line="72"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w:t>
      </w:r>
    </w:p>
    <w:p>
      <w:pPr>
        <w:spacing w:after="0" w:line="121" w:lineRule="exact"/>
        <w:rPr>
          <w:rFonts w:ascii="Arial" w:cs="Arial" w:eastAsia="Arial" w:hAnsi="Arial"/>
          <w:sz w:val="18"/>
          <w:szCs w:val="18"/>
          <w:b w:val="1"/>
          <w:bCs w:val="1"/>
          <w:color w:val="auto"/>
        </w:rPr>
      </w:pPr>
    </w:p>
    <w:p>
      <w:pPr>
        <w:ind w:left="444"/>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14 of 20</w:t>
      </w:r>
    </w:p>
    <w:p>
      <w:pPr>
        <w:sectPr>
          <w:pgSz w:w="11900" w:h="16838" w:orient="portrait"/>
          <w:cols w:equalWidth="0" w:num="1">
            <w:col w:w="11024"/>
          </w:cols>
          <w:pgMar w:left="436" w:top="270"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remuneration of key management personnel for the three-month period ended June 30, 2021 are as follows: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171"/>
        </w:trPr>
        <w:tc>
          <w:tcPr>
            <w:tcW w:w="7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000’s</w:t>
            </w: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000’s</w:t>
            </w: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Consulting fees, payroll and other benefits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1,123</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Share-based payments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2,112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Warrants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2,174</w:t>
            </w:r>
          </w:p>
        </w:tc>
        <w:tc>
          <w:tcPr>
            <w:tcW w:w="40" w:type="dxa"/>
            <w:vAlign w:val="bottom"/>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3,276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2,519</w:t>
            </w:r>
          </w:p>
        </w:tc>
      </w:tr>
      <w:tr>
        <w:trPr>
          <w:trHeight w:val="20"/>
        </w:trPr>
        <w:tc>
          <w:tcPr>
            <w:tcW w:w="7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00" w:type="dxa"/>
            <w:vAlign w:val="bottom"/>
          </w:tcPr>
          <w:p>
            <w:pPr>
              <w:spacing w:after="0"/>
              <w:rPr>
                <w:sz w:val="20"/>
                <w:szCs w:val="20"/>
                <w:color w:val="auto"/>
              </w:rPr>
            </w:pPr>
            <w:r>
              <w:rPr>
                <w:rFonts w:ascii="Arial" w:cs="Arial" w:eastAsia="Arial" w:hAnsi="Arial"/>
                <w:sz w:val="14"/>
                <w:szCs w:val="14"/>
                <w:b w:val="1"/>
                <w:bCs w:val="1"/>
                <w:color w:val="auto"/>
              </w:rPr>
              <w:t>For the three-month period ended</w:t>
            </w:r>
          </w:p>
        </w:tc>
        <w:tc>
          <w:tcPr>
            <w:tcW w:w="14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June 30, 2021</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June 30, 2020</w:t>
            </w:r>
          </w:p>
        </w:tc>
      </w:tr>
      <w:tr>
        <w:trPr>
          <w:trHeight w:val="171"/>
        </w:trPr>
        <w:tc>
          <w:tcPr>
            <w:tcW w:w="6000" w:type="dxa"/>
            <w:vAlign w:val="bottom"/>
          </w:tcPr>
          <w:p>
            <w:pPr>
              <w:spacing w:after="0"/>
              <w:rPr>
                <w:sz w:val="14"/>
                <w:szCs w:val="14"/>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8"/>
              </w:rPr>
              <w:t>$000’s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$000’s</w:t>
            </w: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2,959</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Payroll, consulting and benefits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1,224</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1,068</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Office and administration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838</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Listing fees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w:t>
            </w: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AND COMMITMENTS</w:t>
      </w:r>
    </w:p>
    <w:p>
      <w:pPr>
        <w:spacing w:after="0" w:line="121" w:lineRule="exact"/>
        <w:rPr>
          <w:rFonts w:ascii="Arial" w:cs="Arial" w:eastAsia="Arial" w:hAnsi="Arial"/>
          <w:sz w:val="18"/>
          <w:szCs w:val="18"/>
          <w:b w:val="1"/>
          <w:bCs w:val="1"/>
          <w:color w:val="auto"/>
        </w:rPr>
      </w:pPr>
    </w:p>
    <w:p>
      <w:pPr>
        <w:jc w:val="both"/>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July 3, 2020, Cybin Corp. entered into a feasibility agreement (the “IntelGenx Agreement”) with IntelGenx Corp. (“IntelGenx”). IntelGenx is a TSX-listed drug delivery company that owns patented and trade secret proprietary technology related to film-based drug delivery systems, including orally soluble film strips containing active pharmaceutical ingredients. The Company has committed to fund an additional $178 for research and development, of which $60 has been paid by June 30, 2021.</w:t>
      </w:r>
    </w:p>
    <w:p>
      <w:pPr>
        <w:spacing w:after="0" w:line="78"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investment in RxLive, Cybin has agreed to participate in a private placement of subscription receipts of Finco in an amount of up to $500.</w:t>
      </w:r>
    </w:p>
    <w:p>
      <w:pPr>
        <w:spacing w:after="0" w:line="170" w:lineRule="exact"/>
        <w:rPr>
          <w:rFonts w:ascii="Arial" w:cs="Arial" w:eastAsia="Arial" w:hAnsi="Arial"/>
          <w:sz w:val="18"/>
          <w:szCs w:val="18"/>
          <w:b w:val="1"/>
          <w:bCs w:val="1"/>
          <w:color w:val="auto"/>
        </w:rPr>
      </w:pPr>
    </w:p>
    <w:p>
      <w:pPr>
        <w:jc w:val="both"/>
        <w:ind w:left="444"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at June 30, 2021, the Company had also entered into agreements for preclinical studies which may require the Company to spend up to an additional $6,318 (US$5,098). The Company expects to pay this amount within the next 18 months, however the timing and certainty of the payments are contingent on availability of materials and successful completion of certain milestones. The Company has the right to cancel the preclinical studies at its discretion, in which case a cancellation fee may apply, however the Company is not liable to pay the full amount of the study.</w:t>
      </w:r>
    </w:p>
    <w:p>
      <w:pPr>
        <w:spacing w:after="0" w:line="332" w:lineRule="exact"/>
        <w:rPr>
          <w:rFonts w:ascii="Arial" w:cs="Arial" w:eastAsia="Arial" w:hAnsi="Arial"/>
          <w:sz w:val="18"/>
          <w:szCs w:val="18"/>
          <w:b w:val="1"/>
          <w:bCs w:val="1"/>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MANAGEMENT</w:t>
      </w:r>
    </w:p>
    <w:p>
      <w:pPr>
        <w:spacing w:after="0" w:line="121"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w:t>
      </w:r>
    </w:p>
    <w:p>
      <w:pPr>
        <w:spacing w:after="0" w:line="62"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requires capital to fund existing and future operations and meet regulatory capital requirements. The Company’s policy is to maintain adequate levels of capital at all times.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15 of 20</w:t>
      </w:r>
    </w:p>
    <w:p>
      <w:pPr>
        <w:sectPr>
          <w:pgSz w:w="11900" w:h="16838" w:orient="portrait"/>
          <w:cols w:equalWidth="0" w:num="1">
            <w:col w:w="11024"/>
          </w:cols>
          <w:pgMar w:left="436" w:top="270"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Company’s capital structure includes the following:</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00" w:type="dxa"/>
            <w:vAlign w:val="bottom"/>
          </w:tcPr>
          <w:p>
            <w:pPr>
              <w:spacing w:after="0"/>
              <w:rPr>
                <w:sz w:val="20"/>
                <w:szCs w:val="20"/>
                <w:color w:val="auto"/>
              </w:rPr>
            </w:pPr>
            <w:r>
              <w:rPr>
                <w:rFonts w:ascii="Arial" w:cs="Arial" w:eastAsia="Arial" w:hAnsi="Arial"/>
                <w:sz w:val="14"/>
                <w:szCs w:val="14"/>
                <w:b w:val="1"/>
                <w:bCs w:val="1"/>
                <w:color w:val="auto"/>
              </w:rPr>
              <w:t>As at</w:t>
            </w:r>
          </w:p>
        </w:tc>
        <w:tc>
          <w:tcPr>
            <w:tcW w:w="1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June 30, 2021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March 31, 2021</w:t>
            </w:r>
          </w:p>
        </w:tc>
      </w:tr>
      <w:tr>
        <w:trPr>
          <w:trHeight w:val="171"/>
        </w:trPr>
        <w:tc>
          <w:tcPr>
            <w:tcW w:w="5900" w:type="dxa"/>
            <w:vAlign w:val="bottom"/>
          </w:tcPr>
          <w:p>
            <w:pPr>
              <w:spacing w:after="0"/>
              <w:rPr>
                <w:sz w:val="14"/>
                <w:szCs w:val="14"/>
                <w:color w:val="auto"/>
              </w:rPr>
            </w:pPr>
          </w:p>
        </w:tc>
        <w:tc>
          <w:tcPr>
            <w:tcW w:w="14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$000’s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$000’s</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Shareholders’ equity comprised of:</w:t>
            </w: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101,603</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100,676</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Contributed Surplus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Options reserve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11,733</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7,158</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reserve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11,224</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w:t>
            </w: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(668)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Deficit</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(47,747)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(33,030)</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76,269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86,118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44"/>
        <w:spacing w:after="0" w:line="257" w:lineRule="auto"/>
        <w:rPr>
          <w:sz w:val="20"/>
          <w:szCs w:val="20"/>
          <w:color w:val="auto"/>
        </w:rPr>
      </w:pPr>
      <w:r>
        <w:rPr>
          <w:rFonts w:ascii="Arial" w:cs="Arial" w:eastAsia="Arial" w:hAnsi="Arial"/>
          <w:sz w:val="18"/>
          <w:szCs w:val="18"/>
          <w:color w:val="auto"/>
        </w:rPr>
        <w:t>The Company’s objectives when managing capital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80" w:lineRule="exact"/>
        <w:rPr>
          <w:sz w:val="20"/>
          <w:szCs w:val="20"/>
          <w:color w:val="auto"/>
        </w:rPr>
      </w:pPr>
    </w:p>
    <w:p>
      <w:pPr>
        <w:jc w:val="both"/>
        <w:ind w:left="444" w:right="20"/>
        <w:spacing w:after="0" w:line="279" w:lineRule="auto"/>
        <w:rPr>
          <w:sz w:val="20"/>
          <w:szCs w:val="20"/>
          <w:color w:val="auto"/>
        </w:rPr>
      </w:pPr>
      <w:r>
        <w:rPr>
          <w:rFonts w:ascii="Arial" w:cs="Arial" w:eastAsia="Arial" w:hAnsi="Arial"/>
          <w:sz w:val="17"/>
          <w:szCs w:val="17"/>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63" w:lineRule="exact"/>
        <w:rPr>
          <w:sz w:val="20"/>
          <w:szCs w:val="20"/>
          <w:color w:val="auto"/>
        </w:rPr>
      </w:pPr>
    </w:p>
    <w:p>
      <w:pPr>
        <w:jc w:val="both"/>
        <w:ind w:left="444" w:right="20"/>
        <w:spacing w:after="0" w:line="277" w:lineRule="auto"/>
        <w:rPr>
          <w:sz w:val="20"/>
          <w:szCs w:val="20"/>
          <w:color w:val="auto"/>
        </w:rPr>
      </w:pPr>
      <w:r>
        <w:rPr>
          <w:rFonts w:ascii="Arial" w:cs="Arial" w:eastAsia="Arial" w:hAnsi="Arial"/>
          <w:sz w:val="18"/>
          <w:szCs w:val="18"/>
          <w:color w:val="auto"/>
        </w:rPr>
        <w:t>The Company’s capital management objectives, policies and processes generally remained unchanged during the three-month period ended June 30, 2021.</w:t>
      </w:r>
    </w:p>
    <w:p>
      <w:pPr>
        <w:spacing w:after="0" w:line="315"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are exposed to certain financial risks, which include currency risk, credit risk, liquidity risk and interest rate risk.</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has classified its financial instruments as follows: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40" w:type="dxa"/>
            <w:vAlign w:val="bottom"/>
          </w:tcPr>
          <w:p>
            <w:pPr>
              <w:spacing w:after="0"/>
              <w:rPr>
                <w:sz w:val="20"/>
                <w:szCs w:val="20"/>
                <w:color w:val="auto"/>
              </w:rPr>
            </w:pPr>
            <w:r>
              <w:rPr>
                <w:rFonts w:ascii="Arial" w:cs="Arial" w:eastAsia="Arial" w:hAnsi="Arial"/>
                <w:sz w:val="14"/>
                <w:szCs w:val="14"/>
                <w:b w:val="1"/>
                <w:bCs w:val="1"/>
                <w:color w:val="auto"/>
              </w:rPr>
              <w:t>As at</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2021</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March 31, 2021</w:t>
            </w:r>
          </w:p>
        </w:tc>
      </w:tr>
      <w:tr>
        <w:trPr>
          <w:trHeight w:val="171"/>
        </w:trPr>
        <w:tc>
          <w:tcPr>
            <w:tcW w:w="594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$000’s</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$000’s</w:t>
            </w: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 measured at fair value:</w:t>
            </w: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55,075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64,026</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fair value:</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3,201</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3,052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2,793</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16 of 20</w:t>
      </w:r>
    </w:p>
    <w:p>
      <w:pPr>
        <w:sectPr>
          <w:pgSz w:w="11900" w:h="16838" w:orient="portrait"/>
          <w:cols w:equalWidth="0" w:num="1">
            <w:col w:w="11024"/>
          </w:cols>
          <w:pgMar w:left="436" w:top="27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right="384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value of the Company’s financial instruments approximate their fair value.</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Fair value Hierarchy of Financial Instruments</w:t>
      </w:r>
    </w:p>
    <w:p>
      <w:pPr>
        <w:spacing w:after="0" w:line="121"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62"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Level 1: Fair value is based on unadjusted quoted prices for identical assets or liabilities in an active market. The types of assets and liabilities classified as Level 1 generally included cash.</w:t>
      </w:r>
    </w:p>
    <w:p>
      <w:pPr>
        <w:spacing w:after="0" w:line="62"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Level 3: Fair value is based on valuation techniques that require one or more significant inputs that are not based on observable market inputs.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unobservable inputs reflect the Company’s assumptions about the assumptions market participants would use in pricing the asset or liability.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investments in 3W Wellness Inc. and RxLive Limited and the contingent liabilities are classified as Level 3.</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levels of the fair value hierarchy for the three-month period endedJune 30, 2021.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quantitative information about the significant unobservable inputs used in level 3 fair value measurements:</w:t>
      </w:r>
    </w:p>
    <w:p>
      <w:pPr>
        <w:sectPr>
          <w:pgSz w:w="11900" w:h="16838" w:orient="portrait"/>
          <w:cols w:equalWidth="0" w:num="1">
            <w:col w:w="11000"/>
          </w:cols>
          <w:pgMar w:left="440" w:top="270" w:right="459" w:bottom="1440" w:gutter="0" w:footer="0" w:header="0"/>
        </w:sectPr>
      </w:pPr>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 as at</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640" w:type="dxa"/>
            <w:vAlign w:val="bottom"/>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Unobservable</w:t>
            </w:r>
          </w:p>
        </w:tc>
        <w:tc>
          <w:tcPr>
            <w:tcW w:w="7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86"/>
              </w:rPr>
              <w:t>Range of</w:t>
            </w:r>
          </w:p>
        </w:tc>
        <w:tc>
          <w:tcPr>
            <w:tcW w:w="0" w:type="dxa"/>
            <w:vAlign w:val="bottom"/>
          </w:tcPr>
          <w:p>
            <w:pPr>
              <w:spacing w:after="0"/>
              <w:rPr>
                <w:sz w:val="1"/>
                <w:szCs w:val="1"/>
                <w:color w:val="auto"/>
              </w:rPr>
            </w:pPr>
          </w:p>
        </w:tc>
      </w:tr>
      <w:tr>
        <w:trPr>
          <w:trHeight w:val="144"/>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620" w:type="dxa"/>
            <w:vAlign w:val="bottom"/>
            <w:vMerge w:val="restart"/>
          </w:tcPr>
          <w:p>
            <w:pPr>
              <w:spacing w:after="0"/>
              <w:rPr>
                <w:sz w:val="12"/>
                <w:szCs w:val="12"/>
                <w:color w:val="auto"/>
              </w:rPr>
            </w:pPr>
          </w:p>
        </w:tc>
        <w:tc>
          <w:tcPr>
            <w:tcW w:w="520" w:type="dxa"/>
            <w:vAlign w:val="bottom"/>
          </w:tcPr>
          <w:p>
            <w:pPr>
              <w:jc w:val="right"/>
              <w:ind w:right="43"/>
              <w:spacing w:after="0" w:line="14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640" w:type="dxa"/>
            <w:vAlign w:val="bottom"/>
          </w:tcPr>
          <w:p>
            <w:pPr>
              <w:jc w:val="right"/>
              <w:ind w:right="102"/>
              <w:spacing w:after="0" w:line="14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000’s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000’s</w:t>
            </w:r>
          </w:p>
        </w:tc>
        <w:tc>
          <w:tcPr>
            <w:tcW w:w="24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inputs</w:t>
            </w:r>
          </w:p>
        </w:tc>
        <w:tc>
          <w:tcPr>
            <w:tcW w:w="7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8"/>
                <w:szCs w:val="18"/>
                <w:color w:val="auto"/>
              </w:rPr>
              <w:t>3W Wellness Inc.</w:t>
            </w:r>
          </w:p>
        </w:tc>
        <w:tc>
          <w:tcPr>
            <w:tcW w:w="520" w:type="dxa"/>
            <w:vAlign w:val="bottom"/>
            <w:tcBorders>
              <w:top w:val="single" w:sz="8" w:color="auto"/>
            </w:tcBorders>
          </w:tcPr>
          <w:p>
            <w:pPr>
              <w:ind w:left="260"/>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ind w:left="380"/>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Risk</w:t>
            </w:r>
          </w:p>
        </w:tc>
        <w:tc>
          <w:tcPr>
            <w:tcW w:w="20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10</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adjusted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discount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rate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Rx Hybrid Instrument and RxLive</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250</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Fair value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Derivatives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rate of loan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and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conversion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feature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-1242695</wp:posOffset>
            </wp:positionV>
            <wp:extent cx="6429375" cy="556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9375" cy="556895"/>
                    </a:xfrm>
                    <a:prstGeom prst="rect">
                      <a:avLst/>
                    </a:prstGeom>
                    <a:noFill/>
                  </pic:spPr>
                </pic:pic>
              </a:graphicData>
            </a:graphic>
          </wp:anchor>
        </w:drawing>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Credit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Relationship of unobservable inputs to fair value</w:t>
      </w:r>
    </w:p>
    <w:p>
      <w:pPr>
        <w:spacing w:after="0" w:line="3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Increase/decrease in the risk adjusted</w:t>
      </w:r>
    </w:p>
    <w:p>
      <w:pPr>
        <w:spacing w:after="0" w:line="2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discount rate by 1% would not have a</w:t>
      </w:r>
    </w:p>
    <w:p>
      <w:pPr>
        <w:spacing w:after="0" w:line="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material effect on the fair value of the</w:t>
      </w:r>
    </w:p>
    <w:p>
      <w:pPr>
        <w:spacing w:after="0" w:line="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investment</w:t>
      </w:r>
    </w:p>
    <w:p>
      <w:pPr>
        <w:spacing w:after="0" w:line="9" w:lineRule="exact"/>
        <w:rPr>
          <w:sz w:val="20"/>
          <w:szCs w:val="20"/>
          <w:color w:val="auto"/>
        </w:rPr>
      </w:pPr>
    </w:p>
    <w:p>
      <w:pPr>
        <w:jc w:val="right"/>
        <w:ind w:right="440"/>
        <w:spacing w:after="0"/>
        <w:rPr>
          <w:sz w:val="20"/>
          <w:szCs w:val="20"/>
          <w:color w:val="auto"/>
        </w:rPr>
      </w:pPr>
      <w:r>
        <w:rPr>
          <w:rFonts w:ascii="Arial" w:cs="Arial" w:eastAsia="Arial" w:hAnsi="Arial"/>
          <w:sz w:val="16"/>
          <w:szCs w:val="16"/>
          <w:color w:val="auto"/>
        </w:rPr>
        <w:t>Increase/decrease in the fair value rate by</w:t>
      </w:r>
    </w:p>
    <w:p>
      <w:pPr>
        <w:spacing w:after="0" w:line="32" w:lineRule="exact"/>
        <w:rPr>
          <w:sz w:val="20"/>
          <w:szCs w:val="20"/>
          <w:color w:val="auto"/>
        </w:rPr>
      </w:pPr>
    </w:p>
    <w:p>
      <w:pPr>
        <w:jc w:val="both"/>
        <w:ind w:left="1100" w:right="440" w:hanging="1115"/>
        <w:spacing w:after="0" w:line="323" w:lineRule="auto"/>
        <w:rPr>
          <w:sz w:val="20"/>
          <w:szCs w:val="20"/>
          <w:color w:val="auto"/>
        </w:rPr>
      </w:pPr>
      <w:r>
        <w:rPr>
          <w:rFonts w:ascii="Arial" w:cs="Arial" w:eastAsia="Arial" w:hAnsi="Arial"/>
          <w:sz w:val="16"/>
          <w:szCs w:val="16"/>
          <w:color w:val="auto"/>
        </w:rPr>
        <w:t>1% would not have a material effect on the fair value of the investment</w:t>
      </w:r>
    </w:p>
    <w:p>
      <w:pPr>
        <w:spacing w:after="0" w:line="1326" w:lineRule="exact"/>
        <w:rPr>
          <w:sz w:val="20"/>
          <w:szCs w:val="20"/>
          <w:color w:val="auto"/>
        </w:rPr>
      </w:pPr>
    </w:p>
    <w:p>
      <w:pPr>
        <w:sectPr>
          <w:pgSz w:w="11900" w:h="16838" w:orient="portrait"/>
          <w:cols w:equalWidth="0" w:num="2">
            <w:col w:w="7220" w:space="260"/>
            <w:col w:w="3520"/>
          </w:cols>
          <w:pgMar w:left="440" w:top="270" w:right="459" w:bottom="1440" w:gutter="0" w:footer="0" w:header="0"/>
          <w:type w:val="continuous"/>
        </w:sectPr>
      </w:pPr>
    </w:p>
    <w:p>
      <w:pPr>
        <w:jc w:val="both"/>
        <w:ind w:left="440"/>
        <w:spacing w:after="0" w:line="286" w:lineRule="auto"/>
        <w:rPr>
          <w:sz w:val="20"/>
          <w:szCs w:val="20"/>
          <w:color w:val="auto"/>
        </w:rPr>
      </w:pPr>
      <w:r>
        <w:rPr>
          <w:rFonts w:ascii="Arial" w:cs="Arial" w:eastAsia="Arial" w:hAnsi="Arial"/>
          <w:sz w:val="17"/>
          <w:szCs w:val="17"/>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June 30, 2021, the Company’s maximum exposure to credit risk is the carrying value of its financial assets.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20</w:t>
      </w:r>
    </w:p>
    <w:p>
      <w:pPr>
        <w:sectPr>
          <w:pgSz w:w="11900" w:h="16838" w:orient="portrait"/>
          <w:cols w:equalWidth="0" w:num="1">
            <w:col w:w="11000"/>
          </w:cols>
          <w:pgMar w:left="440" w:top="270" w:right="4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62"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color w:val="auto"/>
        </w:rPr>
        <w:t>As at June 30, 2021, the Company had cash and cash equivalents of $55,075 (March 31, 2021 - $64,026) in order to meet current liabilities. Accounts payable and accrued liabilities include trade payables and other obligations of $3,052 (March 31, 2021 - $2,793), all amounts are due within the next 12 months. In addition, the Company has agreed to participate in a private placement of subscription receipts of Finco in an amount of up to $500.</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market risks to which the Company is exposed are interest rate risk and currency risk.</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color w:val="auto"/>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June 30, 2021, the Company has determined its exposure to interest rate risk is minimal.</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Currency risk</w:t>
      </w:r>
    </w:p>
    <w:p>
      <w:pPr>
        <w:spacing w:after="0" w:line="117" w:lineRule="exact"/>
        <w:rPr>
          <w:sz w:val="20"/>
          <w:szCs w:val="20"/>
          <w:color w:val="auto"/>
        </w:rPr>
      </w:pPr>
    </w:p>
    <w:p>
      <w:pPr>
        <w:jc w:val="both"/>
        <w:ind w:left="440" w:right="20"/>
        <w:spacing w:after="0" w:line="308" w:lineRule="auto"/>
        <w:rPr>
          <w:sz w:val="20"/>
          <w:szCs w:val="20"/>
          <w:color w:val="auto"/>
        </w:rPr>
      </w:pPr>
      <w:r>
        <w:rPr>
          <w:rFonts w:ascii="Arial" w:cs="Arial" w:eastAsia="Arial" w:hAnsi="Arial"/>
          <w:sz w:val="17"/>
          <w:szCs w:val="17"/>
          <w:color w:val="auto"/>
        </w:rPr>
        <w:t>The Company is exposed to currency risk to the extent that monetary operational expenses are denominated in both CAD and USD while functional currency of CAD in used for reporting. The Company has not entered into any foreign currency contracts to mitigate this risk.</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balances in monetary assets and monetary liabilities which are subject to fluctuation against CAD:</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Denominated in:</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9"/>
              </w:rPr>
              <w:t>US$</w:t>
            </w:r>
            <w:r>
              <w:rPr>
                <w:rFonts w:ascii="Arial" w:cs="Arial" w:eastAsia="Arial" w:hAnsi="Arial"/>
                <w:sz w:val="14"/>
                <w:szCs w:val="14"/>
                <w:b w:val="1"/>
                <w:bCs w:val="1"/>
                <w:color w:val="auto"/>
                <w:w w:val="89"/>
              </w:rPr>
              <w:t>000’s</w:t>
            </w:r>
          </w:p>
        </w:tc>
      </w:tr>
      <w:tr>
        <w:trPr>
          <w:trHeight w:val="203"/>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5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Foreign currency rate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Equivalent to Canadian dollars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Based on the above net exposures as at June 30, 2021, and assuming that all other variables remain constant, a 10% change of the USD against the CAD would impact net loss by approximately by $4.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20</w:t>
      </w:r>
    </w:p>
    <w:p>
      <w:pPr>
        <w:sectPr>
          <w:pgSz w:w="11900" w:h="16838" w:orient="portrait"/>
          <w:cols w:equalWidth="0" w:num="1">
            <w:col w:w="11020"/>
          </w:cols>
          <w:pgMar w:left="440" w:top="270"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INC.</w:t>
      </w:r>
    </w:p>
    <w:p>
      <w:pPr>
        <w:spacing w:after="0" w:line="27" w:lineRule="exact"/>
        <w:rPr>
          <w:sz w:val="20"/>
          <w:szCs w:val="20"/>
          <w:color w:val="auto"/>
        </w:rPr>
      </w:pPr>
    </w:p>
    <w:p>
      <w:pPr>
        <w:ind w:left="4" w:right="384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Major items causing the Company’s income tax rate to differ from the Canadian statutory rate of approximately 26.50% are as follows:</w:t>
      </w:r>
    </w:p>
    <w:p>
      <w:pPr>
        <w:spacing w:after="0" w:line="24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For the three-months</w:t>
            </w:r>
          </w:p>
        </w:tc>
        <w:tc>
          <w:tcPr>
            <w:tcW w:w="4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7"/>
              </w:rPr>
              <w:t>For the three-months</w:t>
            </w:r>
          </w:p>
        </w:tc>
      </w:tr>
      <w:tr>
        <w:trPr>
          <w:trHeight w:val="171"/>
        </w:trPr>
        <w:tc>
          <w:tcPr>
            <w:tcW w:w="4760" w:type="dxa"/>
            <w:vAlign w:val="bottom"/>
          </w:tcPr>
          <w:p>
            <w:pPr>
              <w:spacing w:after="0"/>
              <w:rPr>
                <w:sz w:val="14"/>
                <w:szCs w:val="14"/>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1"/>
              </w:rPr>
              <w:t>ended June 30, 2021</w:t>
            </w:r>
          </w:p>
        </w:tc>
        <w:tc>
          <w:tcPr>
            <w:tcW w:w="4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ended June 30, 2020</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 before income taxes</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Expected recovery at statutory rate</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3,900</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(1,265)</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Difference between Canadian and foreign tax rates</w:t>
            </w:r>
          </w:p>
        </w:tc>
        <w:tc>
          <w:tcPr>
            <w:tcW w:w="4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(116)</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note</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4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(266)</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unrecognized deferred tax assets</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(2,253)</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(494)</w:t>
            </w: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Income tax recovery</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significant components of the Company’s temporary differences, unused tax credits and unused tax losses that have not been included on the consolidated statement of financial position are as follows: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 at</w:t>
            </w:r>
          </w:p>
        </w:tc>
        <w:tc>
          <w:tcPr>
            <w:tcW w:w="3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Non-capital loss carryforwards</w:t>
            </w:r>
          </w:p>
        </w:tc>
        <w:tc>
          <w:tcPr>
            <w:tcW w:w="1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8,210</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5,660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Share issuance costs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1,126</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Depreciation/CCA differences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r>
      <w:tr>
        <w:trPr>
          <w:trHeight w:val="27"/>
        </w:trPr>
        <w:tc>
          <w:tcPr>
            <w:tcW w:w="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6,821</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(9,074)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(6,821)</w:t>
            </w:r>
          </w:p>
        </w:tc>
      </w:tr>
      <w:tr>
        <w:trPr>
          <w:trHeight w:val="27"/>
        </w:trPr>
        <w:tc>
          <w:tcPr>
            <w:tcW w:w="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7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Deferred tax assets have not been recognized in respect of these items because it is not probable that future taxable profit will be available against which the Company will be able to use these benefits.</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Non-capital loss balance</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As at June 30, 2021, the Company has non-capital losses in Canada, which under certain circumstances can be used to reduce the taxable income of future years. The non-capital losses, stated in Canadian dollars, expire as follows:</w:t>
      </w:r>
    </w:p>
    <w:p>
      <w:pPr>
        <w:spacing w:after="0" w:line="193" w:lineRule="exact"/>
        <w:rPr>
          <w:sz w:val="20"/>
          <w:szCs w:val="20"/>
          <w:color w:val="auto"/>
        </w:rPr>
      </w:pPr>
    </w:p>
    <w:tbl>
      <w:tblPr>
        <w:tblLayout w:type="fixed"/>
        <w:tblInd w:w="1764" w:type="dxa"/>
        <w:tblCellMar>
          <w:top w:w="0" w:type="dxa"/>
          <w:left w:w="0" w:type="dxa"/>
          <w:bottom w:w="0" w:type="dxa"/>
          <w:right w:w="0" w:type="dxa"/>
        </w:tblCellMar>
      </w:tblPr>
      <w:tr>
        <w:trPr>
          <w:trHeight w:val="187"/>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Year of expiry</w:t>
            </w:r>
          </w:p>
        </w:tc>
        <w:tc>
          <w:tcPr>
            <w:tcW w:w="658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2040</w:t>
            </w:r>
          </w:p>
        </w:tc>
        <w:tc>
          <w:tcPr>
            <w:tcW w:w="60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2041</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19,373</w:t>
            </w:r>
          </w:p>
        </w:tc>
        <w:tc>
          <w:tcPr>
            <w:tcW w:w="4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2042</w:t>
            </w:r>
          </w:p>
        </w:tc>
        <w:tc>
          <w:tcPr>
            <w:tcW w:w="6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8,086</w:t>
            </w:r>
          </w:p>
        </w:tc>
        <w:tc>
          <w:tcPr>
            <w:tcW w:w="40" w:type="dxa"/>
            <w:vAlign w:val="bottom"/>
            <w:shd w:val="clear" w:color="auto" w:fill="CCEEFF"/>
          </w:tcPr>
          <w:p>
            <w:pPr>
              <w:spacing w:after="0"/>
              <w:rPr>
                <w:sz w:val="18"/>
                <w:szCs w:val="18"/>
                <w:color w:val="auto"/>
              </w:rPr>
            </w:pPr>
          </w:p>
        </w:tc>
      </w:tr>
      <w:tr>
        <w:trPr>
          <w:trHeight w:val="223"/>
        </w:trPr>
        <w:tc>
          <w:tcPr>
            <w:tcW w:w="8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28,199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19 of 20</w:t>
      </w:r>
    </w:p>
    <w:p>
      <w:pPr>
        <w:sectPr>
          <w:pgSz w:w="11900" w:h="16838" w:orient="portrait"/>
          <w:cols w:equalWidth="0" w:num="1">
            <w:col w:w="11004"/>
          </w:cols>
          <w:pgMar w:left="436" w:top="27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7" w:lineRule="exact"/>
        <w:rPr>
          <w:sz w:val="20"/>
          <w:szCs w:val="20"/>
          <w:color w:val="auto"/>
        </w:rPr>
      </w:pPr>
    </w:p>
    <w:p>
      <w:pPr>
        <w:ind w:left="4" w:right="3860"/>
        <w:spacing w:after="0" w:line="250" w:lineRule="auto"/>
        <w:rPr>
          <w:sz w:val="20"/>
          <w:szCs w:val="20"/>
          <w:color w:val="auto"/>
        </w:rPr>
      </w:pPr>
      <w:r>
        <w:rPr>
          <w:rFonts w:ascii="Arial" w:cs="Arial" w:eastAsia="Arial" w:hAnsi="Arial"/>
          <w:sz w:val="18"/>
          <w:szCs w:val="18"/>
          <w:b w:val="1"/>
          <w:bCs w:val="1"/>
          <w:color w:val="auto"/>
        </w:rPr>
        <w:t>NOTES TO THE CONDENSED INTERIM CONSOLIDATED FINANCIAL STATEMENTS For the three months ended June 30, 2021 and June 30, 2020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 being in 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dollars, which are in thousands of US dollars)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jc w:val="both"/>
        <w:ind w:left="444" w:right="20"/>
        <w:spacing w:after="0" w:line="277" w:lineRule="auto"/>
        <w:rPr>
          <w:sz w:val="20"/>
          <w:szCs w:val="20"/>
          <w:color w:val="auto"/>
        </w:rPr>
      </w:pPr>
      <w:r>
        <w:rPr>
          <w:rFonts w:ascii="Arial" w:cs="Arial" w:eastAsia="Arial" w:hAnsi="Arial"/>
          <w:sz w:val="18"/>
          <w:szCs w:val="18"/>
          <w:color w:val="auto"/>
        </w:rPr>
        <w:t>As at June 30, 2021, the Company has non-capital losses in the United States, which under certain circumstances can be used to reduce the taxable income of future years. The non-capital losses, stated in Canadian dollars, that will expire as follows:</w:t>
      </w:r>
    </w:p>
    <w:p>
      <w:pPr>
        <w:spacing w:after="0" w:line="193" w:lineRule="exact"/>
        <w:rPr>
          <w:sz w:val="20"/>
          <w:szCs w:val="20"/>
          <w:color w:val="auto"/>
        </w:rPr>
      </w:pPr>
    </w:p>
    <w:tbl>
      <w:tblPr>
        <w:tblLayout w:type="fixed"/>
        <w:tblInd w:w="1764" w:type="dxa"/>
        <w:tblCellMar>
          <w:top w:w="0" w:type="dxa"/>
          <w:left w:w="0" w:type="dxa"/>
          <w:bottom w:w="0" w:type="dxa"/>
          <w:right w:w="0" w:type="dxa"/>
        </w:tblCellMar>
      </w:tblPr>
      <w:tr>
        <w:trPr>
          <w:trHeight w:val="187"/>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Year of expiry</w:t>
            </w:r>
          </w:p>
        </w:tc>
        <w:tc>
          <w:tcPr>
            <w:tcW w:w="614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2041</w:t>
            </w:r>
          </w:p>
        </w:tc>
        <w:tc>
          <w:tcPr>
            <w:tcW w:w="660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 Pre-acquisition loss generated up to December 4, 2020</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1,208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2041</w:t>
            </w:r>
          </w:p>
        </w:tc>
        <w:tc>
          <w:tcPr>
            <w:tcW w:w="6600" w:type="dxa"/>
            <w:vAlign w:val="bottom"/>
            <w:gridSpan w:val="2"/>
          </w:tcPr>
          <w:p>
            <w:pPr>
              <w:ind w:left="20"/>
              <w:spacing w:after="0"/>
              <w:rPr>
                <w:sz w:val="20"/>
                <w:szCs w:val="20"/>
                <w:color w:val="auto"/>
              </w:rPr>
            </w:pPr>
            <w:r>
              <w:rPr>
                <w:rFonts w:ascii="Arial" w:cs="Arial" w:eastAsia="Arial" w:hAnsi="Arial"/>
                <w:sz w:val="18"/>
                <w:szCs w:val="18"/>
                <w:color w:val="auto"/>
              </w:rPr>
              <w:t>- Loss generated in the period from December 4, 2020 to March 31, 2021</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1,572</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2042</w:t>
            </w: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Loss generated in the three-month period ended June 30, 2021</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2,382</w:t>
            </w:r>
          </w:p>
        </w:tc>
        <w:tc>
          <w:tcPr>
            <w:tcW w:w="4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5,162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44" w:right="20"/>
        <w:spacing w:after="0" w:line="263" w:lineRule="auto"/>
        <w:rPr>
          <w:sz w:val="20"/>
          <w:szCs w:val="20"/>
          <w:color w:val="auto"/>
        </w:rPr>
      </w:pPr>
      <w:r>
        <w:rPr>
          <w:rFonts w:ascii="Arial" w:cs="Arial" w:eastAsia="Arial" w:hAnsi="Arial"/>
          <w:sz w:val="18"/>
          <w:szCs w:val="18"/>
          <w:color w:val="auto"/>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June 30, 2021, the annual limitation was $136.</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Massachusetts allows for a 20-year carryforward period for restricted and unrestricted losses without limitation.</w:t>
      </w:r>
    </w:p>
    <w:p>
      <w:pPr>
        <w:spacing w:after="0" w:line="370" w:lineRule="exact"/>
        <w:rPr>
          <w:sz w:val="20"/>
          <w:szCs w:val="20"/>
          <w:color w:val="auto"/>
        </w:rPr>
      </w:pPr>
    </w:p>
    <w:p>
      <w:pPr>
        <w:ind w:left="444" w:right="8620" w:hanging="444"/>
        <w:spacing w:after="0" w:line="400" w:lineRule="auto"/>
        <w:tabs>
          <w:tab w:leader="none" w:pos="436"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Exercised Securities</w:t>
      </w:r>
    </w:p>
    <w:p>
      <w:pPr>
        <w:ind w:left="444" w:right="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During the period from July 1, 2021 to August 13, 2021, holders of options and warrants exercised securities resulting in the issuance of 1,112,605 Common Shares for gross proceeds of approximately $1,979.</w:t>
      </w:r>
    </w:p>
    <w:p>
      <w:pPr>
        <w:spacing w:after="0" w:line="274"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Public Offering</w:t>
      </w:r>
    </w:p>
    <w:p>
      <w:pPr>
        <w:spacing w:after="0" w:line="121" w:lineRule="exact"/>
        <w:rPr>
          <w:rFonts w:ascii="Arial" w:cs="Arial" w:eastAsia="Arial" w:hAnsi="Arial"/>
          <w:sz w:val="17"/>
          <w:szCs w:val="17"/>
          <w:b w:val="1"/>
          <w:bCs w:val="1"/>
          <w:color w:val="auto"/>
        </w:rPr>
      </w:pPr>
    </w:p>
    <w:p>
      <w:pPr>
        <w:ind w:left="444" w:right="2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On August 3, 2021, the Company completed a public offering of 10,147,600 Common Shares at a price of $3.40 per Common Share for gross proceeds of $34,502 pursuant to a prospectus supplement to the Company’s short form base shelf prospectus dated July 5, 2021.</w:t>
      </w:r>
    </w:p>
    <w:p>
      <w:pPr>
        <w:spacing w:after="0" w:line="38" w:lineRule="exact"/>
        <w:rPr>
          <w:rFonts w:ascii="Arial" w:cs="Arial" w:eastAsia="Arial" w:hAnsi="Arial"/>
          <w:sz w:val="17"/>
          <w:szCs w:val="17"/>
          <w:b w:val="1"/>
          <w:bCs w:val="1"/>
          <w:color w:val="auto"/>
        </w:rPr>
      </w:pPr>
    </w:p>
    <w:p>
      <w:pPr>
        <w:ind w:left="444" w:right="2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In connection with the public offering, the Company paid the underwriters a cash commission of $2,240 and issued 658,860 compensation options of the Company, with each compensation option being exercisable to acquire one Common Share at a price of $3.40 for a period of 24 months.</w:t>
      </w:r>
    </w:p>
    <w:p>
      <w:pPr>
        <w:spacing w:after="0" w:line="227"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NYSE American Listing</w:t>
      </w:r>
    </w:p>
    <w:p>
      <w:pPr>
        <w:spacing w:after="0" w:line="121" w:lineRule="exact"/>
        <w:rPr>
          <w:rFonts w:ascii="Arial" w:cs="Arial" w:eastAsia="Arial" w:hAnsi="Arial"/>
          <w:sz w:val="17"/>
          <w:szCs w:val="17"/>
          <w:b w:val="1"/>
          <w:bCs w:val="1"/>
          <w:color w:val="auto"/>
        </w:rPr>
      </w:pPr>
    </w:p>
    <w:p>
      <w:pPr>
        <w:jc w:val="both"/>
        <w:ind w:left="444"/>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On August 5, 2021, the Common Shares commenced trading on the NYSE American LLC stock exchange (the “NYSE American”) under the symbol “CYBN”. Concurrent with the commencement of trading on the NYSE American, the Common Shares ceased to be quoted on the OTCQB</w:t>
      </w:r>
      <w:r>
        <w:rPr>
          <w:rFonts w:ascii="Arial" w:cs="Arial" w:eastAsia="Arial" w:hAnsi="Arial"/>
          <w:sz w:val="15"/>
          <w:szCs w:val="15"/>
          <w:color w:val="auto"/>
        </w:rPr>
        <w:t>®</w:t>
      </w:r>
      <w:r>
        <w:rPr>
          <w:rFonts w:ascii="Arial" w:cs="Arial" w:eastAsia="Arial" w:hAnsi="Arial"/>
          <w:sz w:val="18"/>
          <w:szCs w:val="18"/>
          <w:color w:val="auto"/>
        </w:rPr>
        <w:t xml:space="preserve"> Venture Market.</w:t>
      </w:r>
    </w:p>
    <w:p>
      <w:pPr>
        <w:spacing w:after="0" w:line="287"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Adelia Milestone</w:t>
      </w:r>
    </w:p>
    <w:p>
      <w:pPr>
        <w:spacing w:after="0" w:line="121" w:lineRule="exact"/>
        <w:rPr>
          <w:rFonts w:ascii="Arial" w:cs="Arial" w:eastAsia="Arial" w:hAnsi="Arial"/>
          <w:sz w:val="17"/>
          <w:szCs w:val="17"/>
          <w:b w:val="1"/>
          <w:bCs w:val="1"/>
          <w:color w:val="auto"/>
        </w:rPr>
      </w:pPr>
    </w:p>
    <w:p>
      <w:pPr>
        <w:jc w:val="both"/>
        <w:ind w:left="444"/>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On August 12, 2021, Adelia completed a portion of certain milestones for Year 1 Q3 (i)-(iii) and Year 1 Q4 (i) and (iii), as contemplated by the terms of the contribution agreement. Accordingly, Class B Shares having an aggregate value of $633 became due to be issued to the Adelia Shareholders, at a price per share to be determined in accordance with the terms of the contribution agreement and applicable securities laws.</w:t>
      </w:r>
    </w:p>
    <w:p>
      <w:pPr>
        <w:spacing w:after="0" w:line="252"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Warrant Settlement Agreement</w:t>
      </w:r>
    </w:p>
    <w:p>
      <w:pPr>
        <w:spacing w:after="0" w:line="121" w:lineRule="exact"/>
        <w:rPr>
          <w:rFonts w:ascii="Arial" w:cs="Arial" w:eastAsia="Arial" w:hAnsi="Arial"/>
          <w:sz w:val="17"/>
          <w:szCs w:val="17"/>
          <w:b w:val="1"/>
          <w:bCs w:val="1"/>
          <w:color w:val="auto"/>
        </w:rPr>
      </w:pPr>
    </w:p>
    <w:p>
      <w:pPr>
        <w:jc w:val="both"/>
        <w:ind w:left="444"/>
        <w:spacing w:after="0" w:line="291" w:lineRule="auto"/>
        <w:rPr>
          <w:rFonts w:ascii="Arial" w:cs="Arial" w:eastAsia="Arial" w:hAnsi="Arial"/>
          <w:sz w:val="17"/>
          <w:szCs w:val="17"/>
          <w:b w:val="1"/>
          <w:bCs w:val="1"/>
          <w:color w:val="auto"/>
        </w:rPr>
      </w:pPr>
      <w:r>
        <w:rPr>
          <w:rFonts w:ascii="Arial" w:cs="Arial" w:eastAsia="Arial" w:hAnsi="Arial"/>
          <w:sz w:val="16"/>
          <w:szCs w:val="16"/>
          <w:color w:val="auto"/>
        </w:rPr>
        <w:t>On August 13, 2021, the Company entered into a settlement agreement with a former consultant (the “Agreement”). Pursuant to the Agreement, the Company amended the vesting criteria for 2,000,000 share purchase warrants issued on June 15, 2020, exercisable at a price of $0.25 per Common Share until June 15, 2022 (the “Purchase Warrants”) from performance based vesting to time-based vesting in accordance with the following schedule: 250,000 Purchase Warrants vesting on November 27, 2020; 250,000 Purchase Warrants vesting on February 27, 2021; 250,000 Purchase Warrants vesting on May 27, 2021; 250,000 Purchase Warrants vesting on August 27, 2021; 250,000 Purchase Warrants vesting on November 27, 2021; 250,000 Purchase Warrants vesting on February 27, 2022; and 500,000 Purchase Warrants vesting on May 27, 2022. This amendment to the vesting criteria of the Purchase Warrants has resulted in a change in the forfeiture rate.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20 of 20</w:t>
      </w:r>
    </w:p>
    <w:p>
      <w:pPr>
        <w:sectPr>
          <w:pgSz w:w="11900" w:h="16838" w:orient="portrait"/>
          <w:cols w:equalWidth="0" w:num="1">
            <w:col w:w="11024"/>
          </w:cols>
          <w:pgMar w:left="436" w:top="270"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1757680</wp:posOffset>
            </wp:positionV>
            <wp:extent cx="1431290" cy="908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3129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Cybin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(formerly Clarmin Explorations Inc.)</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Management’s Discussion and Analysis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of Financial Condition and Operating Performance</w:t>
      </w:r>
    </w:p>
    <w:p>
      <w:pPr>
        <w:spacing w:after="0" w:line="24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For the three months ended June 30, 2021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Date: August 13, 2021</w:t>
      </w:r>
    </w:p>
    <w:p>
      <w:pPr>
        <w:sectPr>
          <w:pgSz w:w="11900" w:h="16838" w:orient="portrait"/>
          <w:cols w:equalWidth="0" w:num="1">
            <w:col w:w="10020"/>
          </w:cols>
          <w:pgMar w:left="1440" w:top="121"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This Management’s Discussion and Analysis (“</w:t>
      </w:r>
      <w:r>
        <w:rPr>
          <w:rFonts w:ascii="Arial" w:cs="Arial" w:eastAsia="Arial" w:hAnsi="Arial"/>
          <w:sz w:val="18"/>
          <w:szCs w:val="18"/>
          <w:b w:val="1"/>
          <w:bCs w:val="1"/>
          <w:color w:val="auto"/>
        </w:rPr>
        <w:t>MD&amp;A</w:t>
      </w:r>
      <w:r>
        <w:rPr>
          <w:rFonts w:ascii="Arial" w:cs="Arial" w:eastAsia="Arial" w:hAnsi="Arial"/>
          <w:sz w:val="18"/>
          <w:szCs w:val="18"/>
          <w:color w:val="auto"/>
        </w:rPr>
        <w:t>”) has been prepared by management of Cybin Inc.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and should be read in conjunction with Cybin’s interim condensed consolidated financial statements and notes for the three months ended June 30, 2021 (the “</w:t>
      </w:r>
      <w:r>
        <w:rPr>
          <w:rFonts w:ascii="Arial" w:cs="Arial" w:eastAsia="Arial" w:hAnsi="Arial"/>
          <w:sz w:val="18"/>
          <w:szCs w:val="18"/>
          <w:b w:val="1"/>
          <w:bCs w:val="1"/>
          <w:color w:val="auto"/>
        </w:rPr>
        <w:t>Interim</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 This MD&amp;A does not address all of the changes to the Company and its business, such changes are addressed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most recently filed annual information form (the “</w:t>
      </w:r>
      <w:r>
        <w:rPr>
          <w:rFonts w:ascii="Arial" w:cs="Arial" w:eastAsia="Arial" w:hAnsi="Arial"/>
          <w:sz w:val="18"/>
          <w:szCs w:val="18"/>
          <w:b w:val="1"/>
          <w:bCs w:val="1"/>
          <w:color w:val="auto"/>
        </w:rPr>
        <w:t>AIF</w:t>
      </w:r>
      <w:r>
        <w:rPr>
          <w:rFonts w:ascii="Arial" w:cs="Arial" w:eastAsia="Arial" w:hAnsi="Arial"/>
          <w:sz w:val="18"/>
          <w:szCs w:val="18"/>
          <w:color w:val="auto"/>
        </w:rPr>
        <w:t xml:space="preserve">”) on SEDAR. The Interim Financial Statements have been prepared using International Financial Reporting Standards as issued by the International Accounting Standards Board. All amounts are in Canadian dollars unless otherwise indicated. The Interim Financial Statements may be viewed on the SEDAR profile of Cybin Inc. (formerly Clarmin Explorations Inc.)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MD&amp;A contains disclosure related to Cybin occurring up to and including August 13, 2021. Unless otherwise indicated, all amounts in this MD&amp;A are in thousands of Canadian dollars.</w:t>
      </w:r>
    </w:p>
    <w:p>
      <w:pPr>
        <w:spacing w:after="0" w:line="17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Cybin Inc. (formerly Clarmin Explorations Inc.)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6"/>
          <w:szCs w:val="16"/>
          <w:b w:val="1"/>
          <w:bCs w:val="1"/>
          <w:color w:val="auto"/>
        </w:rPr>
        <w:t>SubCo</w:t>
      </w:r>
      <w:r>
        <w:rPr>
          <w:rFonts w:ascii="Arial" w:cs="Arial" w:eastAsia="Arial" w:hAnsi="Arial"/>
          <w:sz w:val="16"/>
          <w:szCs w:val="16"/>
          <w:color w:val="auto"/>
        </w:rPr>
        <w:t>”), a wholly-owned subsidiary of the Company (the “</w:t>
      </w:r>
      <w:r>
        <w:rPr>
          <w:rFonts w:ascii="Arial" w:cs="Arial" w:eastAsia="Arial" w:hAnsi="Arial"/>
          <w:sz w:val="16"/>
          <w:szCs w:val="16"/>
          <w:b w:val="1"/>
          <w:bCs w:val="1"/>
          <w:color w:val="auto"/>
        </w:rPr>
        <w:t>Reverse Takeover</w:t>
      </w:r>
      <w:r>
        <w:rPr>
          <w:rFonts w:ascii="Arial" w:cs="Arial" w:eastAsia="Arial" w:hAnsi="Arial"/>
          <w:sz w:val="16"/>
          <w:szCs w:val="16"/>
          <w:color w:val="auto"/>
        </w:rPr>
        <w:t xml:space="preserve">”). The Reverse Takeover was completed by way of a “three-cornered” amalgamation pursuant to the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whereby Cybin Corp. amalgamated with SubCo to form an amalgamated corporation and a wholly owned subsidiary of the Company. Cybin Corp. is deemed to be the acquirer in the reverse takeover transaction. As a result, the consolidated statements of financial position are presented as a continuance of Cybin Corp. and the comparative figures presented are those of Cybin Corp.</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76" w:lineRule="exact"/>
        <w:rPr>
          <w:sz w:val="20"/>
          <w:szCs w:val="20"/>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novel coronavirus “COVID-19”;</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Jamaican operations;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emerging market risk;</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for growth;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0" w:right="439" w:bottom="1440" w:gutter="0" w:footer="0" w:header="0"/>
        </w:sectPr>
      </w:pPr>
    </w:p>
    <w:bookmarkStart w:id="25" w:name="page26"/>
    <w:bookmarkEnd w:id="25"/>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products;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reliance on third parties for clinical development activities;</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and efficacy of products;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clinical trials;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nature of regulatory approvals;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social media;</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biotechnology and pharmaceutical market competition;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misconduct;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expansion and growth;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contracts;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to forecast;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promoting the brand;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viability;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key inputs;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of growth;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operations;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cybersecurity and privacy risk;</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131" w:lineRule="exact"/>
        <w:rPr>
          <w:sz w:val="20"/>
          <w:szCs w:val="20"/>
          <w:color w:val="auto"/>
        </w:rPr>
      </w:pPr>
    </w:p>
    <w:p>
      <w:pPr>
        <w:ind w:left="1420" w:hanging="43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trademark protection;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 law reform;</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131" w:lineRule="exact"/>
        <w:rPr>
          <w:sz w:val="20"/>
          <w:szCs w:val="20"/>
          <w:color w:val="auto"/>
        </w:rPr>
      </w:pPr>
    </w:p>
    <w:p>
      <w:pPr>
        <w:ind w:left="1420" w:hanging="439"/>
        <w:spacing w:after="0"/>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substantial number of authorized but unissued common shares;</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cash flow from operating activities;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capital requirements;</w:t>
      </w:r>
    </w:p>
    <w:p>
      <w:pPr>
        <w:sectPr>
          <w:pgSz w:w="11900" w:h="16838" w:orient="portrait"/>
          <w:cols w:equalWidth="0" w:num="1">
            <w:col w:w="10019"/>
          </w:cols>
          <w:pgMar w:left="440" w:top="274" w:right="1440" w:bottom="0" w:gutter="0" w:footer="0" w:header="0"/>
        </w:sectPr>
      </w:pPr>
    </w:p>
    <w:bookmarkStart w:id="26" w:name="page27"/>
    <w:bookmarkEnd w:id="26"/>
    <w:p>
      <w:pPr>
        <w:ind w:left="439" w:hanging="439"/>
        <w:spacing w:after="0"/>
        <w:tabs>
          <w:tab w:leader="none" w:pos="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estimates or judgments relating to critical accounting policies;</w:t>
      </w:r>
    </w:p>
    <w:p>
      <w:pPr>
        <w:spacing w:after="0" w:line="180" w:lineRule="exact"/>
        <w:rPr>
          <w:rFonts w:ascii="Arial" w:cs="Arial" w:eastAsia="Arial" w:hAnsi="Arial"/>
          <w:sz w:val="16"/>
          <w:szCs w:val="16"/>
          <w:color w:val="auto"/>
        </w:rPr>
      </w:pPr>
    </w:p>
    <w:p>
      <w:pPr>
        <w:ind w:left="4479" w:hanging="106"/>
        <w:spacing w:after="0"/>
        <w:tabs>
          <w:tab w:leader="none" w:pos="44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9038"/>
          </w:cols>
          <w:pgMar w:left="1421" w:top="12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related to the Common Shares (as defined below):</w:t>
      </w:r>
    </w:p>
    <w:p>
      <w:pPr>
        <w:spacing w:after="0" w:line="131" w:lineRule="exact"/>
        <w:rPr>
          <w:sz w:val="20"/>
          <w:szCs w:val="20"/>
          <w:color w:val="auto"/>
        </w:rPr>
      </w:pPr>
    </w:p>
    <w:p>
      <w:pPr>
        <w:ind w:left="1420" w:hanging="43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for the Common Shares;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issues;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Company:</w:t>
      </w:r>
    </w:p>
    <w:p>
      <w:pPr>
        <w:spacing w:after="0" w:line="131" w:lineRule="exact"/>
        <w:rPr>
          <w:sz w:val="20"/>
          <w:szCs w:val="20"/>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 may prove to be inaccurate;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dilution;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need for additional financing;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operating cash flow and going concern;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discretion over the use of proceeds;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of growth;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Common Shares are subject to market price volatility;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history of payment of cash dividends;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operating history as a public company;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research and development milestones.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89" w:lineRule="exact"/>
        <w:rPr>
          <w:sz w:val="20"/>
          <w:szCs w:val="20"/>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product candidates may fail to demonstrate safety and efficacy to the satisfaction of regulatory authorities or may not otherwise produce positive results;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Jamaica and Canada and other jurisdictions in which the Company operates.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87"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biotechnology company focused on advancing pharmaceutical therapies, delivery mechanisms, novel compounds and protocols as potential therapies for various psychiatric and neurological conditions. The Company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Immediately prior to the completion of the Reverse Takeover, the Company completed a common share consolidation on the basis of 6.672 old common shares into one new share. All shares and per share amounts expressed herein reflect the post-consolidation Common Shares.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Reverse Takeover, Clarmin changed its name to “Cybin Inc.” and the common shares in the capital of the Company (the “</w:t>
      </w:r>
      <w:r>
        <w:rPr>
          <w:rFonts w:ascii="Arial" w:cs="Arial" w:eastAsia="Arial" w:hAnsi="Arial"/>
          <w:sz w:val="17"/>
          <w:szCs w:val="17"/>
          <w:b w:val="1"/>
          <w:bCs w:val="1"/>
          <w:color w:val="auto"/>
        </w:rPr>
        <w:t>Common Shares</w:t>
      </w:r>
      <w:r>
        <w:rPr>
          <w:rFonts w:ascii="Arial" w:cs="Arial" w:eastAsia="Arial" w:hAnsi="Arial"/>
          <w:sz w:val="17"/>
          <w:szCs w:val="17"/>
          <w:color w:val="auto"/>
        </w:rPr>
        <w:t>”) became listed for trading on the Neo Exchange Inc.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under the trading symbol CYBN. In accordance with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Prior to complete the Reverse Takeover, and during fiscal 2020, the Company was inactive and evaluating business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“General Development of the Business” in the AIF for additional information on the background and operational highlights of Cybin.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AIF may be viewed under the SEDAR profile of Cybin Inc. (formerly Clarmin Explorations Inc.)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currently has two business segments: (a) Serenity Life Sciences Inc. (“</w:t>
      </w:r>
      <w:r>
        <w:rPr>
          <w:rFonts w:ascii="Arial" w:cs="Arial" w:eastAsia="Arial" w:hAnsi="Arial"/>
          <w:sz w:val="18"/>
          <w:szCs w:val="18"/>
          <w:b w:val="1"/>
          <w:bCs w:val="1"/>
          <w:color w:val="auto"/>
        </w:rPr>
        <w:t>Serenity Life</w:t>
      </w:r>
      <w:r>
        <w:rPr>
          <w:rFonts w:ascii="Arial" w:cs="Arial" w:eastAsia="Arial" w:hAnsi="Arial"/>
          <w:sz w:val="18"/>
          <w:szCs w:val="18"/>
          <w:color w:val="auto"/>
        </w:rPr>
        <w:t>”) and Cybin US Holdings Inc. (“</w:t>
      </w:r>
      <w:r>
        <w:rPr>
          <w:rFonts w:ascii="Arial" w:cs="Arial" w:eastAsia="Arial" w:hAnsi="Arial"/>
          <w:sz w:val="18"/>
          <w:szCs w:val="18"/>
          <w:b w:val="1"/>
          <w:bCs w:val="1"/>
          <w:color w:val="auto"/>
        </w:rPr>
        <w:t>Cybin U.S.</w:t>
      </w:r>
      <w:r>
        <w:rPr>
          <w:rFonts w:ascii="Arial" w:cs="Arial" w:eastAsia="Arial" w:hAnsi="Arial"/>
          <w:sz w:val="18"/>
          <w:szCs w:val="18"/>
          <w:color w:val="auto"/>
        </w:rPr>
        <w:t>”) that focus on the research and development of psychedelic pharmaceutical products; and (b) Natures Journey Inc. that focuses on consumer mental wellness, including non-psychedelic nutraceutical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mental health conditions by leveraging proprietary drug discovery platforms, novel formulation approaches, innovative drug delivery systems, and optimized treatment regimens. This comprehensive strategy is predicated on structural modifications of known and well understood tryptamine derivatives to improve their pharmacokinetic properties without altering their respective pharmacology.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4" w:right="439" w:bottom="1440" w:gutter="0" w:footer="0" w:header="0"/>
        </w:sectPr>
      </w:pPr>
    </w:p>
    <w:bookmarkStart w:id="29" w:name="page30"/>
    <w:bookmarkEnd w:id="29"/>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Across the various R&amp;D programs, the Company is researching and developing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sublingual films</w:t>
      </w:r>
      <w:r>
        <w:rPr>
          <w:rFonts w:ascii="Arial" w:cs="Arial" w:eastAsia="Arial" w:hAnsi="Arial"/>
          <w:sz w:val="15"/>
          <w:szCs w:val="15"/>
          <w:color w:val="auto"/>
        </w:rPr>
        <w:t>1</w:t>
      </w:r>
      <w:r>
        <w:rPr>
          <w:rFonts w:ascii="Arial" w:cs="Arial" w:eastAsia="Arial" w:hAnsi="Arial"/>
          <w:sz w:val="18"/>
          <w:szCs w:val="18"/>
          <w:color w:val="auto"/>
        </w:rPr>
        <w:t>, orally disintegrating tablets (“</w:t>
      </w:r>
      <w:r>
        <w:rPr>
          <w:rFonts w:ascii="Arial" w:cs="Arial" w:eastAsia="Arial" w:hAnsi="Arial"/>
          <w:sz w:val="18"/>
          <w:szCs w:val="18"/>
          <w:b w:val="1"/>
          <w:bCs w:val="1"/>
          <w:color w:val="auto"/>
        </w:rPr>
        <w:t>ODT</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and via inhalation.</w:t>
      </w:r>
    </w:p>
    <w:p>
      <w:pPr>
        <w:spacing w:after="0" w:line="180"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8"/>
          <w:szCs w:val="18"/>
          <w:color w:val="auto"/>
        </w:rPr>
        <w:t>The Company intends to apply for regulatory approval for a psilocybin product targeting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and novel tryptamine derivatives targeting alcohol use disorder and various anxiety disorders</w:t>
      </w:r>
      <w:r>
        <w:rPr>
          <w:rFonts w:ascii="Arial" w:cs="Arial" w:eastAsia="Arial" w:hAnsi="Arial"/>
          <w:sz w:val="15"/>
          <w:szCs w:val="15"/>
          <w:color w:val="auto"/>
        </w:rPr>
        <w:t>3</w:t>
      </w:r>
      <w:r>
        <w:rPr>
          <w:rFonts w:ascii="Arial" w:cs="Arial" w:eastAsia="Arial" w:hAnsi="Arial"/>
          <w:sz w:val="18"/>
          <w:szCs w:val="18"/>
          <w:color w:val="auto"/>
        </w:rPr>
        <w:t>.</w:t>
      </w:r>
    </w:p>
    <w:p>
      <w:pPr>
        <w:spacing w:after="0" w:line="166"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Further, over the next 12-month period, the Company will continue to seek to establish strategic partnerships that advance the Company’s scientific research and intellectual property for new psychedelic compounds and novel delivery mechanisms</w:t>
      </w:r>
      <w:r>
        <w:rPr>
          <w:rFonts w:ascii="Arial" w:cs="Arial" w:eastAsia="Arial" w:hAnsi="Arial"/>
          <w:sz w:val="14"/>
          <w:szCs w:val="14"/>
          <w:color w:val="auto"/>
        </w:rPr>
        <w:t>4</w:t>
      </w:r>
      <w:r>
        <w:rPr>
          <w:rFonts w:ascii="Arial" w:cs="Arial" w:eastAsia="Arial" w:hAnsi="Arial"/>
          <w:sz w:val="17"/>
          <w:szCs w:val="17"/>
          <w:color w:val="auto"/>
        </w:rPr>
        <w:t>. The Company will also continue to sponsor select clinical trials that advance the safety and efficacy understanding of various psychedelic agents that target mental health</w:t>
      </w:r>
      <w:r>
        <w:rPr>
          <w:rFonts w:ascii="Arial" w:cs="Arial" w:eastAsia="Arial" w:hAnsi="Arial"/>
          <w:sz w:val="14"/>
          <w:szCs w:val="14"/>
          <w:color w:val="auto"/>
        </w:rPr>
        <w:t>5</w:t>
      </w:r>
      <w:r>
        <w:rPr>
          <w:rFonts w:ascii="Arial" w:cs="Arial" w:eastAsia="Arial" w:hAnsi="Arial"/>
          <w:sz w:val="17"/>
          <w:szCs w:val="17"/>
          <w:color w:val="auto"/>
        </w:rPr>
        <w:t>.</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Non-Psychedelics</w:t>
      </w:r>
    </w:p>
    <w:p>
      <w:pPr>
        <w:spacing w:after="0" w:line="117"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Medicinal mushroom extracts offer potential health benefits. Initial research is showing potential indications for immune boosting, mental wellness, detoxification, anti-tumor, antiviral and other benefits.</w:t>
      </w:r>
      <w:r>
        <w:rPr>
          <w:rFonts w:ascii="Arial" w:cs="Arial" w:eastAsia="Arial" w:hAnsi="Arial"/>
          <w:sz w:val="15"/>
          <w:szCs w:val="15"/>
          <w:color w:val="auto"/>
        </w:rPr>
        <w:t>6</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Company’s consumer wellness division has progressed since incorporation. The Company continues to investigate opportunities for the development of custom formulated products centered around non-regulated medicinal mushrooms and adaptogens,</w:t>
      </w:r>
      <w:r>
        <w:rPr>
          <w:rFonts w:ascii="Arial" w:cs="Arial" w:eastAsia="Arial" w:hAnsi="Arial"/>
          <w:sz w:val="15"/>
          <w:szCs w:val="15"/>
          <w:color w:val="auto"/>
        </w:rPr>
        <w:t>7</w:t>
      </w:r>
      <w:r>
        <w:rPr>
          <w:rFonts w:ascii="Arial" w:cs="Arial" w:eastAsia="Arial" w:hAnsi="Arial"/>
          <w:sz w:val="18"/>
          <w:szCs w:val="18"/>
          <w:color w:val="auto"/>
        </w:rPr>
        <w:t xml:space="preserve"> and to acquire access to digital platforms that support the promotion and commercialization of consumer mental wellness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jc w:val="both"/>
        <w:ind w:left="424" w:hanging="424"/>
        <w:spacing w:after="0" w:line="283" w:lineRule="auto"/>
        <w:tabs>
          <w:tab w:leader="none" w:pos="424" w:val="left"/>
        </w:tabs>
        <w:numPr>
          <w:ilvl w:val="0"/>
          <w:numId w:val="24"/>
        </w:numPr>
        <w:rPr>
          <w:rFonts w:ascii="Arial" w:cs="Arial" w:eastAsia="Arial" w:hAnsi="Arial"/>
          <w:sz w:val="13"/>
          <w:szCs w:val="13"/>
          <w:color w:val="auto"/>
        </w:rPr>
      </w:pPr>
      <w:r>
        <w:rPr>
          <w:rFonts w:ascii="Arial" w:cs="Arial" w:eastAsia="Arial" w:hAnsi="Arial"/>
          <w:sz w:val="16"/>
          <w:szCs w:val="16"/>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Such timelines are also based upon discussions with local experts in Jamaica. industry examples, and the Company’s development efforts to date. Such timelines are also based upon discussions with local experts in Jamaica. The Company applied to the IRB and the Ministry of Health (Jamaica) (the “</w:t>
      </w:r>
      <w:r>
        <w:rPr>
          <w:rFonts w:ascii="Arial" w:cs="Arial" w:eastAsia="Arial" w:hAnsi="Arial"/>
          <w:sz w:val="16"/>
          <w:szCs w:val="16"/>
          <w:b w:val="1"/>
          <w:bCs w:val="1"/>
          <w:color w:val="auto"/>
        </w:rPr>
        <w:t>MOH</w:t>
      </w:r>
      <w:r>
        <w:rPr>
          <w:rFonts w:ascii="Arial" w:cs="Arial" w:eastAsia="Arial" w:hAnsi="Arial"/>
          <w:sz w:val="16"/>
          <w:szCs w:val="16"/>
          <w:color w:val="auto"/>
        </w:rPr>
        <w:t>”) in September 2020 and has received approval from the IRB in May 2021 to begin the phase IIa study but the MOH approval is required to begin the export process of study materials to the study site and any delays in the export/import permitting or logistics may impact the study initiation timeline. There is no guarantee that the MOH approval will be approved in time to allow study completion in December 2021, or at all. As of the date hereof, other than the IRB, it has neither determined, nor applied for, the approvals, permits, and/or licenses which may be required to complete the phase IIa study. While timely and successful completion of the phase IIa study will be required before the Company will initiate the IIb study, the Company has secured adequate supply of clinical materials to complete the phase IIa and phase IIb studies. Further, the Company has contracted with IntelGenx to develop a sublingual film formulation of</w:t>
      </w:r>
    </w:p>
    <w:p>
      <w:pPr>
        <w:spacing w:after="0" w:line="1" w:lineRule="exact"/>
        <w:rPr>
          <w:sz w:val="20"/>
          <w:szCs w:val="20"/>
          <w:color w:val="auto"/>
        </w:rPr>
      </w:pPr>
    </w:p>
    <w:p>
      <w:pPr>
        <w:ind w:left="424"/>
        <w:spacing w:after="0" w:line="249" w:lineRule="auto"/>
        <w:rPr>
          <w:sz w:val="20"/>
          <w:szCs w:val="20"/>
          <w:color w:val="auto"/>
        </w:rPr>
      </w:pPr>
      <w:r>
        <w:rPr>
          <w:rFonts w:ascii="Arial" w:cs="Arial" w:eastAsia="Arial" w:hAnsi="Arial"/>
          <w:sz w:val="18"/>
          <w:szCs w:val="18"/>
          <w:color w:val="auto"/>
        </w:rPr>
        <w:t>psilocybin. IntelGenx has produced multiple formulation types, but the final formulation has not been selected. Successful completion of formulation is necessary before clinical trials supplies can be provided to investigators.</w:t>
      </w:r>
    </w:p>
    <w:p>
      <w:pPr>
        <w:spacing w:after="0" w:line="1" w:lineRule="exact"/>
        <w:rPr>
          <w:sz w:val="20"/>
          <w:szCs w:val="20"/>
          <w:color w:val="auto"/>
        </w:rPr>
      </w:pPr>
    </w:p>
    <w:p>
      <w:pPr>
        <w:jc w:val="both"/>
        <w:ind w:left="424" w:hanging="424"/>
        <w:spacing w:after="0" w:line="282" w:lineRule="auto"/>
        <w:tabs>
          <w:tab w:leader="none" w:pos="424" w:val="left"/>
        </w:tabs>
        <w:numPr>
          <w:ilvl w:val="0"/>
          <w:numId w:val="25"/>
        </w:numPr>
        <w:rPr>
          <w:rFonts w:ascii="Arial" w:cs="Arial" w:eastAsia="Arial" w:hAnsi="Arial"/>
          <w:sz w:val="13"/>
          <w:szCs w:val="13"/>
          <w:color w:val="auto"/>
        </w:rPr>
      </w:pPr>
      <w:r>
        <w:rPr>
          <w:rFonts w:ascii="Arial" w:cs="Arial" w:eastAsia="Arial" w:hAnsi="Arial"/>
          <w:sz w:val="16"/>
          <w:szCs w:val="16"/>
          <w:color w:val="auto"/>
        </w:rPr>
        <w:t>The Company will be applying Catalent’s proprietary Zydis</w:t>
      </w:r>
      <w:r>
        <w:rPr>
          <w:rFonts w:ascii="Arial" w:cs="Arial" w:eastAsia="Arial" w:hAnsi="Arial"/>
          <w:sz w:val="13"/>
          <w:szCs w:val="13"/>
          <w:color w:val="auto"/>
        </w:rPr>
        <w:t>®</w:t>
      </w:r>
      <w:r>
        <w:rPr>
          <w:rFonts w:ascii="Arial" w:cs="Arial" w:eastAsia="Arial" w:hAnsi="Arial"/>
          <w:sz w:val="16"/>
          <w:szCs w:val="16"/>
          <w:color w:val="auto"/>
        </w:rPr>
        <w:t xml:space="preserve"> ODT technology for the delivery of our novel deuterated tryptamine, a potential therapy for treatment-resistant psychiatric disorders.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w:t>
      </w:r>
    </w:p>
    <w:p>
      <w:pPr>
        <w:ind w:left="424"/>
        <w:spacing w:after="0"/>
        <w:rPr>
          <w:sz w:val="20"/>
          <w:szCs w:val="20"/>
          <w:color w:val="auto"/>
        </w:rPr>
      </w:pPr>
      <w:r>
        <w:rPr>
          <w:rFonts w:ascii="Arial" w:cs="Arial" w:eastAsia="Arial" w:hAnsi="Arial"/>
          <w:sz w:val="17"/>
          <w:szCs w:val="17"/>
          <w:color w:val="auto"/>
        </w:rPr>
        <w:t>studies on timelines indicated as possible by such guidelines, other industry examples, and the Company’s development efforts to date.</w:t>
      </w:r>
    </w:p>
    <w:p>
      <w:pPr>
        <w:spacing w:after="0" w:line="19" w:lineRule="exact"/>
        <w:rPr>
          <w:sz w:val="20"/>
          <w:szCs w:val="20"/>
          <w:color w:val="auto"/>
        </w:rPr>
      </w:pPr>
    </w:p>
    <w:p>
      <w:pPr>
        <w:jc w:val="both"/>
        <w:ind w:left="424" w:right="20" w:hanging="424"/>
        <w:spacing w:after="0" w:line="282" w:lineRule="auto"/>
        <w:tabs>
          <w:tab w:leader="none" w:pos="424" w:val="left"/>
        </w:tabs>
        <w:numPr>
          <w:ilvl w:val="0"/>
          <w:numId w:val="26"/>
        </w:numPr>
        <w:rPr>
          <w:rFonts w:ascii="Arial" w:cs="Arial" w:eastAsia="Arial" w:hAnsi="Arial"/>
          <w:sz w:val="13"/>
          <w:szCs w:val="13"/>
          <w:color w:val="auto"/>
        </w:rPr>
      </w:pPr>
      <w:r>
        <w:rPr>
          <w:rFonts w:ascii="Arial" w:cs="Arial" w:eastAsia="Arial" w:hAnsi="Arial"/>
          <w:sz w:val="16"/>
          <w:szCs w:val="16"/>
          <w:color w:val="auto"/>
        </w:rPr>
        <w:t>The material factor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w:t>
      </w:r>
    </w:p>
    <w:p>
      <w:pPr>
        <w:spacing w:after="0" w:line="1" w:lineRule="exact"/>
        <w:rPr>
          <w:sz w:val="20"/>
          <w:szCs w:val="20"/>
          <w:color w:val="auto"/>
        </w:rPr>
      </w:pPr>
    </w:p>
    <w:p>
      <w:pPr>
        <w:ind w:left="424"/>
        <w:spacing w:after="0" w:line="249" w:lineRule="auto"/>
        <w:rPr>
          <w:sz w:val="20"/>
          <w:szCs w:val="20"/>
          <w:color w:val="auto"/>
        </w:rPr>
      </w:pPr>
      <w:r>
        <w:rPr>
          <w:rFonts w:ascii="Arial" w:cs="Arial" w:eastAsia="Arial" w:hAnsi="Arial"/>
          <w:sz w:val="18"/>
          <w:szCs w:val="18"/>
          <w:color w:val="auto"/>
        </w:rPr>
        <w:t>approval, and assumes the success of implementation and results of such studies on timelines indicated as possible by such guidelines, other industry examples, and the Company’s development efforts to date.</w:t>
      </w:r>
    </w:p>
    <w:p>
      <w:pPr>
        <w:spacing w:after="0" w:line="1"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3"/>
          <w:szCs w:val="13"/>
          <w:color w:val="auto"/>
        </w:rPr>
      </w:pPr>
      <w:r>
        <w:rPr>
          <w:rFonts w:ascii="Arial" w:cs="Arial" w:eastAsia="Arial" w:hAnsi="Arial"/>
          <w:sz w:val="16"/>
          <w:szCs w:val="16"/>
          <w:color w:val="auto"/>
        </w:rPr>
        <w:t>The material factor and assumption underlying this forward-looking statement is that the Company will be able to successfully negotiate strategic</w:t>
      </w:r>
    </w:p>
    <w:p>
      <w:pPr>
        <w:spacing w:after="0" w:line="3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partnerships.</w:t>
      </w:r>
    </w:p>
    <w:p>
      <w:pPr>
        <w:spacing w:after="0" w:line="8" w:lineRule="exact"/>
        <w:rPr>
          <w:sz w:val="20"/>
          <w:szCs w:val="20"/>
          <w:color w:val="auto"/>
        </w:rPr>
      </w:pPr>
    </w:p>
    <w:p>
      <w:pPr>
        <w:jc w:val="both"/>
        <w:ind w:left="424" w:right="20" w:hanging="424"/>
        <w:spacing w:after="0" w:line="282" w:lineRule="auto"/>
        <w:tabs>
          <w:tab w:leader="none" w:pos="424" w:val="left"/>
        </w:tabs>
        <w:numPr>
          <w:ilvl w:val="0"/>
          <w:numId w:val="28"/>
        </w:numPr>
        <w:rPr>
          <w:rFonts w:ascii="Arial" w:cs="Arial" w:eastAsia="Arial" w:hAnsi="Arial"/>
          <w:sz w:val="13"/>
          <w:szCs w:val="13"/>
          <w:color w:val="auto"/>
        </w:rPr>
      </w:pPr>
      <w:r>
        <w:rPr>
          <w:rFonts w:ascii="Arial" w:cs="Arial" w:eastAsia="Arial" w:hAnsi="Arial"/>
          <w:sz w:val="16"/>
          <w:szCs w:val="16"/>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w:t>
      </w:r>
    </w:p>
    <w:p>
      <w:pPr>
        <w:spacing w:after="0" w:line="1" w:lineRule="exact"/>
        <w:rPr>
          <w:sz w:val="20"/>
          <w:szCs w:val="20"/>
          <w:color w:val="auto"/>
        </w:rPr>
      </w:pPr>
    </w:p>
    <w:p>
      <w:pPr>
        <w:ind w:left="424" w:right="20"/>
        <w:spacing w:after="0" w:line="249" w:lineRule="auto"/>
        <w:rPr>
          <w:sz w:val="20"/>
          <w:szCs w:val="20"/>
          <w:color w:val="auto"/>
        </w:rPr>
      </w:pPr>
      <w:r>
        <w:rPr>
          <w:rFonts w:ascii="Arial" w:cs="Arial" w:eastAsia="Arial" w:hAnsi="Arial"/>
          <w:sz w:val="18"/>
          <w:szCs w:val="18"/>
          <w:color w:val="auto"/>
        </w:rPr>
        <w:t>Washington are co-sponsoring a randomized, placebo-controlled clinical trial of psychedelic-assisted psychotherapy with psilocybin for frontline clinicians experiencing Covid-related distress.</w:t>
      </w:r>
    </w:p>
    <w:p>
      <w:pPr>
        <w:spacing w:after="0" w:line="1"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3"/>
          <w:szCs w:val="13"/>
          <w:color w:val="auto"/>
        </w:rPr>
      </w:pPr>
      <w:r>
        <w:rPr>
          <w:rFonts w:ascii="Arial" w:cs="Arial" w:eastAsia="Arial" w:hAnsi="Arial"/>
          <w:sz w:val="16"/>
          <w:szCs w:val="16"/>
          <w:color w:val="auto"/>
        </w:rPr>
        <w:t>Certain statements regarding nutraceutical products or functional mushrooms have not been evaluated by Health Canada, the FDA or other similar</w:t>
      </w:r>
    </w:p>
    <w:p>
      <w:pPr>
        <w:spacing w:after="0" w:line="33" w:lineRule="exact"/>
        <w:rPr>
          <w:sz w:val="20"/>
          <w:szCs w:val="20"/>
          <w:color w:val="auto"/>
        </w:rPr>
      </w:pPr>
    </w:p>
    <w:p>
      <w:pPr>
        <w:ind w:left="424" w:right="20"/>
        <w:spacing w:after="0" w:line="280" w:lineRule="auto"/>
        <w:rPr>
          <w:sz w:val="20"/>
          <w:szCs w:val="20"/>
          <w:color w:val="auto"/>
        </w:rPr>
      </w:pPr>
      <w:r>
        <w:rPr>
          <w:rFonts w:ascii="Arial" w:cs="Arial" w:eastAsia="Arial" w:hAnsi="Arial"/>
          <w:sz w:val="16"/>
          <w:szCs w:val="16"/>
          <w:color w:val="auto"/>
        </w:rPr>
        <w:t>regulatory authorities, nor has the efficacy of functional mushrooms been confirmed by approved research. There is no assurance that mushrooms can be used to diagnose, treat, cure or prevent any disease or condition and robust scientific research and clinical trials are needed.</w:t>
      </w:r>
    </w:p>
    <w:p>
      <w:pPr>
        <w:spacing w:after="0" w:line="1" w:lineRule="exact"/>
        <w:rPr>
          <w:sz w:val="20"/>
          <w:szCs w:val="20"/>
          <w:color w:val="auto"/>
        </w:rPr>
      </w:pPr>
    </w:p>
    <w:p>
      <w:pPr>
        <w:jc w:val="both"/>
        <w:ind w:left="424" w:hanging="424"/>
        <w:spacing w:after="0" w:line="267" w:lineRule="auto"/>
        <w:tabs>
          <w:tab w:leader="none" w:pos="424" w:val="left"/>
        </w:tabs>
        <w:numPr>
          <w:ilvl w:val="0"/>
          <w:numId w:val="30"/>
        </w:numPr>
        <w:rPr>
          <w:rFonts w:ascii="Arial" w:cs="Arial" w:eastAsia="Arial" w:hAnsi="Arial"/>
          <w:sz w:val="14"/>
          <w:szCs w:val="14"/>
          <w:color w:val="auto"/>
        </w:rPr>
      </w:pPr>
      <w:r>
        <w:rPr>
          <w:rFonts w:ascii="Arial" w:cs="Arial" w:eastAsia="Arial" w:hAnsi="Arial"/>
          <w:sz w:val="17"/>
          <w:szCs w:val="17"/>
          <w:color w:val="auto"/>
        </w:rPr>
        <w:t>The material factors and assumptions underlying this forward-looking statement are: (a) the Company has assessed the market size for nutraceutical products by obtaining market search from third parties. Such research also provides a detailed analysis of the market segment for medicinal mushrooms and adaptogens that would be relevant to the Company’s analysis of its market launch strategy. The Company believes that these sources are generally reliable but has not independently verified such information; (b) the Company has agreements in place with four U.S. suppliers (Maypro Industries LLC, Aloha Medicinals, Enerhealth Botanicals, LLC and Optima Products, LLC) and the Company assumes that such suppliers will fulfil their requirements under those agreements and will continue to maintain all necessary licences and approvals necessary to perform their obligations under the agreements; (c) the Product Line is being explored for an initial launch in the U.S. Under applicable U.S. law, there are no required approvals, licenses and/or permits required to in advance of launching the Company’s products, however, the Company is required to submit its marketing materials to the FDA within 30 days following the launch of the Product Line for a review of any medicinal claims made; and (d) the Company has contracted with a digital agency that has undertaken initial market research and feasibility work and pending a review, the Company will seek elements needed for a viable digital platform. The Company has not yet contracted with an external developer.</w:t>
      </w:r>
    </w:p>
    <w:p>
      <w:pPr>
        <w:spacing w:after="0" w:line="117" w:lineRule="exact"/>
        <w:rPr>
          <w:rFonts w:ascii="Arial" w:cs="Arial" w:eastAsia="Arial" w:hAnsi="Arial"/>
          <w:sz w:val="14"/>
          <w:szCs w:val="14"/>
          <w:color w:val="auto"/>
        </w:rPr>
      </w:pPr>
    </w:p>
    <w:p>
      <w:pPr>
        <w:ind w:left="5464" w:hanging="106"/>
        <w:spacing w:after="0"/>
        <w:tabs>
          <w:tab w:leader="none" w:pos="54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24"/>
          </w:cols>
          <w:pgMar w:left="436" w:top="274" w:right="439" w:bottom="335" w:gutter="0" w:footer="0" w:header="0"/>
        </w:sectPr>
      </w:pPr>
    </w:p>
    <w:bookmarkStart w:id="30" w:name="page31"/>
    <w:bookmarkEnd w:id="30"/>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Stage of Development</w:t>
      </w:r>
    </w:p>
    <w:p>
      <w:pPr>
        <w:spacing w:after="0" w:line="11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As of the date of this MD&amp;A, the Company has not begun operations nor generated any revenue from the sale of the non-psychedelic product line (the “</w:t>
      </w:r>
      <w:r>
        <w:rPr>
          <w:rFonts w:ascii="Arial" w:cs="Arial" w:eastAsia="Arial" w:hAnsi="Arial"/>
          <w:sz w:val="18"/>
          <w:szCs w:val="18"/>
          <w:b w:val="1"/>
          <w:bCs w:val="1"/>
          <w:color w:val="auto"/>
        </w:rPr>
        <w:t>Product Line</w:t>
      </w:r>
      <w:r>
        <w:rPr>
          <w:rFonts w:ascii="Arial" w:cs="Arial" w:eastAsia="Arial" w:hAnsi="Arial"/>
          <w:sz w:val="18"/>
          <w:szCs w:val="18"/>
          <w:color w:val="auto"/>
        </w:rPr>
        <w:t>”)</w:t>
      </w:r>
      <w:r>
        <w:rPr>
          <w:rFonts w:ascii="Arial" w:cs="Arial" w:eastAsia="Arial" w:hAnsi="Arial"/>
          <w:sz w:val="15"/>
          <w:szCs w:val="15"/>
          <w:color w:val="auto"/>
        </w:rPr>
        <w:t>8</w:t>
      </w:r>
      <w:r>
        <w:rPr>
          <w:rFonts w:ascii="Arial" w:cs="Arial" w:eastAsia="Arial" w:hAnsi="Arial"/>
          <w:sz w:val="18"/>
          <w:szCs w:val="18"/>
          <w:color w:val="auto"/>
        </w:rPr>
        <w:t>. Like most life sciences and pharmaceutical companies, Serenity Life’s and Cybin U.S.’s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18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The Company’s revenues reflected in the Interim Financial Statements originated from non-core, nutraceutical formulation which was purchased and formulated into finished goods and sold in the United States to one purchaser. The products will not be re-generated in the future and do not represent core sales of the Company and/or core products of the Company. The Company has discontinued its sales of such products as it is not in line with the Company’s core sales model.</w:t>
      </w:r>
    </w:p>
    <w:p>
      <w:pPr>
        <w:spacing w:after="0" w:line="187"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In order to establish its business operations, the Company intends to leverage the extensive professional network of its management to build working partnerships with (i) existing producers of psychedelic and non-psychedelic products based in Canada, the United States, and the United Kingdom to source the psychedelic pharmaceutical and non-psychedelic products the Company intends to develop and distribute under its specific brand, and (ii) to explore options to facilitate the development and distribution and sale of its specific brand of psychedelic pharmaceutical and non-psychedelic products.</w:t>
      </w:r>
      <w:r>
        <w:rPr>
          <w:rFonts w:ascii="Arial" w:cs="Arial" w:eastAsia="Arial" w:hAnsi="Arial"/>
          <w:sz w:val="15"/>
          <w:szCs w:val="15"/>
          <w:color w:val="auto"/>
        </w:rPr>
        <w:t>9</w:t>
      </w:r>
    </w:p>
    <w:p>
      <w:pPr>
        <w:spacing w:after="0" w:line="188" w:lineRule="exact"/>
        <w:rPr>
          <w:sz w:val="20"/>
          <w:szCs w:val="20"/>
          <w:color w:val="auto"/>
        </w:rPr>
      </w:pPr>
    </w:p>
    <w:p>
      <w:pPr>
        <w:jc w:val="both"/>
        <w:ind w:left="4"/>
        <w:spacing w:after="0" w:line="279" w:lineRule="auto"/>
        <w:rPr>
          <w:sz w:val="20"/>
          <w:szCs w:val="20"/>
          <w:color w:val="auto"/>
        </w:rPr>
      </w:pPr>
      <w:r>
        <w:rPr>
          <w:rFonts w:ascii="Arial" w:cs="Arial" w:eastAsia="Arial" w:hAnsi="Arial"/>
          <w:sz w:val="17"/>
          <w:szCs w:val="17"/>
          <w:color w:val="auto"/>
        </w:rPr>
        <w:t>The Company’s marketing and brand development will be driven through a digital marketing strategy composed of digital advertising and influencer marketing. Natural health products (“</w:t>
      </w:r>
      <w:r>
        <w:rPr>
          <w:rFonts w:ascii="Arial" w:cs="Arial" w:eastAsia="Arial" w:hAnsi="Arial"/>
          <w:sz w:val="17"/>
          <w:szCs w:val="17"/>
          <w:b w:val="1"/>
          <w:bCs w:val="1"/>
          <w:color w:val="auto"/>
        </w:rPr>
        <w:t>NHPs</w:t>
      </w:r>
      <w:r>
        <w:rPr>
          <w:rFonts w:ascii="Arial" w:cs="Arial" w:eastAsia="Arial" w:hAnsi="Arial"/>
          <w:sz w:val="17"/>
          <w:szCs w:val="17"/>
          <w:color w:val="auto"/>
        </w:rPr>
        <w:t xml:space="preserve">”), prescription drugs, and non-prescription drugs are all classified and regulated under the federal </w:t>
      </w:r>
      <w:r>
        <w:rPr>
          <w:rFonts w:ascii="Arial" w:cs="Arial" w:eastAsia="Arial" w:hAnsi="Arial"/>
          <w:sz w:val="17"/>
          <w:szCs w:val="17"/>
          <w:i w:val="1"/>
          <w:iCs w:val="1"/>
          <w:color w:val="auto"/>
        </w:rPr>
        <w:t>Food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Drugs Act </w:t>
      </w:r>
      <w:r>
        <w:rPr>
          <w:rFonts w:ascii="Arial" w:cs="Arial" w:eastAsia="Arial" w:hAnsi="Arial"/>
          <w:sz w:val="17"/>
          <w:szCs w:val="17"/>
          <w:color w:val="auto"/>
        </w:rPr>
        <w:t>(Canada) (the “</w:t>
      </w:r>
      <w:r>
        <w:rPr>
          <w:rFonts w:ascii="Arial" w:cs="Arial" w:eastAsia="Arial" w:hAnsi="Arial"/>
          <w:sz w:val="17"/>
          <w:szCs w:val="17"/>
          <w:b w:val="1"/>
          <w:bCs w:val="1"/>
          <w:color w:val="auto"/>
        </w:rPr>
        <w:t>Canadian FDA</w:t>
      </w:r>
      <w:r>
        <w:rPr>
          <w:rFonts w:ascii="Arial" w:cs="Arial" w:eastAsia="Arial" w:hAnsi="Arial"/>
          <w:sz w:val="17"/>
          <w:szCs w:val="17"/>
          <w:color w:val="auto"/>
        </w:rPr>
        <w:t>”). Labelling, marketing and selling of any NHPs must comply with the Canadian FDA, including by ensuring</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Company’s products are not packaged or marketed in a manner that is misleading or deceptive to a consumer.</w:t>
      </w:r>
    </w:p>
    <w:p>
      <w:pPr>
        <w:spacing w:after="0" w:line="167" w:lineRule="exact"/>
        <w:rPr>
          <w:sz w:val="20"/>
          <w:szCs w:val="20"/>
          <w:color w:val="auto"/>
        </w:rPr>
      </w:pPr>
    </w:p>
    <w:p>
      <w:pPr>
        <w:jc w:val="both"/>
        <w:ind w:left="4" w:right="20"/>
        <w:spacing w:after="0" w:line="298" w:lineRule="auto"/>
        <w:rPr>
          <w:sz w:val="20"/>
          <w:szCs w:val="20"/>
          <w:color w:val="auto"/>
        </w:rPr>
      </w:pPr>
      <w:r>
        <w:rPr>
          <w:rFonts w:ascii="Arial" w:cs="Arial" w:eastAsia="Arial" w:hAnsi="Arial"/>
          <w:sz w:val="16"/>
          <w:szCs w:val="16"/>
          <w:color w:val="auto"/>
        </w:rPr>
        <w:t xml:space="preserve">In the United States, foods, drugs and dietary supplements are subject to extensive regulation. The </w:t>
      </w:r>
      <w:r>
        <w:rPr>
          <w:rFonts w:ascii="Arial" w:cs="Arial" w:eastAsia="Arial" w:hAnsi="Arial"/>
          <w:sz w:val="16"/>
          <w:szCs w:val="16"/>
          <w:i w:val="1"/>
          <w:iCs w:val="1"/>
          <w:color w:val="auto"/>
        </w:rPr>
        <w:t>Federal Food, Drug, and Cosmetic Act</w:t>
      </w:r>
      <w:r>
        <w:rPr>
          <w:rFonts w:ascii="Arial" w:cs="Arial" w:eastAsia="Arial" w:hAnsi="Arial"/>
          <w:sz w:val="16"/>
          <w:szCs w:val="16"/>
          <w:color w:val="auto"/>
        </w:rPr>
        <w:t xml:space="preserve"> (“</w:t>
      </w:r>
      <w:r>
        <w:rPr>
          <w:rFonts w:ascii="Arial" w:cs="Arial" w:eastAsia="Arial" w:hAnsi="Arial"/>
          <w:sz w:val="16"/>
          <w:szCs w:val="16"/>
          <w:b w:val="1"/>
          <w:bCs w:val="1"/>
          <w:color w:val="auto"/>
        </w:rPr>
        <w:t>FFDCA</w:t>
      </w:r>
      <w:r>
        <w:rPr>
          <w:rFonts w:ascii="Arial" w:cs="Arial" w:eastAsia="Arial" w:hAnsi="Arial"/>
          <w:sz w:val="16"/>
          <w:szCs w:val="16"/>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NHPs, food products or pharmaceutical products comply with the U.S. regulations, including the FFDCA and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15"/>
          <w:szCs w:val="15"/>
          <w:b w:val="1"/>
          <w:bCs w:val="1"/>
          <w:i w:val="1"/>
          <w:iCs w:val="1"/>
          <w:color w:val="auto"/>
        </w:rPr>
        <w:t>10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currently has five significant projects, which have not yet generated revenue:</w:t>
      </w:r>
    </w:p>
    <w:p>
      <w:pPr>
        <w:spacing w:after="0" w:line="131" w:lineRule="exact"/>
        <w:rPr>
          <w:sz w:val="20"/>
          <w:szCs w:val="20"/>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Psilocybin Program</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Deuterated Tryptamines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line="258" w:lineRule="auto"/>
        <w:tabs>
          <w:tab w:leader="none" w:pos="424"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The Company’s revenues reflected in its 2021 annual consolidated financial statements are from non-recurring opportunist sales of non-core products sold in the United States.</w:t>
      </w:r>
    </w:p>
    <w:p>
      <w:pPr>
        <w:jc w:val="both"/>
        <w:ind w:left="424" w:right="20" w:hanging="424"/>
        <w:spacing w:after="0" w:line="250" w:lineRule="auto"/>
        <w:tabs>
          <w:tab w:leader="none" w:pos="424" w:val="left"/>
        </w:tabs>
        <w:numPr>
          <w:ilvl w:val="0"/>
          <w:numId w:val="33"/>
        </w:numPr>
        <w:rPr>
          <w:rFonts w:ascii="Arial" w:cs="Arial" w:eastAsia="Arial" w:hAnsi="Arial"/>
          <w:sz w:val="15"/>
          <w:szCs w:val="15"/>
          <w:color w:val="auto"/>
        </w:rPr>
      </w:pPr>
      <w:r>
        <w:rPr>
          <w:rFonts w:ascii="Arial" w:cs="Arial" w:eastAsia="Arial" w:hAnsi="Arial"/>
          <w:sz w:val="18"/>
          <w:szCs w:val="18"/>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All quarter references in this section are based on calendar year-end.</w:t>
      </w:r>
    </w:p>
    <w:p>
      <w:pPr>
        <w:spacing w:after="0" w:line="144" w:lineRule="exact"/>
        <w:rPr>
          <w:rFonts w:ascii="Arial" w:cs="Arial" w:eastAsia="Arial" w:hAnsi="Arial"/>
          <w:sz w:val="15"/>
          <w:szCs w:val="15"/>
          <w:color w:val="auto"/>
        </w:rPr>
      </w:pPr>
    </w:p>
    <w:p>
      <w:pPr>
        <w:ind w:left="5464" w:hanging="106"/>
        <w:spacing w:after="0"/>
        <w:tabs>
          <w:tab w:leader="none" w:pos="54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24"/>
          </w:cols>
          <w:pgMar w:left="436" w:top="274" w:right="439" w:bottom="1440" w:gutter="0" w:footer="0" w:header="0"/>
        </w:sectPr>
      </w:pPr>
    </w:p>
    <w:bookmarkStart w:id="31" w:name="page32"/>
    <w:bookmarkEnd w:id="31"/>
    <w:p>
      <w:pPr>
        <w:ind w:left="964" w:hanging="532"/>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Phenethylamine Preclinical Program</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Nutraceutical Products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Psilocybin Program</w:t>
      </w:r>
    </w:p>
    <w:p>
      <w:pPr>
        <w:spacing w:after="0" w:line="11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Psilocybin is the first drug program in development by the Company. The Company’s sublingual film formulation of psilocybin is a synthetic psychedelic molecular formulation, the activity for which is in part based upon classical serotonin 2A psychedelic activity. A provisional patent has been filed covering the sublingual delivery of psilocybin.</w:t>
      </w:r>
    </w:p>
    <w:p>
      <w:pPr>
        <w:spacing w:after="0" w:line="184" w:lineRule="exact"/>
        <w:rPr>
          <w:sz w:val="20"/>
          <w:szCs w:val="20"/>
          <w:color w:val="auto"/>
        </w:rPr>
      </w:pPr>
    </w:p>
    <w:p>
      <w:pPr>
        <w:jc w:val="both"/>
        <w:ind w:left="4" w:right="20"/>
        <w:spacing w:after="0" w:line="293" w:lineRule="auto"/>
        <w:rPr>
          <w:sz w:val="20"/>
          <w:szCs w:val="20"/>
          <w:color w:val="auto"/>
        </w:rPr>
      </w:pPr>
      <w:r>
        <w:rPr>
          <w:rFonts w:ascii="Arial" w:cs="Arial" w:eastAsia="Arial" w:hAnsi="Arial"/>
          <w:sz w:val="16"/>
          <w:szCs w:val="16"/>
          <w:color w:val="auto"/>
        </w:rPr>
        <w:t>Studies of psilocybin efficacy in depressive states published by Johns Hopkins University demonstrate promising potential efficacy of psilocybin and, therefore, of the Company’s novel formulation. The Company has contracted with IntelGenx (as defined below) to undertake the development of a sublingual film formulation of psilocybin. To date, an array of drug formulation candidates have been created and the Company continues to pursue the optimization of certain characteristics of these formulations including, but not limited to, composition, membrane permeation and stability. The Company anticipates that its sublingual psilocybin will enter a phase IIa study in Q4 2021, updated from the prior estimate of Q2 2021 due to certain research and development delays, but there is no assurance that this timeline will be met or that this formulation will advance to clinical trials at all.</w:t>
      </w:r>
      <w:r>
        <w:rPr>
          <w:rFonts w:ascii="Arial" w:cs="Arial" w:eastAsia="Arial" w:hAnsi="Arial"/>
          <w:sz w:val="13"/>
          <w:szCs w:val="13"/>
          <w:color w:val="auto"/>
        </w:rPr>
        <w:t>11</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June 30, 2021, the Company has spent approximately $1,264 on formulation development.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Since the date of the AIF, the Company continued to advance its psilocybin program as described herein, including with the following progress:</w:t>
      </w:r>
    </w:p>
    <w:p>
      <w:pPr>
        <w:spacing w:after="0" w:line="142" w:lineRule="exact"/>
        <w:rPr>
          <w:sz w:val="20"/>
          <w:szCs w:val="20"/>
          <w:color w:val="auto"/>
        </w:rPr>
      </w:pPr>
    </w:p>
    <w:p>
      <w:pPr>
        <w:ind w:left="964" w:hanging="532"/>
        <w:spacing w:after="0"/>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selected the final formulation of a sublingual film formulation of psilocybin with IntelGenx;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commenced production of the clinical supplies and associated data package required for its studies.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Deuterated Tryptamines Preclinical Programs</w:t>
      </w:r>
    </w:p>
    <w:p>
      <w:pPr>
        <w:spacing w:after="0" w:line="117" w:lineRule="exact"/>
        <w:rPr>
          <w:sz w:val="20"/>
          <w:szCs w:val="20"/>
          <w:color w:val="auto"/>
        </w:rPr>
      </w:pPr>
    </w:p>
    <w:p>
      <w:pPr>
        <w:jc w:val="both"/>
        <w:ind w:left="4"/>
        <w:spacing w:after="0" w:line="271" w:lineRule="auto"/>
        <w:rPr>
          <w:sz w:val="20"/>
          <w:szCs w:val="20"/>
          <w:color w:val="auto"/>
        </w:rPr>
      </w:pPr>
      <w:r>
        <w:rPr>
          <w:rFonts w:ascii="Arial" w:cs="Arial" w:eastAsia="Arial" w:hAnsi="Arial"/>
          <w:sz w:val="17"/>
          <w:szCs w:val="17"/>
          <w:color w:val="auto"/>
        </w:rPr>
        <w:t>Pursuant to the acquisition of Adelia, the Company has acquired preclinical deuterated tryptamines programs. To date, the Company has undertaken sufficient work to enable selection of two deuterated tryptamine candidates and has scaled up production processes to optimize and maximize yields and ensure the drug candidates meet the required purity levels. In vitro proof of principal in animal models has been completed to ensure selection of molecules with optimal anticipated pharmacokinetics best suited for future phase I clinical trials. The Company anticipates that its first deuterated tryptamine candidate (CYB003) may enter phase I clinical trials Q1 2022 and that the second candidate (CYB004) many enter phase I clinical trials by the end of Q2 2022, updated from the prior estimate of Q1 2022, but there is no assurance that these timelines will be met or that these preclinical drug candidates will advance to clinical trials at all.</w:t>
      </w:r>
      <w:r>
        <w:rPr>
          <w:rFonts w:ascii="Arial" w:cs="Arial" w:eastAsia="Arial" w:hAnsi="Arial"/>
          <w:sz w:val="14"/>
          <w:szCs w:val="14"/>
          <w:color w:val="auto"/>
        </w:rPr>
        <w:t>12</w:t>
      </w:r>
      <w:r>
        <w:rPr>
          <w:rFonts w:ascii="Arial" w:cs="Arial" w:eastAsia="Arial" w:hAnsi="Arial"/>
          <w:sz w:val="17"/>
          <w:szCs w:val="17"/>
          <w:color w:val="auto"/>
        </w:rPr>
        <w:t xml:space="preserve"> The Company has started research on dimethyltryptamine (“</w:t>
      </w:r>
      <w:r>
        <w:rPr>
          <w:rFonts w:ascii="Arial" w:cs="Arial" w:eastAsia="Arial" w:hAnsi="Arial"/>
          <w:sz w:val="17"/>
          <w:szCs w:val="17"/>
          <w:b w:val="1"/>
          <w:bCs w:val="1"/>
          <w:color w:val="auto"/>
        </w:rPr>
        <w:t>DMT</w:t>
      </w:r>
      <w:r>
        <w:rPr>
          <w:rFonts w:ascii="Arial" w:cs="Arial" w:eastAsia="Arial" w:hAnsi="Arial"/>
          <w:sz w:val="17"/>
          <w:szCs w:val="17"/>
          <w:color w:val="auto"/>
        </w:rPr>
        <w:t>”) like molecules and research is ongoing to identify the best development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jc w:val="both"/>
        <w:ind w:left="424" w:hanging="424"/>
        <w:spacing w:after="0" w:line="266" w:lineRule="auto"/>
        <w:tabs>
          <w:tab w:leader="none" w:pos="424" w:val="left"/>
        </w:tabs>
        <w:numPr>
          <w:ilvl w:val="0"/>
          <w:numId w:val="37"/>
        </w:numPr>
        <w:rPr>
          <w:rFonts w:ascii="Arial" w:cs="Arial" w:eastAsia="Arial" w:hAnsi="Arial"/>
          <w:sz w:val="14"/>
          <w:szCs w:val="14"/>
          <w:color w:val="auto"/>
        </w:rPr>
      </w:pPr>
      <w:r>
        <w:rPr>
          <w:rFonts w:ascii="Arial" w:cs="Arial" w:eastAsia="Arial" w:hAnsi="Arial"/>
          <w:sz w:val="17"/>
          <w:szCs w:val="17"/>
          <w:color w:val="auto"/>
        </w:rPr>
        <w:t>The material factors and assumptions underlying this forward-looking statement are: (a)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Such timelines are also based upon discussions with local experts in Jamaica. The Company applied to the IRB and MOH in September 2020 and has received approval from the IRB in May 2021 to begin the phase IIa study. The MOH approval is required to begin the export process of study materials to the study site and any delays in the export/import permitting or logistics may impact the study initiation timeline. As of the date hereof, other than the IRB, it has neither determined, nor applied for, the approvals, permits, and/or licenses which may be required to complete the phase IIa study. While timely and successful completion of the phase IIa study will be required before the Company will initiate the IIb study, the Company has secured adequate supply of raw material to complete the phase IIa and phase IIb studies.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5" w:lineRule="exact"/>
        <w:rPr>
          <w:rFonts w:ascii="Arial" w:cs="Arial" w:eastAsia="Arial" w:hAnsi="Arial"/>
          <w:sz w:val="14"/>
          <w:szCs w:val="14"/>
          <w:color w:val="auto"/>
        </w:rPr>
      </w:pPr>
    </w:p>
    <w:p>
      <w:pPr>
        <w:ind w:left="424" w:hanging="424"/>
        <w:spacing w:after="0"/>
        <w:tabs>
          <w:tab w:leader="none" w:pos="424" w:val="left"/>
        </w:tabs>
        <w:numPr>
          <w:ilvl w:val="0"/>
          <w:numId w:val="37"/>
        </w:numPr>
        <w:rPr>
          <w:rFonts w:ascii="Arial" w:cs="Arial" w:eastAsia="Arial" w:hAnsi="Arial"/>
          <w:sz w:val="13"/>
          <w:szCs w:val="13"/>
          <w:color w:val="auto"/>
        </w:rPr>
      </w:pPr>
      <w:r>
        <w:rPr>
          <w:rFonts w:ascii="Arial" w:cs="Arial" w:eastAsia="Arial" w:hAnsi="Arial"/>
          <w:sz w:val="16"/>
          <w:szCs w:val="16"/>
          <w:color w:val="auto"/>
        </w:rPr>
        <w:t>This statement is based on the following material factors and assumptions: (a) the timely and successful completion of certain preclinical studies</w:t>
      </w:r>
    </w:p>
    <w:p>
      <w:pPr>
        <w:spacing w:after="0" w:line="32" w:lineRule="exact"/>
        <w:rPr>
          <w:rFonts w:ascii="Arial" w:cs="Arial" w:eastAsia="Arial" w:hAnsi="Arial"/>
          <w:sz w:val="13"/>
          <w:szCs w:val="13"/>
          <w:color w:val="auto"/>
        </w:rPr>
      </w:pPr>
    </w:p>
    <w:p>
      <w:pPr>
        <w:jc w:val="both"/>
        <w:ind w:left="424"/>
        <w:spacing w:after="0" w:line="268" w:lineRule="auto"/>
        <w:rPr>
          <w:rFonts w:ascii="Arial" w:cs="Arial" w:eastAsia="Arial" w:hAnsi="Arial"/>
          <w:sz w:val="13"/>
          <w:szCs w:val="13"/>
          <w:color w:val="auto"/>
        </w:rPr>
      </w:pPr>
      <w:r>
        <w:rPr>
          <w:rFonts w:ascii="Arial" w:cs="Arial" w:eastAsia="Arial" w:hAnsi="Arial"/>
          <w:sz w:val="17"/>
          <w:szCs w:val="17"/>
          <w:color w:val="auto"/>
        </w:rPr>
        <w:t>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(b) the Company assumes it will enter into agreements with certain third party vendors to complete a range of additional preclinical programs before the final selection of drug candidates for entry into human trials; and (c) obtain an IND and/or a CTA to enter into clinical trials.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11" w:lineRule="exact"/>
        <w:rPr>
          <w:rFonts w:ascii="Arial" w:cs="Arial" w:eastAsia="Arial" w:hAnsi="Arial"/>
          <w:sz w:val="13"/>
          <w:szCs w:val="13"/>
          <w:color w:val="auto"/>
        </w:rPr>
      </w:pPr>
    </w:p>
    <w:p>
      <w:pPr>
        <w:ind w:left="5464" w:hanging="106"/>
        <w:spacing w:after="0"/>
        <w:tabs>
          <w:tab w:leader="none" w:pos="54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24"/>
          </w:cols>
          <w:pgMar w:left="436" w:top="274" w:right="43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June 30, 2021, the Company has spent approximately $1,682 on deuterated tryptamines.</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Since the date of the AIF, the Company continued to advance its deuterated tryptamine preclinical program as described herein, including with the following progress:</w:t>
      </w:r>
    </w:p>
    <w:p>
      <w:pPr>
        <w:spacing w:after="0" w:line="76" w:lineRule="exact"/>
        <w:rPr>
          <w:sz w:val="20"/>
          <w:szCs w:val="20"/>
          <w:color w:val="auto"/>
        </w:rPr>
      </w:pPr>
    </w:p>
    <w:p>
      <w:pPr>
        <w:ind w:left="964" w:hanging="532"/>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completed additional pre-clinical studies on its CYB003 and CYB004 proprietary psychedelic molecules; and</w:t>
      </w:r>
    </w:p>
    <w:p>
      <w:pPr>
        <w:spacing w:after="0" w:line="126" w:lineRule="exact"/>
        <w:rPr>
          <w:rFonts w:ascii="Arial" w:cs="Arial" w:eastAsia="Arial" w:hAnsi="Arial"/>
          <w:sz w:val="18"/>
          <w:szCs w:val="18"/>
          <w:color w:val="auto"/>
        </w:rPr>
      </w:pPr>
    </w:p>
    <w:p>
      <w:pPr>
        <w:ind w:left="964" w:hanging="532"/>
        <w:spacing w:after="0" w:line="282"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completed Zydis feasibility studies with Catalent, Inc. (“</w:t>
      </w:r>
      <w:r>
        <w:rPr>
          <w:rFonts w:ascii="Arial" w:cs="Arial" w:eastAsia="Arial" w:hAnsi="Arial"/>
          <w:sz w:val="18"/>
          <w:szCs w:val="18"/>
          <w:b w:val="1"/>
          <w:bCs w:val="1"/>
          <w:color w:val="auto"/>
        </w:rPr>
        <w:t>Catalent</w:t>
      </w:r>
      <w:r>
        <w:rPr>
          <w:rFonts w:ascii="Arial" w:cs="Arial" w:eastAsia="Arial" w:hAnsi="Arial"/>
          <w:sz w:val="18"/>
          <w:szCs w:val="18"/>
          <w:color w:val="auto"/>
        </w:rPr>
        <w:t>”) for its fast-dissolve formulation of novel deuterated tryptamine (CYB003).</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Phenethylamine Preclinical Program</w:t>
      </w:r>
    </w:p>
    <w:p>
      <w:pPr>
        <w:spacing w:after="0" w:line="117"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Pursuant to the acquisition of Adelia, the Company has acquired a preclinical phenethylamine program. Work on the synthesis and optimization of these molecules has only recently begun at a third-party vendor. The Company anticipates that its phenethylamine program may deliver a drug candidate suitable for entry into phase I clinical studies by the end of calendar 2022 or early calendar 2023, updated from the prior estimate of late calendar 2021 to early calendar 2022 due to certain research and development delays, but there is no assurance that these timelines will be met or that a preclinical drug candidate will advance to clinical trials at all.</w:t>
      </w:r>
      <w:r>
        <w:rPr>
          <w:rFonts w:ascii="Arial" w:cs="Arial" w:eastAsia="Arial" w:hAnsi="Arial"/>
          <w:sz w:val="15"/>
          <w:szCs w:val="15"/>
          <w:color w:val="auto"/>
        </w:rPr>
        <w:t>13</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June 30, 2021, the Company has spent approximately $242 on preclinical phenethylamines.</w:t>
      </w:r>
    </w:p>
    <w:p>
      <w:pPr>
        <w:spacing w:after="0" w:line="225"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Since the date of the AIF, the Company has continued its work on its synthesis and optimization of phenethylamines. Multiple phenethlyamines have been shown to have psychedelic properties and several such as MDMA have shown great promise as therapeutics. Cybin’s proprietary approach to phenethlyamine modification with deuterium substitution, proprietary formulations and directed delivery systems has yielded a number of novel leads with significant therapeutic potential. Several compounds are now being further studied both in vitro and in vivo for selection of the best development candidates.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Nutraceutical Products</w:t>
      </w:r>
    </w:p>
    <w:p>
      <w:pPr>
        <w:spacing w:after="0" w:line="117"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The Company is evaluating the commercial viability of the Product Line and any future launch within the context of prioritizing the research and development progression of psychedelic molecules. The Company has contracts with suppliers to source a range of functional mushroom-based nutraceutical products when the Company determines the Product Line launch is viable. The Company is evaluating the competitive differentiators of this range of products such as unique combinations of nonregulated functional mushrooms with adaptogens and proprietary mushroom ingredients, supported by published clinical studies.</w:t>
      </w:r>
      <w:r>
        <w:rPr>
          <w:rFonts w:ascii="Arial" w:cs="Arial" w:eastAsia="Arial" w:hAnsi="Arial"/>
          <w:sz w:val="14"/>
          <w:szCs w:val="14"/>
          <w:color w:val="auto"/>
        </w:rPr>
        <w:t>14</w:t>
      </w:r>
      <w:r>
        <w:rPr>
          <w:rFonts w:ascii="Arial" w:cs="Arial" w:eastAsia="Arial" w:hAnsi="Arial"/>
          <w:sz w:val="17"/>
          <w:szCs w:val="17"/>
          <w:color w:val="auto"/>
        </w:rPr>
        <w:t xml:space="preserve"> The Company has updated the timeline for the Product Line from ‘Q4-2021 to Q1 2022’ to Q2 2022. With the advancements in its research and development, the Company has prioritized its progression of psychedelic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jc w:val="both"/>
        <w:ind w:left="424" w:hanging="424"/>
        <w:spacing w:after="0" w:line="284" w:lineRule="auto"/>
        <w:tabs>
          <w:tab w:leader="none" w:pos="424" w:val="left"/>
        </w:tabs>
        <w:numPr>
          <w:ilvl w:val="0"/>
          <w:numId w:val="39"/>
        </w:numPr>
        <w:rPr>
          <w:rFonts w:ascii="Arial" w:cs="Arial" w:eastAsia="Arial" w:hAnsi="Arial"/>
          <w:sz w:val="13"/>
          <w:szCs w:val="13"/>
          <w:color w:val="auto"/>
        </w:rPr>
      </w:pPr>
      <w:r>
        <w:rPr>
          <w:rFonts w:ascii="Arial" w:cs="Arial" w:eastAsia="Arial" w:hAnsi="Arial"/>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w:t>
      </w:r>
      <w:r>
        <w:rPr>
          <w:rFonts w:ascii="Arial" w:cs="Arial" w:eastAsia="Arial" w:hAnsi="Arial"/>
          <w:sz w:val="16"/>
          <w:szCs w:val="16"/>
          <w:b w:val="1"/>
          <w:bCs w:val="1"/>
          <w:color w:val="auto"/>
        </w:rPr>
        <w:t>ADME</w:t>
      </w:r>
      <w:r>
        <w:rPr>
          <w:rFonts w:ascii="Arial" w:cs="Arial" w:eastAsia="Arial" w:hAnsi="Arial"/>
          <w:sz w:val="16"/>
          <w:szCs w:val="16"/>
          <w:color w:val="auto"/>
        </w:rPr>
        <w:t>”)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w:t>
      </w:r>
    </w:p>
    <w:p>
      <w:pPr>
        <w:spacing w:after="0" w:line="4" w:lineRule="exact"/>
        <w:rPr>
          <w:rFonts w:ascii="Arial" w:cs="Arial" w:eastAsia="Arial" w:hAnsi="Arial"/>
          <w:sz w:val="13"/>
          <w:szCs w:val="13"/>
          <w:color w:val="auto"/>
        </w:rPr>
      </w:pPr>
    </w:p>
    <w:p>
      <w:pPr>
        <w:jc w:val="both"/>
        <w:ind w:left="424" w:firstLine="8"/>
        <w:spacing w:after="0" w:line="265" w:lineRule="auto"/>
        <w:tabs>
          <w:tab w:leader="none" w:pos="705" w:val="left"/>
        </w:tabs>
        <w:numPr>
          <w:ilvl w:val="1"/>
          <w:numId w:val="39"/>
        </w:numPr>
        <w:rPr>
          <w:rFonts w:ascii="Arial" w:cs="Arial" w:eastAsia="Arial" w:hAnsi="Arial"/>
          <w:sz w:val="17"/>
          <w:szCs w:val="17"/>
          <w:color w:val="auto"/>
        </w:rPr>
      </w:pPr>
      <w:r>
        <w:rPr>
          <w:rFonts w:ascii="Arial" w:cs="Arial" w:eastAsia="Arial" w:hAnsi="Arial"/>
          <w:sz w:val="17"/>
          <w:szCs w:val="17"/>
          <w:color w:val="auto"/>
        </w:rPr>
        <w:t>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jc w:val="both"/>
        <w:ind w:left="424" w:hanging="424"/>
        <w:spacing w:after="0" w:line="285" w:lineRule="auto"/>
        <w:tabs>
          <w:tab w:leader="none" w:pos="424" w:val="left"/>
        </w:tabs>
        <w:numPr>
          <w:ilvl w:val="0"/>
          <w:numId w:val="39"/>
        </w:numPr>
        <w:rPr>
          <w:rFonts w:ascii="Arial" w:cs="Arial" w:eastAsia="Arial" w:hAnsi="Arial"/>
          <w:sz w:val="13"/>
          <w:szCs w:val="13"/>
          <w:color w:val="auto"/>
        </w:rPr>
      </w:pPr>
      <w:r>
        <w:rPr>
          <w:rFonts w:ascii="Arial" w:cs="Arial" w:eastAsia="Arial" w:hAnsi="Arial"/>
          <w:sz w:val="16"/>
          <w:szCs w:val="16"/>
          <w:color w:val="auto"/>
        </w:rPr>
        <w:t>The material factors and assumptions underlying this forward-looking statement are: (a) the Company has assessed the market size for nutraceutical products by obtaining market research from third parties. Such research also provides a detailed analysis of the market segment for medicinal mushrooms and adaptogens that would be relevant to the Company’s analysis of its market launch strategy. The Company believes that these sources are generally reliable but has assumed the accuracy and completeness of such information. The Company has not independently verified such information; (b) the Company has agreements in place with four U.S. suppliers (Maypro Industries LLC, Aloha Medicinals, Enerhealth Botanicals, LLC and Optima Products, LLC) and the Company assumes that such suppliers will fulfil their requirements under those agreements and will continue to maintain all necessary licences and approvals necessary to perform their obligations under the agreements; (c) the Product Line will, initially, only launch in the U.S. Under applicable U.S. law, there are no required approvals, licenses and/or permits required to in advance of launching the Company’s products; however, the Company is required to submit its marketing materials to the FDA within 30 days following the launch of the Product Line for a review of any medicinal claims made; and (d) the Company has contracted with a digital agency that has undertaken initial market research and feasibility work and pending a review, the Company will seek elements needed for a viable digital platform. The Company has not yet contracted with an external developer.</w:t>
      </w:r>
    </w:p>
    <w:p>
      <w:pPr>
        <w:spacing w:after="0" w:line="104" w:lineRule="exact"/>
        <w:rPr>
          <w:rFonts w:ascii="Arial" w:cs="Arial" w:eastAsia="Arial" w:hAnsi="Arial"/>
          <w:sz w:val="13"/>
          <w:szCs w:val="13"/>
          <w:color w:val="auto"/>
        </w:rPr>
      </w:pPr>
    </w:p>
    <w:p>
      <w:pPr>
        <w:ind w:left="5464" w:hanging="106"/>
        <w:spacing w:after="0"/>
        <w:tabs>
          <w:tab w:leader="none" w:pos="5464" w:val="left"/>
        </w:tabs>
        <w:numPr>
          <w:ilvl w:val="2"/>
          <w:numId w:val="3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24"/>
          </w:cols>
          <w:pgMar w:left="436" w:top="274" w:right="439" w:bottom="1440" w:gutter="0" w:footer="0" w:header="0"/>
        </w:sectPr>
      </w:pPr>
    </w:p>
    <w:bookmarkStart w:id="33" w:name="page34"/>
    <w:bookmarkEnd w:id="3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June 30, 2021, the Company has spent approximately $nil on the Product Line.</w:t>
      </w:r>
    </w:p>
    <w:p>
      <w:pPr>
        <w:spacing w:after="0" w:line="22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Since the date of the AIF, the Company has spent approximately $nil on the Product Line and, given that the Company has prioritized its progression of psychedelic molecules, it has made no progress the Product Line.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Technology Programs</w:t>
      </w:r>
    </w:p>
    <w:p>
      <w:pPr>
        <w:spacing w:after="0" w:line="117" w:lineRule="exact"/>
        <w:rPr>
          <w:sz w:val="20"/>
          <w:szCs w:val="20"/>
          <w:color w:val="auto"/>
        </w:rPr>
      </w:pPr>
    </w:p>
    <w:p>
      <w:pPr>
        <w:jc w:val="both"/>
        <w:ind w:left="4" w:right="20"/>
        <w:spacing w:after="0" w:line="279" w:lineRule="auto"/>
        <w:rPr>
          <w:sz w:val="20"/>
          <w:szCs w:val="20"/>
          <w:color w:val="auto"/>
        </w:rPr>
      </w:pPr>
      <w:r>
        <w:rPr>
          <w:rFonts w:ascii="Arial" w:cs="Arial" w:eastAsia="Arial" w:hAnsi="Arial"/>
          <w:sz w:val="17"/>
          <w:szCs w:val="17"/>
          <w:color w:val="auto"/>
        </w:rPr>
        <w:t>The Company has been working on a number of fronts to establish an e-Commerce platform to support the education, sales and marketing of potential consumer and prescription mental wellness products, including but not limited to its line of nutraceutical products. The Company has undertaken commissioned market research activities to evaluate the market potential and the steps necessary to establish such a platform, along with commercial discussions with a number of parties that could assist the Company in building and accelerating its path to market.</w:t>
      </w:r>
    </w:p>
    <w:p>
      <w:pPr>
        <w:spacing w:after="0" w:line="167"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The Company has begun work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Minimum Viable Product and to identify the necessary key modules and components.</w:t>
      </w:r>
    </w:p>
    <w:p>
      <w:pPr>
        <w:spacing w:after="0" w:line="180"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8"/>
          <w:szCs w:val="18"/>
          <w:color w:val="auto"/>
        </w:rPr>
        <w:t>On January 11, 2021, the Company announced that it has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Kernel Flow devices to potentially measure neural activity during psychedelic therapy.</w:t>
      </w:r>
    </w:p>
    <w:p>
      <w:pPr>
        <w:spacing w:after="0" w:line="166"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On June 1, 2021, the Company announced its sponsorship of Kernel’s feasibility study of its Kernel Flow technology to measure ketamine’s psychedelic effect on cerebral cortex hemodynamics.</w:t>
      </w:r>
      <w:r>
        <w:rPr>
          <w:rFonts w:ascii="Arial" w:cs="Arial" w:eastAsia="Arial" w:hAnsi="Arial"/>
          <w:sz w:val="14"/>
          <w:szCs w:val="14"/>
          <w:color w:val="auto"/>
        </w:rPr>
        <w:t>15</w:t>
      </w:r>
      <w:r>
        <w:rPr>
          <w:rFonts w:ascii="Arial" w:cs="Arial" w:eastAsia="Arial" w:hAnsi="Arial"/>
          <w:sz w:val="17"/>
          <w:szCs w:val="17"/>
          <w:color w:val="auto"/>
        </w:rPr>
        <w:t xml:space="preserve"> While the Company previously announced that it delivery was expected in Q2 2021 and studies would commence in the second half of 2021, the Company has since decided to focus on sponsoring studies in the near term.</w:t>
      </w:r>
    </w:p>
    <w:p>
      <w:pPr>
        <w:spacing w:after="0" w:line="165"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8"/>
          <w:szCs w:val="18"/>
          <w:color w:val="auto"/>
        </w:rPr>
        <w:t>On July 13, 2021, the Company announced that it has commenced the next phase of the Company’s digital therapeutics platform which will better enable the evaluation of patient outcomes through a highly secure, patient-centered data analytics platform for better pre and post-psychedelic treatments</w:t>
      </w:r>
      <w:r>
        <w:rPr>
          <w:rFonts w:ascii="Arial" w:cs="Arial" w:eastAsia="Arial" w:hAnsi="Arial"/>
          <w:sz w:val="15"/>
          <w:szCs w:val="15"/>
          <w:color w:val="auto"/>
        </w:rPr>
        <w:t>16</w:t>
      </w:r>
      <w:r>
        <w:rPr>
          <w:rFonts w:ascii="Arial" w:cs="Arial" w:eastAsia="Arial" w:hAnsi="Arial"/>
          <w:sz w:val="18"/>
          <w:szCs w:val="18"/>
          <w:color w:val="auto"/>
        </w:rPr>
        <w:t>. The digital therapeutics platform, which is proprietary to Cybin and the subject of the Company’s 13</w:t>
      </w:r>
      <w:r>
        <w:rPr>
          <w:rFonts w:ascii="Arial" w:cs="Arial" w:eastAsia="Arial" w:hAnsi="Arial"/>
          <w:sz w:val="15"/>
          <w:szCs w:val="15"/>
          <w:color w:val="auto"/>
        </w:rPr>
        <w:t>th</w:t>
      </w:r>
      <w:r>
        <w:rPr>
          <w:rFonts w:ascii="Arial" w:cs="Arial" w:eastAsia="Arial" w:hAnsi="Arial"/>
          <w:sz w:val="18"/>
          <w:szCs w:val="18"/>
          <w:color w:val="auto"/>
        </w:rPr>
        <w:t xml:space="preserve"> patent application, adds another dimension to the Company’s development programs</w:t>
      </w:r>
      <w:r>
        <w:rPr>
          <w:rFonts w:ascii="Arial" w:cs="Arial" w:eastAsia="Arial" w:hAnsi="Arial"/>
          <w:sz w:val="15"/>
          <w:szCs w:val="15"/>
          <w:color w:val="auto"/>
        </w:rPr>
        <w:t>17</w:t>
      </w:r>
      <w:r>
        <w:rPr>
          <w:rFonts w:ascii="Arial" w:cs="Arial" w:eastAsia="Arial" w:hAnsi="Arial"/>
          <w:sz w:val="18"/>
          <w:szCs w:val="18"/>
          <w:color w:val="auto"/>
        </w:rPr>
        <w:t>. Timelines for progression of the above technology programs, along with anticipated future spending are detailed in “Use of Proceeds” but there is no assurance that these timelines will be met or that these programs will become commercially viable.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June 30, 2021, the Company has spent approximately $266 on its technology programs.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Relationships with Third Parties</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Company’s research and development on its psychedelic pharmaceutical products is conducted by way of licensed partners including IntelGenx Corp. (“</w:t>
      </w:r>
      <w:r>
        <w:rPr>
          <w:rFonts w:ascii="Arial" w:cs="Arial" w:eastAsia="Arial" w:hAnsi="Arial"/>
          <w:sz w:val="18"/>
          <w:szCs w:val="18"/>
          <w:b w:val="1"/>
          <w:bCs w:val="1"/>
          <w:color w:val="auto"/>
        </w:rPr>
        <w:t>IntelGenx</w:t>
      </w:r>
      <w:r>
        <w:rPr>
          <w:rFonts w:ascii="Arial" w:cs="Arial" w:eastAsia="Arial" w:hAnsi="Arial"/>
          <w:sz w:val="18"/>
          <w:szCs w:val="18"/>
          <w:color w:val="auto"/>
        </w:rPr>
        <w:t>”). The Company also intends to sponsor clinical and other studies in conjunction with the University of the West Indies (the “</w:t>
      </w:r>
      <w:r>
        <w:rPr>
          <w:rFonts w:ascii="Arial" w:cs="Arial" w:eastAsia="Arial" w:hAnsi="Arial"/>
          <w:sz w:val="18"/>
          <w:szCs w:val="18"/>
          <w:b w:val="1"/>
          <w:bCs w:val="1"/>
          <w:color w:val="auto"/>
        </w:rPr>
        <w:t>UWI</w:t>
      </w:r>
      <w:r>
        <w:rPr>
          <w:rFonts w:ascii="Arial" w:cs="Arial" w:eastAsia="Arial" w:hAnsi="Arial"/>
          <w:sz w:val="18"/>
          <w:szCs w:val="18"/>
          <w:color w:val="auto"/>
        </w:rPr>
        <w:t>”) and other clinical trial sites. As of the date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jc w:val="both"/>
        <w:ind w:left="424" w:hanging="424"/>
        <w:spacing w:after="0" w:line="253" w:lineRule="auto"/>
        <w:tabs>
          <w:tab w:leader="none" w:pos="424"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Company assumes timely delivery of the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rFonts w:ascii="Arial" w:cs="Arial" w:eastAsia="Arial" w:hAnsi="Arial"/>
          <w:sz w:val="15"/>
          <w:szCs w:val="15"/>
          <w:color w:val="auto"/>
        </w:rPr>
      </w:pPr>
    </w:p>
    <w:p>
      <w:pPr>
        <w:jc w:val="both"/>
        <w:ind w:left="424" w:right="20" w:hanging="424"/>
        <w:spacing w:after="0" w:line="250" w:lineRule="auto"/>
        <w:tabs>
          <w:tab w:leader="none" w:pos="424"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material factors or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1" w:lineRule="exact"/>
        <w:rPr>
          <w:rFonts w:ascii="Arial" w:cs="Arial" w:eastAsia="Arial" w:hAnsi="Arial"/>
          <w:sz w:val="15"/>
          <w:szCs w:val="15"/>
          <w:color w:val="auto"/>
        </w:rPr>
      </w:pPr>
    </w:p>
    <w:p>
      <w:pPr>
        <w:jc w:val="both"/>
        <w:ind w:left="424" w:right="20" w:hanging="424"/>
        <w:spacing w:after="0" w:line="252" w:lineRule="auto"/>
        <w:tabs>
          <w:tab w:leader="none" w:pos="424" w:val="left"/>
        </w:tabs>
        <w:numPr>
          <w:ilvl w:val="0"/>
          <w:numId w:val="40"/>
        </w:numPr>
        <w:rPr>
          <w:rFonts w:ascii="Arial" w:cs="Arial" w:eastAsia="Arial" w:hAnsi="Arial"/>
          <w:sz w:val="15"/>
          <w:szCs w:val="15"/>
          <w:color w:val="auto"/>
        </w:rPr>
      </w:pPr>
      <w:r>
        <w:rPr>
          <w:rFonts w:ascii="Arial" w:cs="Arial" w:eastAsia="Arial" w:hAnsi="Arial"/>
          <w:sz w:val="18"/>
          <w:szCs w:val="18"/>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126" w:lineRule="exact"/>
        <w:rPr>
          <w:rFonts w:ascii="Arial" w:cs="Arial" w:eastAsia="Arial" w:hAnsi="Arial"/>
          <w:sz w:val="15"/>
          <w:szCs w:val="15"/>
          <w:color w:val="auto"/>
        </w:rPr>
      </w:pPr>
    </w:p>
    <w:p>
      <w:pPr>
        <w:ind w:left="5424" w:hanging="111"/>
        <w:spacing w:after="0"/>
        <w:tabs>
          <w:tab w:leader="none" w:pos="54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24"/>
          </w:cols>
          <w:pgMar w:left="436" w:top="274" w:right="439" w:bottom="1440" w:gutter="0" w:footer="0" w:header="0"/>
        </w:sectPr>
      </w:pPr>
    </w:p>
    <w:bookmarkStart w:id="34" w:name="page35"/>
    <w:bookmarkEnd w:id="34"/>
    <w:p>
      <w:pPr>
        <w:jc w:val="both"/>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MD&amp;A, the Company and the University of Washington are co-sponsoring a randomized, placebo-controlled clinical trial of psychedelic-assisted psychotherapy with psilocybin for frontline clinicians experiencing COVID-19 related distress.</w:t>
      </w:r>
    </w:p>
    <w:p>
      <w:pPr>
        <w:spacing w:after="0" w:line="170" w:lineRule="exact"/>
        <w:rPr>
          <w:sz w:val="20"/>
          <w:szCs w:val="20"/>
          <w:color w:val="auto"/>
        </w:rPr>
      </w:pPr>
    </w:p>
    <w:p>
      <w:pPr>
        <w:jc w:val="both"/>
        <w:ind w:left="4" w:right="20"/>
        <w:spacing w:after="0" w:line="342" w:lineRule="auto"/>
        <w:rPr>
          <w:sz w:val="20"/>
          <w:szCs w:val="20"/>
          <w:color w:val="auto"/>
        </w:rPr>
      </w:pPr>
      <w:r>
        <w:rPr>
          <w:rFonts w:ascii="Arial" w:cs="Arial" w:eastAsia="Arial" w:hAnsi="Arial"/>
          <w:sz w:val="16"/>
          <w:szCs w:val="16"/>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24"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The Company uses third party FDA-registered manufacturers for its nutraceutical manufacturing and distribution. The Company has established contractual sources of synthetic GMP (as defined below) and non-GMP raw materials to support its development operations through licensed third-party suppliers located in Canada, the United States and the United Kingdom. Such raw materials are expected to be, in general, readily available and in adequate supply to meet the Company’s need for development quantities, or custom manufactured on the Company ‘s behalf.</w:t>
      </w:r>
      <w:r>
        <w:rPr>
          <w:rFonts w:ascii="Arial" w:cs="Arial" w:eastAsia="Arial" w:hAnsi="Arial"/>
          <w:sz w:val="15"/>
          <w:szCs w:val="15"/>
          <w:color w:val="auto"/>
        </w:rPr>
        <w:t>18</w:t>
      </w:r>
      <w:r>
        <w:rPr>
          <w:rFonts w:ascii="Arial" w:cs="Arial" w:eastAsia="Arial" w:hAnsi="Arial"/>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19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66" w:lineRule="exact"/>
        <w:rPr>
          <w:sz w:val="20"/>
          <w:szCs w:val="20"/>
          <w:color w:val="auto"/>
        </w:rPr>
      </w:pPr>
    </w:p>
    <w:p>
      <w:pPr>
        <w:jc w:val="both"/>
        <w:ind w:left="4"/>
        <w:spacing w:after="0" w:line="303" w:lineRule="auto"/>
        <w:rPr>
          <w:sz w:val="20"/>
          <w:szCs w:val="20"/>
          <w:color w:val="auto"/>
        </w:rPr>
      </w:pPr>
      <w:r>
        <w:rPr>
          <w:rFonts w:ascii="Arial" w:cs="Arial" w:eastAsia="Arial" w:hAnsi="Arial"/>
          <w:sz w:val="16"/>
          <w:szCs w:val="16"/>
          <w:color w:val="auto"/>
        </w:rPr>
        <w:t>The Company intends to file an investigational new drug (“</w:t>
      </w:r>
      <w:r>
        <w:rPr>
          <w:rFonts w:ascii="Arial" w:cs="Arial" w:eastAsia="Arial" w:hAnsi="Arial"/>
          <w:sz w:val="16"/>
          <w:szCs w:val="16"/>
          <w:b w:val="1"/>
          <w:bCs w:val="1"/>
          <w:color w:val="auto"/>
        </w:rPr>
        <w:t>IND</w:t>
      </w:r>
      <w:r>
        <w:rPr>
          <w:rFonts w:ascii="Arial" w:cs="Arial" w:eastAsia="Arial" w:hAnsi="Arial"/>
          <w:sz w:val="16"/>
          <w:szCs w:val="16"/>
          <w:color w:val="auto"/>
        </w:rPr>
        <w:t>”) application with the FDA once a final formulation has been determined with respect to the Sublingual Film.</w:t>
      </w:r>
      <w:r>
        <w:rPr>
          <w:rFonts w:ascii="Arial" w:cs="Arial" w:eastAsia="Arial" w:hAnsi="Arial"/>
          <w:sz w:val="13"/>
          <w:szCs w:val="13"/>
          <w:color w:val="auto"/>
        </w:rPr>
        <w:t>19</w:t>
      </w:r>
      <w:r>
        <w:rPr>
          <w:rFonts w:ascii="Arial" w:cs="Arial" w:eastAsia="Arial" w:hAnsi="Arial"/>
          <w:sz w:val="16"/>
          <w:szCs w:val="16"/>
          <w:color w:val="auto"/>
        </w:rPr>
        <w:t xml:space="preserve"> Anticipated timelines related to regulatory filings are based on reasonable assumptions informed by current knowledge and information available to the Company. Further, the Company is dependent on the use of a contractor for is sublingual film and successful completion of final formulation before and IND application can be made. The resulting impact is a delay in the original estimated submission timeline.</w:t>
      </w:r>
    </w:p>
    <w:p>
      <w:pPr>
        <w:spacing w:after="0" w:line="26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Update on Use of Proceeds</w:t>
      </w:r>
    </w:p>
    <w:p>
      <w:pPr>
        <w:spacing w:after="0" w:line="11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Company has committed the following capital expenditures to meet its planned growth and fund development activities and, as of June 30, 2021, there have not been, and the Company does not anticipate, any changes to its previously made disclosure about the Company’s intended use of proceeds except as described below.</w:t>
      </w:r>
    </w:p>
    <w:p>
      <w:pPr>
        <w:spacing w:after="0" w:line="184" w:lineRule="exact"/>
        <w:rPr>
          <w:sz w:val="20"/>
          <w:szCs w:val="20"/>
          <w:color w:val="auto"/>
        </w:rPr>
      </w:pPr>
    </w:p>
    <w:p>
      <w:pPr>
        <w:jc w:val="both"/>
        <w:ind w:left="4"/>
        <w:spacing w:after="0" w:line="286" w:lineRule="auto"/>
        <w:rPr>
          <w:sz w:val="20"/>
          <w:szCs w:val="20"/>
          <w:color w:val="auto"/>
        </w:rPr>
      </w:pPr>
      <w:r>
        <w:rPr>
          <w:rFonts w:ascii="Arial" w:cs="Arial" w:eastAsia="Arial" w:hAnsi="Arial"/>
          <w:sz w:val="17"/>
          <w:szCs w:val="17"/>
          <w:color w:val="auto"/>
        </w:rPr>
        <w:t>The below table describes the differences between the Company’s anticipated use of proceeds from private placements as disclosed in the Listing Statement, as well as the Company’s public offering completed on February 4, 2021 as described in its final prospectus dated February 1, 2021 (the “</w:t>
      </w:r>
      <w:r>
        <w:rPr>
          <w:rFonts w:ascii="Arial" w:cs="Arial" w:eastAsia="Arial" w:hAnsi="Arial"/>
          <w:sz w:val="17"/>
          <w:szCs w:val="17"/>
          <w:b w:val="1"/>
          <w:bCs w:val="1"/>
          <w:color w:val="auto"/>
        </w:rPr>
        <w:t>February 2021 Prospectus</w:t>
      </w:r>
      <w:r>
        <w:rPr>
          <w:rFonts w:ascii="Arial" w:cs="Arial" w:eastAsia="Arial" w:hAnsi="Arial"/>
          <w:sz w:val="17"/>
          <w:szCs w:val="17"/>
          <w:color w:val="auto"/>
        </w:rPr>
        <w:t>”), and the Company’s actual use of proceeds from those financings as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8" w:lineRule="exact"/>
        <w:rPr>
          <w:sz w:val="20"/>
          <w:szCs w:val="20"/>
          <w:color w:val="auto"/>
        </w:rPr>
      </w:pPr>
    </w:p>
    <w:p>
      <w:pPr>
        <w:jc w:val="both"/>
        <w:ind w:left="424" w:right="20" w:hanging="424"/>
        <w:spacing w:after="0" w:line="255" w:lineRule="auto"/>
        <w:tabs>
          <w:tab w:leader="none" w:pos="424" w:val="left"/>
        </w:tabs>
        <w:numPr>
          <w:ilvl w:val="0"/>
          <w:numId w:val="41"/>
        </w:numPr>
        <w:rPr>
          <w:rFonts w:ascii="Arial" w:cs="Arial" w:eastAsia="Arial" w:hAnsi="Arial"/>
          <w:sz w:val="15"/>
          <w:szCs w:val="15"/>
          <w:color w:val="auto"/>
        </w:rPr>
      </w:pPr>
      <w:r>
        <w:rPr>
          <w:rFonts w:ascii="Arial" w:cs="Arial" w:eastAsia="Arial" w:hAnsi="Arial"/>
          <w:sz w:val="18"/>
          <w:szCs w:val="18"/>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 w:lineRule="exact"/>
        <w:rPr>
          <w:rFonts w:ascii="Arial" w:cs="Arial" w:eastAsia="Arial" w:hAnsi="Arial"/>
          <w:sz w:val="15"/>
          <w:szCs w:val="15"/>
          <w:color w:val="auto"/>
        </w:rPr>
      </w:pPr>
    </w:p>
    <w:p>
      <w:pPr>
        <w:jc w:val="both"/>
        <w:ind w:left="424" w:hanging="424"/>
        <w:spacing w:after="0" w:line="271"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7"/>
          <w:szCs w:val="17"/>
          <w:color w:val="auto"/>
        </w:rPr>
        <w:t>The Company has not yet held a pre-IND meeting with the FDA, in preparation for the filing of an IND application for the Sublingual Film. The Company has assumed that the FDA will grant such a Pre-IND meeting and that it will be able to complete the IND approval process; however, there is no guarantee that any such IND application will be accepted or granted by FDA.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10" w:lineRule="exact"/>
        <w:rPr>
          <w:rFonts w:ascii="Arial" w:cs="Arial" w:eastAsia="Arial" w:hAnsi="Arial"/>
          <w:sz w:val="14"/>
          <w:szCs w:val="14"/>
          <w:color w:val="auto"/>
        </w:rPr>
      </w:pPr>
    </w:p>
    <w:p>
      <w:pPr>
        <w:ind w:left="5424" w:hanging="108"/>
        <w:spacing w:after="0"/>
        <w:tabs>
          <w:tab w:leader="none" w:pos="54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24"/>
          </w:cols>
          <w:pgMar w:left="436" w:top="274"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Previous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Revised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Disclosure</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Disclosure</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Regarding Use</w:t>
            </w:r>
          </w:p>
        </w:tc>
        <w:tc>
          <w:tcPr>
            <w:tcW w:w="1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Actual Use of</w:t>
            </w:r>
          </w:p>
        </w:tc>
        <w:tc>
          <w:tcPr>
            <w:tcW w:w="16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Revised Use of</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Current Use of</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Regarding Use</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of Proceeds in</w:t>
            </w:r>
          </w:p>
        </w:tc>
        <w:tc>
          <w:tcPr>
            <w:tcW w:w="14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1"/>
              </w:rPr>
              <w:t xml:space="preserve">Use of Available Funds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000’s)</w:t>
            </w:r>
            <w:r>
              <w:rPr>
                <w:rFonts w:ascii="Arial" w:cs="Arial" w:eastAsia="Arial" w:hAnsi="Arial"/>
                <w:sz w:val="12"/>
                <w:szCs w:val="12"/>
                <w:b w:val="1"/>
                <w:bCs w:val="1"/>
                <w:color w:val="auto"/>
                <w:w w:val="91"/>
              </w:rPr>
              <w:t>(1)</w:t>
            </w:r>
          </w:p>
        </w:tc>
        <w:tc>
          <w:tcPr>
            <w:tcW w:w="14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of Proceeds in</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February 2021</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Proceeds as at</w:t>
            </w:r>
          </w:p>
        </w:tc>
        <w:tc>
          <w:tcPr>
            <w:tcW w:w="16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Proceeds at June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Proceeds at June 30,</w:t>
            </w:r>
          </w:p>
        </w:tc>
        <w:tc>
          <w:tcPr>
            <w:tcW w:w="0" w:type="dxa"/>
            <w:vAlign w:val="bottom"/>
          </w:tcPr>
          <w:p>
            <w:pPr>
              <w:spacing w:after="0"/>
              <w:rPr>
                <w:sz w:val="1"/>
                <w:szCs w:val="1"/>
                <w:color w:val="auto"/>
              </w:rPr>
            </w:pPr>
          </w:p>
        </w:tc>
      </w:tr>
      <w:tr>
        <w:trPr>
          <w:trHeight w:val="165"/>
        </w:trPr>
        <w:tc>
          <w:tcPr>
            <w:tcW w:w="2080" w:type="dxa"/>
            <w:vAlign w:val="bottom"/>
            <w:tcBorders>
              <w:bottom w:val="single" w:sz="8" w:color="auto"/>
            </w:tcBorders>
            <w:vMerge w:val="continue"/>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Listing Statement</w:t>
            </w:r>
          </w:p>
        </w:tc>
        <w:tc>
          <w:tcPr>
            <w:tcW w:w="52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Prospectus</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June 30, 2021</w:t>
            </w:r>
          </w:p>
        </w:tc>
        <w:tc>
          <w:tcPr>
            <w:tcW w:w="540" w:type="dxa"/>
            <w:vAlign w:val="bottom"/>
          </w:tcPr>
          <w:p>
            <w:pPr>
              <w:spacing w:after="0"/>
              <w:rPr>
                <w:sz w:val="14"/>
                <w:szCs w:val="14"/>
                <w:color w:val="auto"/>
              </w:rPr>
            </w:pPr>
          </w:p>
        </w:tc>
        <w:tc>
          <w:tcPr>
            <w:tcW w:w="12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4"/>
                <w:szCs w:val="14"/>
                <w:color w:val="auto"/>
              </w:rPr>
            </w:pPr>
          </w:p>
        </w:tc>
        <w:tc>
          <w:tcPr>
            <w:tcW w:w="12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Psilocybin Program</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Chemically develop and synthesize</w:t>
            </w:r>
          </w:p>
        </w:tc>
        <w:tc>
          <w:tcPr>
            <w:tcW w:w="700" w:type="dxa"/>
            <w:vAlign w:val="bottom"/>
          </w:tcPr>
          <w:p>
            <w:pPr>
              <w:spacing w:after="0"/>
              <w:rPr>
                <w:sz w:val="18"/>
                <w:szCs w:val="18"/>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b w:val="1"/>
                <w:bCs w:val="1"/>
                <w:color w:val="auto"/>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psychedelic API</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8"/>
              </w:rPr>
              <w:t>Development of psilocybin Sublingual Film</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9"/>
              </w:rPr>
              <w:t>Phase IIa MDD study completed with data</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9"/>
              </w:rPr>
              <w:t>Phase IIb MDD study completed with data</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9"/>
              </w:rPr>
              <w:t>Support of additional phase IIb study sites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 Canada and the United States</w:t>
            </w:r>
          </w:p>
        </w:tc>
        <w:tc>
          <w:tcPr>
            <w:tcW w:w="70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Commence microdose study with the</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4"/>
              </w:rPr>
              <w:t>Canadian Centre for Psychedelic Science</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Commence safety and efficacy clinical</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study with the UWI</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Deuterated Tryptamines Preclinical Programs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7"/>
              </w:rPr>
              <w:t>Progression of CYB003 for phase I studies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3"/>
              </w:rPr>
              <w:t>readiness and utilization of the associated</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delivery platform</w:t>
            </w:r>
          </w:p>
        </w:tc>
        <w:tc>
          <w:tcPr>
            <w:tcW w:w="70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7"/>
              </w:rPr>
              <w:t>Progression of CYB004 for phase I studies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readiness</w:t>
            </w:r>
          </w:p>
        </w:tc>
        <w:tc>
          <w:tcPr>
            <w:tcW w:w="7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3"/>
              </w:rPr>
              <w:t>Phenethylamine Preclinical Development Program</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Phenethylamine preclinical development</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program</w:t>
            </w:r>
          </w:p>
        </w:tc>
        <w:tc>
          <w:tcPr>
            <w:tcW w:w="7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340" w:type="dxa"/>
            <w:vAlign w:val="bottom"/>
          </w:tcPr>
          <w:p>
            <w:pPr>
              <w:spacing w:after="0"/>
              <w:rPr>
                <w:sz w:val="20"/>
                <w:szCs w:val="20"/>
                <w:color w:val="auto"/>
              </w:rPr>
            </w:pPr>
            <w:r>
              <w:rPr>
                <w:rFonts w:ascii="Arial" w:cs="Arial" w:eastAsia="Arial" w:hAnsi="Arial"/>
                <w:sz w:val="18"/>
                <w:szCs w:val="18"/>
                <w:b w:val="1"/>
                <w:bCs w:val="1"/>
                <w:color w:val="auto"/>
              </w:rPr>
              <w:t>Nutraceutical Products</w:t>
            </w:r>
            <w:r>
              <w:rPr>
                <w:rFonts w:ascii="Arial" w:cs="Arial" w:eastAsia="Arial" w:hAnsi="Arial"/>
                <w:sz w:val="15"/>
                <w:szCs w:val="15"/>
                <w:b w:val="1"/>
                <w:bCs w:val="1"/>
                <w:color w:val="auto"/>
              </w:rPr>
              <w:t>(5)</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Inventory fulfilment</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Product deployment</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Nutraceutical marketing</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340" w:type="dxa"/>
            <w:vAlign w:val="bottom"/>
          </w:tcPr>
          <w:p>
            <w:pPr>
              <w:spacing w:after="0"/>
              <w:rPr>
                <w:sz w:val="20"/>
                <w:szCs w:val="20"/>
                <w:color w:val="auto"/>
              </w:rPr>
            </w:pPr>
            <w:r>
              <w:rPr>
                <w:rFonts w:ascii="Arial" w:cs="Arial" w:eastAsia="Arial" w:hAnsi="Arial"/>
                <w:sz w:val="18"/>
                <w:szCs w:val="18"/>
                <w:b w:val="1"/>
                <w:bCs w:val="1"/>
                <w:color w:val="auto"/>
              </w:rPr>
              <w:t>Technology</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Marketing</w:t>
            </w:r>
            <w:r>
              <w:rPr>
                <w:rFonts w:ascii="Arial" w:cs="Arial" w:eastAsia="Arial" w:hAnsi="Arial"/>
                <w:sz w:val="15"/>
                <w:szCs w:val="15"/>
                <w:color w:val="auto"/>
              </w:rPr>
              <w:t>(6)</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Development of patient digital therapy</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platform</w:t>
            </w:r>
          </w:p>
        </w:tc>
        <w:tc>
          <w:tcPr>
            <w:tcW w:w="70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Commence study utilizing Kernel Flow</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7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3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Transaction costs (legal fees, audit fees,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8"/>
              </w:rPr>
              <w:t>transfer agent fees and other expenses)</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575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4,800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Nil</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238</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233</w:t>
            </w:r>
          </w:p>
        </w:tc>
      </w:tr>
      <w:tr>
        <w:trPr>
          <w:trHeight w:val="21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994</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2,000</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1,606</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1,000</w:t>
            </w:r>
          </w:p>
        </w:tc>
        <w:tc>
          <w:tcPr>
            <w:tcW w:w="44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432"/>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1,950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242</w:t>
            </w: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1,708</w:t>
            </w:r>
          </w:p>
        </w:tc>
      </w:tr>
      <w:tr>
        <w:trPr>
          <w:trHeight w:val="432"/>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rPr>
              <w:t>Nil</w:t>
            </w:r>
          </w:p>
        </w:tc>
      </w:tr>
      <w:tr>
        <w:trPr>
          <w:trHeight w:val="432"/>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Nil</w:t>
            </w:r>
          </w:p>
        </w:tc>
        <w:tc>
          <w:tcPr>
            <w:tcW w:w="44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spacing w:after="0"/>
              <w:rPr>
                <w:sz w:val="24"/>
                <w:szCs w:val="24"/>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w w:val="96"/>
              </w:rPr>
              <w:t>Nil</w:t>
            </w:r>
            <w:r>
              <w:rPr>
                <w:rFonts w:ascii="Arial" w:cs="Arial" w:eastAsia="Arial" w:hAnsi="Arial"/>
                <w:sz w:val="15"/>
                <w:szCs w:val="15"/>
                <w:b w:val="1"/>
                <w:bCs w:val="1"/>
                <w:color w:val="auto"/>
                <w:w w:val="96"/>
              </w:rPr>
              <w:t>(4)</w:t>
            </w:r>
          </w:p>
        </w:tc>
      </w:tr>
      <w:tr>
        <w:trPr>
          <w:trHeight w:val="972"/>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5,720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1,059</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3,511</w:t>
            </w:r>
          </w:p>
        </w:tc>
      </w:tr>
      <w:tr>
        <w:trPr>
          <w:trHeight w:val="432"/>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6,200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623</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(2,950)</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2,627</w:t>
            </w:r>
          </w:p>
        </w:tc>
      </w:tr>
      <w:tr>
        <w:trPr>
          <w:trHeight w:val="756"/>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2,600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242</w:t>
            </w: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2,358</w:t>
            </w:r>
          </w:p>
        </w:tc>
      </w:tr>
      <w:tr>
        <w:trPr>
          <w:trHeight w:val="52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1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540"/>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2,000</w:t>
            </w:r>
          </w:p>
        </w:tc>
        <w:tc>
          <w:tcPr>
            <w:tcW w:w="44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(2,000)</w:t>
            </w:r>
          </w:p>
        </w:tc>
        <w:tc>
          <w:tcPr>
            <w:tcW w:w="620" w:type="dxa"/>
            <w:vAlign w:val="bottom"/>
          </w:tcPr>
          <w:p>
            <w:pPr>
              <w:spacing w:after="0"/>
              <w:rPr>
                <w:sz w:val="24"/>
                <w:szCs w:val="24"/>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rPr>
              <w:t>Nil</w:t>
            </w:r>
          </w:p>
        </w:tc>
      </w:tr>
      <w:tr>
        <w:trPr>
          <w:trHeight w:val="432"/>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2,600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266</w:t>
            </w: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2,334</w:t>
            </w:r>
          </w:p>
        </w:tc>
      </w:tr>
      <w:tr>
        <w:trPr>
          <w:trHeight w:val="432"/>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1,825</w:t>
            </w:r>
          </w:p>
        </w:tc>
        <w:tc>
          <w:tcPr>
            <w:tcW w:w="44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Nil</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1,825</w:t>
            </w:r>
          </w:p>
        </w:tc>
      </w:tr>
      <w:tr>
        <w:trPr>
          <w:trHeight w:val="742"/>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1,678</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2,195</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4,108</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3,591</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9,100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10,526</w:t>
            </w:r>
            <w:r>
              <w:rPr>
                <w:rFonts w:ascii="Arial" w:cs="Arial" w:eastAsia="Arial" w:hAnsi="Arial"/>
                <w:sz w:val="15"/>
                <w:szCs w:val="15"/>
                <w:color w:val="auto"/>
              </w:rPr>
              <w:t>(7)</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16,650</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-5142865</wp:posOffset>
            </wp:positionV>
            <wp:extent cx="6995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-4731385</wp:posOffset>
            </wp:positionV>
            <wp:extent cx="6995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-4457065</wp:posOffset>
            </wp:positionV>
            <wp:extent cx="6995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-4045585</wp:posOffset>
            </wp:positionV>
            <wp:extent cx="699516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-3428365</wp:posOffset>
            </wp:positionV>
            <wp:extent cx="6995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-2879725</wp:posOffset>
            </wp:positionV>
            <wp:extent cx="699516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-2399665</wp:posOffset>
            </wp:positionV>
            <wp:extent cx="699516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-1919605</wp:posOffset>
            </wp:positionV>
            <wp:extent cx="69951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-1645285</wp:posOffset>
            </wp:positionV>
            <wp:extent cx="6995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-1302385</wp:posOffset>
            </wp:positionV>
            <wp:extent cx="6995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-890905</wp:posOffset>
            </wp:positionV>
            <wp:extent cx="699516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-410845</wp:posOffset>
            </wp:positionV>
            <wp:extent cx="699516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20" w:space="440"/>
            <w:col w:w="5360"/>
          </w:cols>
          <w:pgMar w:left="440" w:top="253" w:right="4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Total use of funds</w:t>
            </w:r>
          </w:p>
        </w:tc>
        <w:tc>
          <w:tcPr>
            <w:tcW w:w="740" w:type="dxa"/>
            <w:vAlign w:val="bottom"/>
            <w:gridSpan w:val="2"/>
            <w:shd w:val="clear" w:color="auto" w:fill="CCEEFF"/>
          </w:tcPr>
          <w:p>
            <w:pPr>
              <w:jc w:val="right"/>
              <w:ind w:right="187"/>
              <w:spacing w:after="0" w:line="203"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b w:val="1"/>
                <w:bCs w:val="1"/>
                <w:color w:val="auto"/>
              </w:rPr>
              <w:t>10,945</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b w:val="1"/>
                <w:bCs w:val="1"/>
                <w:color w:val="auto"/>
              </w:rPr>
              <w:t>36,061</w:t>
            </w:r>
          </w:p>
        </w:tc>
        <w:tc>
          <w:tcPr>
            <w:tcW w:w="440" w:type="dxa"/>
            <w:vAlign w:val="bottom"/>
            <w:gridSpan w:val="2"/>
            <w:shd w:val="clear" w:color="auto" w:fill="CCEEFF"/>
          </w:tcPr>
          <w:p>
            <w:pPr>
              <w:jc w:val="right"/>
              <w:ind w:right="87"/>
              <w:spacing w:after="0" w:line="203"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b w:val="1"/>
                <w:bCs w:val="1"/>
                <w:color w:val="auto"/>
              </w:rPr>
              <w:t>16,175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b w:val="1"/>
                <w:bCs w:val="1"/>
                <w:color w:val="auto"/>
              </w:rPr>
              <w:t>16,608</w:t>
            </w:r>
          </w:p>
        </w:tc>
        <w:tc>
          <w:tcPr>
            <w:tcW w:w="44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b w:val="1"/>
                <w:bCs w:val="1"/>
                <w:color w:val="auto"/>
              </w:rPr>
              <w:t>36,494</w:t>
            </w: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b w:val="1"/>
                <w:bCs w:val="1"/>
                <w:color w:val="auto"/>
              </w:rPr>
              <w:t>Unallocated working capital</w:t>
            </w:r>
            <w:r>
              <w:rPr>
                <w:rFonts w:ascii="Arial" w:cs="Arial" w:eastAsia="Arial" w:hAnsi="Arial"/>
                <w:sz w:val="15"/>
                <w:szCs w:val="15"/>
                <w:b w:val="1"/>
                <w:bCs w:val="1"/>
                <w:color w:val="auto"/>
              </w:rPr>
              <w:t>(8)</w:t>
            </w:r>
          </w:p>
        </w:tc>
        <w:tc>
          <w:tcPr>
            <w:tcW w:w="4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32,907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52,793</w:t>
            </w:r>
          </w:p>
        </w:tc>
        <w:tc>
          <w:tcPr>
            <w:tcW w:w="5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90"/>
              </w:rPr>
              <w:t>N/A</w:t>
            </w:r>
          </w:p>
        </w:tc>
        <w:tc>
          <w:tcPr>
            <w:tcW w:w="4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32,474</w:t>
            </w:r>
          </w:p>
        </w:tc>
        <w:tc>
          <w:tcPr>
            <w:tcW w:w="240" w:type="dxa"/>
            <w:vAlign w:val="bottom"/>
          </w:tcPr>
          <w:p>
            <w:pPr>
              <w:spacing w:after="0"/>
              <w:rPr>
                <w:sz w:val="20"/>
                <w:szCs w:val="20"/>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7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49,667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68,968</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68,968</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68,968</w:t>
            </w:r>
          </w:p>
        </w:tc>
      </w:tr>
      <w:tr>
        <w:trPr>
          <w:trHeight w:val="20"/>
        </w:trPr>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w w:val="99"/>
              </w:rPr>
              <w:t>- 12 -</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020"/>
          </w:cols>
          <w:pgMar w:left="440" w:top="253" w:right="439" w:bottom="1440" w:gutter="0" w:footer="0" w:header="0"/>
          <w:type w:val="continuous"/>
        </w:sectPr>
      </w:pPr>
    </w:p>
    <w:bookmarkStart w:id="36" w:name="page37"/>
    <w:bookmarkEnd w:id="36"/>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w:t>
      </w:r>
    </w:p>
    <w:p>
      <w:pPr>
        <w:spacing w:after="0" w:line="135"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1.24:1.</w:t>
      </w:r>
    </w:p>
    <w:p>
      <w:pPr>
        <w:spacing w:after="0" w:line="130" w:lineRule="exact"/>
        <w:rPr>
          <w:rFonts w:ascii="Arial" w:cs="Arial" w:eastAsia="Arial" w:hAnsi="Arial"/>
          <w:sz w:val="18"/>
          <w:szCs w:val="18"/>
          <w:color w:val="auto"/>
        </w:rPr>
      </w:pPr>
    </w:p>
    <w:p>
      <w:pPr>
        <w:jc w:val="both"/>
        <w:ind w:left="424" w:hanging="424"/>
        <w:spacing w:after="0" w:line="263"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actual cost is lower than previously anticipated, and as previously disclosed in the Listing Statement, as a result of the termination of the professional services agreement dated June 24, 2020 between Cybin Corp. and Smart Medicines GMP Inc. Prior to the date of the Listing Statement, the Company spent $1,500 on this milestone.</w:t>
      </w:r>
    </w:p>
    <w:p>
      <w:pPr>
        <w:spacing w:after="0" w:line="85" w:lineRule="exact"/>
        <w:rPr>
          <w:rFonts w:ascii="Arial" w:cs="Arial" w:eastAsia="Arial" w:hAnsi="Arial"/>
          <w:sz w:val="18"/>
          <w:szCs w:val="18"/>
          <w:color w:val="auto"/>
        </w:rPr>
      </w:pPr>
    </w:p>
    <w:p>
      <w:pPr>
        <w:ind w:left="424" w:right="20" w:hanging="424"/>
        <w:spacing w:after="0" w:line="282"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April 6 2021, the Company provided notice to the Canadian Centre for Psychedelic Science (the “</w:t>
      </w:r>
      <w:r>
        <w:rPr>
          <w:rFonts w:ascii="Arial" w:cs="Arial" w:eastAsia="Arial" w:hAnsi="Arial"/>
          <w:sz w:val="18"/>
          <w:szCs w:val="18"/>
          <w:b w:val="1"/>
          <w:bCs w:val="1"/>
          <w:color w:val="auto"/>
        </w:rPr>
        <w:t>CCPS</w:t>
      </w:r>
      <w:r>
        <w:rPr>
          <w:rFonts w:ascii="Arial" w:cs="Arial" w:eastAsia="Arial" w:hAnsi="Arial"/>
          <w:sz w:val="18"/>
          <w:szCs w:val="18"/>
          <w:color w:val="auto"/>
        </w:rPr>
        <w:t>”) of its decision to terminate this arrangement.</w:t>
      </w:r>
    </w:p>
    <w:p>
      <w:pPr>
        <w:spacing w:after="0" w:line="71"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Listing Statement inadvertently duplicated this milestone, which forms part of the estimated cost of the phase IIa and phase IIb MDD study listed below.</w:t>
      </w:r>
    </w:p>
    <w:p>
      <w:pPr>
        <w:spacing w:after="0" w:line="7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evaluating the commercial viability of the Product Line and any future launch within the context of prioritizing the research and development progression of psychedelic molecules.</w:t>
      </w:r>
    </w:p>
    <w:p>
      <w:pPr>
        <w:spacing w:after="0" w:line="75" w:lineRule="exact"/>
        <w:rPr>
          <w:rFonts w:ascii="Arial" w:cs="Arial" w:eastAsia="Arial" w:hAnsi="Arial"/>
          <w:sz w:val="18"/>
          <w:szCs w:val="18"/>
          <w:color w:val="auto"/>
        </w:rPr>
      </w:pPr>
    </w:p>
    <w:p>
      <w:pPr>
        <w:jc w:val="both"/>
        <w:ind w:left="424" w:hanging="424"/>
        <w:spacing w:after="0" w:line="268" w:lineRule="auto"/>
        <w:tabs>
          <w:tab w:leader="none" w:pos="4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is evaluating the commercial viability of the Product Line and any future launch within the context of prioritizing the research and development progression of psychedelic molecules. The material factors and assumptions underlying this forward-looking statement are: (a) the Company has assessed the market size for nutraceutical products by obtaining market search from third parties. Such research also provides a detailed analysis of the market segment for medicinal mushrooms and adaptogens that would be relevant to the Company’s analysis of its market launch strategy. The Company believes that these sources are generally reliable but has not independently verified such information; (b) the Company has agreements in place with four U.S. suppliers (Maypro Industries LLC, Aloha Medicinals, Enerhealth Botanicals, LLC and Optima Products, LLC) and the Company assumes that such suppliers will fulfil their requirements under those agreements and will continue to maintain all necessary licences and approvals necessary to perform their obligations under the agreements; and (c) the Product Line is being explored for an initial launch in the U.S. Under applicable U.S. law, there are no required approvals, licenses and/or permits required to in advance of launching the Company’s products, however, the Company is required to submit its marketing materials to the FDA within 30 days following the launch of the Product Line for a review of any medicinal claims made; and (d) the Company has contracted with a digital agency that has undertaken initial market research and feasibility work and pending a review, the Company will seek elements needed for a viable digital platform. The Company has not yet contracted with an external developer.</w:t>
      </w:r>
    </w:p>
    <w:p>
      <w:pPr>
        <w:spacing w:after="0" w:line="91"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and administrative expenses are comprised of payroll consulting and benefits $3,258, office and administrative $1,373, marketing investor relations $5,895.</w:t>
      </w:r>
    </w:p>
    <w:p>
      <w:pPr>
        <w:spacing w:after="0" w:line="7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unallocated working balance will be held in short-term, investment grade, interest-bearing securities, in government securities or in bank accounts at the discretion of management.</w:t>
      </w:r>
    </w:p>
    <w:p>
      <w:pPr>
        <w:spacing w:after="0" w:line="170" w:lineRule="exact"/>
        <w:rPr>
          <w:sz w:val="20"/>
          <w:szCs w:val="20"/>
          <w:color w:val="auto"/>
        </w:rPr>
      </w:pPr>
    </w:p>
    <w:p>
      <w:pPr>
        <w:jc w:val="both"/>
        <w:ind w:left="4" w:right="20"/>
        <w:spacing w:after="0" w:line="296" w:lineRule="auto"/>
        <w:rPr>
          <w:sz w:val="20"/>
          <w:szCs w:val="20"/>
          <w:color w:val="auto"/>
        </w:rPr>
      </w:pPr>
      <w:r>
        <w:rPr>
          <w:rFonts w:ascii="Arial" w:cs="Arial" w:eastAsia="Arial" w:hAnsi="Arial"/>
          <w:sz w:val="16"/>
          <w:szCs w:val="16"/>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61" w:lineRule="exact"/>
        <w:rPr>
          <w:sz w:val="20"/>
          <w:szCs w:val="20"/>
          <w:color w:val="auto"/>
        </w:rPr>
      </w:pPr>
    </w:p>
    <w:p>
      <w:pPr>
        <w:jc w:val="both"/>
        <w:ind w:left="4" w:right="20"/>
        <w:spacing w:after="0" w:line="296" w:lineRule="auto"/>
        <w:rPr>
          <w:sz w:val="20"/>
          <w:szCs w:val="20"/>
          <w:color w:val="auto"/>
        </w:rPr>
      </w:pPr>
      <w:r>
        <w:rPr>
          <w:rFonts w:ascii="Arial" w:cs="Arial" w:eastAsia="Arial" w:hAnsi="Arial"/>
          <w:sz w:val="16"/>
          <w:szCs w:val="16"/>
          <w:color w:val="auto"/>
        </w:rPr>
        <w:t>The expected use of net proceeds from the Company’s financing activities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61" w:lineRule="exact"/>
        <w:rPr>
          <w:sz w:val="20"/>
          <w:szCs w:val="20"/>
          <w:color w:val="auto"/>
        </w:rPr>
      </w:pPr>
    </w:p>
    <w:p>
      <w:pPr>
        <w:jc w:val="both"/>
        <w:ind w:left="4"/>
        <w:spacing w:after="0" w:line="271"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Update on Stated Milestones and Business Objectives</w:t>
      </w:r>
    </w:p>
    <w:p>
      <w:pPr>
        <w:spacing w:after="0" w:line="117"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 xml:space="preserve">The below table is intended to provide an update, as at June 30, 2021, on the Company’s business objectives and milestones, as disclosed in the February 2021 Prospectus. The February 2021 Prospectus , which is available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 identified certain business milestones of the Company, which are reproduced below. As of June 30, 2021, the Company provided the status of these milestones, the actual or revised estimated costs and the revised date of expected completion thereof, if applicable. Further, the Company has included additional objectives and milestones that have been identified since the date of the February 2021 Prospectus.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24"/>
          </w:cols>
          <w:pgMar w:left="436" w:top="270" w:right="439" w:bottom="1440" w:gutter="0" w:footer="0" w:header="0"/>
        </w:sectPr>
      </w:pPr>
    </w:p>
    <w:bookmarkStart w:id="37" w:name="page38"/>
    <w:bookmarkEnd w:id="37"/>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are “forward-looking statements” and as such, there is no guarantee that such milestones will be achieved on the timelines indicated or at all. Forward-looking statements are based on management’s current expectations and are subject to a number of risks, uncertainties, and assumptions. See “Forward-Looking Statements” and “Risk Factors”.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Prior</w:t>
            </w:r>
          </w:p>
        </w:tc>
        <w:tc>
          <w:tcPr>
            <w:tcW w:w="160" w:type="dxa"/>
            <w:vAlign w:val="bottom"/>
          </w:tcPr>
          <w:p>
            <w:pPr>
              <w:spacing w:after="0"/>
              <w:rPr>
                <w:sz w:val="14"/>
                <w:szCs w:val="14"/>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Actual or</w:t>
            </w: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Actual/Estimated</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Cost in</w:t>
            </w:r>
          </w:p>
        </w:tc>
        <w:tc>
          <w:tcPr>
            <w:tcW w:w="16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Revised</w:t>
            </w:r>
          </w:p>
        </w:tc>
        <w:tc>
          <w:tcPr>
            <w:tcW w:w="196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Objective</w:t>
            </w:r>
          </w:p>
        </w:tc>
        <w:tc>
          <w:tcPr>
            <w:tcW w:w="180" w:type="dxa"/>
            <w:vAlign w:val="bottom"/>
          </w:tcPr>
          <w:p>
            <w:pPr>
              <w:spacing w:after="0"/>
              <w:rPr>
                <w:sz w:val="12"/>
                <w:szCs w:val="12"/>
                <w:color w:val="auto"/>
              </w:rPr>
            </w:pPr>
          </w:p>
        </w:tc>
        <w:tc>
          <w:tcPr>
            <w:tcW w:w="30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Milestone</w:t>
            </w:r>
            <w:r>
              <w:rPr>
                <w:rFonts w:ascii="Arial" w:cs="Arial" w:eastAsia="Arial" w:hAnsi="Arial"/>
                <w:sz w:val="12"/>
                <w:szCs w:val="12"/>
                <w:b w:val="1"/>
                <w:bCs w:val="1"/>
                <w:color w:val="auto"/>
              </w:rPr>
              <w:t>(1)(2)</w:t>
            </w:r>
          </w:p>
        </w:tc>
        <w:tc>
          <w:tcPr>
            <w:tcW w:w="1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2021</w:t>
            </w:r>
          </w:p>
        </w:tc>
        <w:tc>
          <w:tcPr>
            <w:tcW w:w="1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Estimated</w:t>
            </w: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Timeframe for</w:t>
            </w:r>
          </w:p>
        </w:tc>
        <w:tc>
          <w:tcPr>
            <w:tcW w:w="11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58"/>
        </w:trPr>
        <w:tc>
          <w:tcPr>
            <w:tcW w:w="19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Prospectus</w:t>
            </w:r>
            <w:r>
              <w:rPr>
                <w:rFonts w:ascii="Arial" w:cs="Arial" w:eastAsia="Arial" w:hAnsi="Arial"/>
                <w:sz w:val="12"/>
                <w:szCs w:val="12"/>
                <w:b w:val="1"/>
                <w:bCs w:val="1"/>
                <w:color w:val="auto"/>
                <w:w w:val="90"/>
              </w:rPr>
              <w:t>(3)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(3)</w:t>
            </w:r>
          </w:p>
        </w:tc>
        <w:tc>
          <w:tcPr>
            <w:tcW w:w="1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Completion</w:t>
            </w:r>
            <w:r>
              <w:rPr>
                <w:rFonts w:ascii="Arial" w:cs="Arial" w:eastAsia="Arial" w:hAnsi="Arial"/>
                <w:sz w:val="12"/>
                <w:szCs w:val="12"/>
                <w:b w:val="1"/>
                <w:bCs w:val="1"/>
                <w:color w:val="auto"/>
                <w:w w:val="94"/>
              </w:rPr>
              <w:t>(4)(5)</w:t>
            </w: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Psilocybin Program</w:t>
            </w:r>
          </w:p>
        </w:tc>
        <w:tc>
          <w:tcPr>
            <w:tcW w:w="1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Chemically develop and synthesize</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psychedelic APIs</w:t>
            </w:r>
            <w:r>
              <w:rPr>
                <w:rFonts w:ascii="Arial" w:cs="Arial" w:eastAsia="Arial" w:hAnsi="Arial"/>
                <w:sz w:val="15"/>
                <w:szCs w:val="15"/>
                <w:color w:val="auto"/>
              </w:rPr>
              <w:t>(6)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Nil</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Q1 2021</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Completed</w:t>
            </w:r>
            <w:r>
              <w:rPr>
                <w:rFonts w:ascii="Arial" w:cs="Arial" w:eastAsia="Arial" w:hAnsi="Arial"/>
                <w:sz w:val="15"/>
                <w:szCs w:val="15"/>
                <w:color w:val="auto"/>
                <w:w w:val="92"/>
              </w:rPr>
              <w:t>(7)</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Development of psilocybin Sublingual</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Film</w:t>
            </w:r>
            <w:r>
              <w:rPr>
                <w:rFonts w:ascii="Arial" w:cs="Arial" w:eastAsia="Arial" w:hAnsi="Arial"/>
                <w:sz w:val="15"/>
                <w:szCs w:val="15"/>
                <w:color w:val="auto"/>
              </w:rPr>
              <w:t>(8)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Q3 2021</w:t>
            </w:r>
            <w:r>
              <w:rPr>
                <w:rFonts w:ascii="Arial" w:cs="Arial" w:eastAsia="Arial" w:hAnsi="Arial"/>
                <w:sz w:val="15"/>
                <w:szCs w:val="15"/>
                <w:color w:val="auto"/>
                <w:w w:val="91"/>
              </w:rPr>
              <w:t>(19)</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In process</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Phase IIa MDD study completed with</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data</w:t>
            </w:r>
            <w:r>
              <w:rPr>
                <w:rFonts w:ascii="Arial" w:cs="Arial" w:eastAsia="Arial" w:hAnsi="Arial"/>
                <w:sz w:val="15"/>
                <w:szCs w:val="15"/>
                <w:color w:val="auto"/>
              </w:rPr>
              <w:t>(9)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r>
              <w:rPr>
                <w:rFonts w:ascii="Arial" w:cs="Arial" w:eastAsia="Arial" w:hAnsi="Arial"/>
                <w:sz w:val="15"/>
                <w:szCs w:val="15"/>
                <w:color w:val="auto"/>
              </w:rPr>
              <w:t>(19)</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Q4 2021</w:t>
            </w:r>
            <w:r>
              <w:rPr>
                <w:rFonts w:ascii="Arial" w:cs="Arial" w:eastAsia="Arial" w:hAnsi="Arial"/>
                <w:sz w:val="15"/>
                <w:szCs w:val="15"/>
                <w:color w:val="auto"/>
                <w:w w:val="91"/>
              </w:rPr>
              <w:t>(19)</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Not started</w:t>
            </w:r>
            <w:r>
              <w:rPr>
                <w:rFonts w:ascii="Arial" w:cs="Arial" w:eastAsia="Arial" w:hAnsi="Arial"/>
                <w:sz w:val="15"/>
                <w:szCs w:val="15"/>
                <w:color w:val="auto"/>
                <w:w w:val="92"/>
              </w:rPr>
              <w:t>(25)</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Phase IIb MDD study completed with</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data</w:t>
            </w:r>
            <w:r>
              <w:rPr>
                <w:rFonts w:ascii="Arial" w:cs="Arial" w:eastAsia="Arial" w:hAnsi="Arial"/>
                <w:sz w:val="15"/>
                <w:szCs w:val="15"/>
                <w:color w:val="auto"/>
              </w:rPr>
              <w:t>(9)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Q2 2022</w:t>
            </w:r>
            <w:r>
              <w:rPr>
                <w:rFonts w:ascii="Arial" w:cs="Arial" w:eastAsia="Arial" w:hAnsi="Arial"/>
                <w:sz w:val="15"/>
                <w:szCs w:val="15"/>
                <w:color w:val="auto"/>
                <w:w w:val="91"/>
              </w:rPr>
              <w:t>(19)</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Not started</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Support of additional phase IIb study sites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 Canada and the United States</w:t>
            </w:r>
            <w:r>
              <w:rPr>
                <w:rFonts w:ascii="Arial" w:cs="Arial" w:eastAsia="Arial" w:hAnsi="Arial"/>
                <w:sz w:val="15"/>
                <w:szCs w:val="15"/>
                <w:color w:val="auto"/>
              </w:rPr>
              <w:t>(10)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3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1,950</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Q2 2022</w:t>
            </w:r>
            <w:r>
              <w:rPr>
                <w:rFonts w:ascii="Arial" w:cs="Arial" w:eastAsia="Arial" w:hAnsi="Arial"/>
                <w:sz w:val="15"/>
                <w:szCs w:val="15"/>
                <w:color w:val="auto"/>
                <w:w w:val="91"/>
              </w:rPr>
              <w:t>(20)</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In process</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Commence microdose study with the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Canadian Centre of Psychedelic</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Science</w:t>
            </w:r>
            <w:r>
              <w:rPr>
                <w:rFonts w:ascii="Arial" w:cs="Arial" w:eastAsia="Arial" w:hAnsi="Arial"/>
                <w:sz w:val="15"/>
                <w:szCs w:val="15"/>
                <w:color w:val="auto"/>
              </w:rPr>
              <w:t>(11)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Nil</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N/A</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Cancelled</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Commence safety and efficacy clinical</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study with the UWI</w:t>
            </w:r>
            <w:r>
              <w:rPr>
                <w:rFonts w:ascii="Arial" w:cs="Arial" w:eastAsia="Arial" w:hAnsi="Arial"/>
                <w:sz w:val="15"/>
                <w:szCs w:val="15"/>
                <w:color w:val="auto"/>
              </w:rPr>
              <w:t>(12)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Nil</w:t>
            </w:r>
            <w:r>
              <w:rPr>
                <w:rFonts w:ascii="Arial" w:cs="Arial" w:eastAsia="Arial" w:hAnsi="Arial"/>
                <w:sz w:val="15"/>
                <w:szCs w:val="15"/>
                <w:color w:val="auto"/>
              </w:rPr>
              <w:t>(13)</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N/A</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1980" w:type="dxa"/>
            <w:vAlign w:val="bottom"/>
            <w:gridSpan w:val="2"/>
          </w:tcPr>
          <w:p>
            <w:pPr>
              <w:spacing w:after="0"/>
              <w:rPr>
                <w:sz w:val="20"/>
                <w:szCs w:val="20"/>
                <w:color w:val="auto"/>
              </w:rPr>
            </w:pPr>
            <w:r>
              <w:rPr>
                <w:rFonts w:ascii="Arial" w:cs="Arial" w:eastAsia="Arial" w:hAnsi="Arial"/>
                <w:sz w:val="18"/>
                <w:szCs w:val="18"/>
                <w:color w:val="auto"/>
              </w:rPr>
              <w:t>Deuterated Tryptamines</w:t>
            </w:r>
          </w:p>
        </w:tc>
        <w:tc>
          <w:tcPr>
            <w:tcW w:w="18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0"/>
              </w:rPr>
              <w:t>Progression of CYB003 to phase I studies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Preclinical Programs</w:t>
            </w:r>
          </w:p>
        </w:tc>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and development of the associated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delivery platform</w:t>
            </w:r>
            <w:r>
              <w:rPr>
                <w:rFonts w:ascii="Arial" w:cs="Arial" w:eastAsia="Arial" w:hAnsi="Arial"/>
                <w:sz w:val="15"/>
                <w:szCs w:val="15"/>
                <w:color w:val="auto"/>
              </w:rPr>
              <w:t>(14)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5,720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4,570</w:t>
            </w:r>
            <w:r>
              <w:rPr>
                <w:rFonts w:ascii="Arial" w:cs="Arial" w:eastAsia="Arial" w:hAnsi="Arial"/>
                <w:sz w:val="15"/>
                <w:szCs w:val="15"/>
                <w:color w:val="auto"/>
              </w:rPr>
              <w:t>(21)</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Q1 2022</w:t>
            </w:r>
            <w:r>
              <w:rPr>
                <w:rFonts w:ascii="Arial" w:cs="Arial" w:eastAsia="Arial" w:hAnsi="Arial"/>
                <w:sz w:val="15"/>
                <w:szCs w:val="15"/>
                <w:color w:val="auto"/>
                <w:w w:val="91"/>
              </w:rPr>
              <w:t>(14)</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In process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Progression of CYB004 to phase I</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studies</w:t>
            </w:r>
            <w:r>
              <w:rPr>
                <w:rFonts w:ascii="Arial" w:cs="Arial" w:eastAsia="Arial" w:hAnsi="Arial"/>
                <w:sz w:val="15"/>
                <w:szCs w:val="15"/>
                <w:color w:val="auto"/>
              </w:rPr>
              <w:t>(14)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6,200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r>
              <w:rPr>
                <w:rFonts w:ascii="Arial" w:cs="Arial" w:eastAsia="Arial" w:hAnsi="Arial"/>
                <w:sz w:val="15"/>
                <w:szCs w:val="15"/>
                <w:color w:val="auto"/>
              </w:rPr>
              <w:t>(22)</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Q2 2022</w:t>
            </w:r>
            <w:r>
              <w:rPr>
                <w:rFonts w:ascii="Arial" w:cs="Arial" w:eastAsia="Arial" w:hAnsi="Arial"/>
                <w:sz w:val="15"/>
                <w:szCs w:val="15"/>
                <w:color w:val="auto"/>
                <w:w w:val="91"/>
              </w:rPr>
              <w:t>(14)</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In process</w:t>
            </w:r>
          </w:p>
        </w:tc>
        <w:tc>
          <w:tcPr>
            <w:tcW w:w="0" w:type="dxa"/>
            <w:vAlign w:val="bottom"/>
          </w:tcPr>
          <w:p>
            <w:pPr>
              <w:spacing w:after="0"/>
              <w:rPr>
                <w:sz w:val="1"/>
                <w:szCs w:val="1"/>
                <w:color w:val="auto"/>
              </w:rPr>
            </w:pP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Phenethylamine Preclinical</w:t>
            </w: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Progression of phenethylamine candidate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Program</w:t>
            </w: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 phase I studies</w:t>
            </w:r>
            <w:r>
              <w:rPr>
                <w:rFonts w:ascii="Arial" w:cs="Arial" w:eastAsia="Arial" w:hAnsi="Arial"/>
                <w:sz w:val="15"/>
                <w:szCs w:val="15"/>
                <w:color w:val="auto"/>
              </w:rPr>
              <w:t>(15)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2,600</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Q4 2022 – Q1 2023</w:t>
            </w:r>
            <w:r>
              <w:rPr>
                <w:rFonts w:ascii="Arial" w:cs="Arial" w:eastAsia="Arial" w:hAnsi="Arial"/>
                <w:sz w:val="15"/>
                <w:szCs w:val="15"/>
                <w:color w:val="auto"/>
                <w:w w:val="91"/>
              </w:rPr>
              <w:t>(23)</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In process</w:t>
            </w:r>
          </w:p>
        </w:tc>
        <w:tc>
          <w:tcPr>
            <w:tcW w:w="0" w:type="dxa"/>
            <w:vAlign w:val="bottom"/>
          </w:tcPr>
          <w:p>
            <w:pPr>
              <w:spacing w:after="0"/>
              <w:rPr>
                <w:sz w:val="1"/>
                <w:szCs w:val="1"/>
                <w:color w:val="auto"/>
              </w:rPr>
            </w:pPr>
          </w:p>
        </w:tc>
      </w:tr>
      <w:tr>
        <w:trPr>
          <w:trHeight w:val="310"/>
        </w:trPr>
        <w:tc>
          <w:tcPr>
            <w:tcW w:w="1980" w:type="dxa"/>
            <w:vAlign w:val="bottom"/>
            <w:gridSpan w:val="2"/>
          </w:tcPr>
          <w:p>
            <w:pPr>
              <w:spacing w:after="0"/>
              <w:rPr>
                <w:sz w:val="20"/>
                <w:szCs w:val="20"/>
                <w:color w:val="auto"/>
              </w:rPr>
            </w:pPr>
            <w:r>
              <w:rPr>
                <w:rFonts w:ascii="Arial" w:cs="Arial" w:eastAsia="Arial" w:hAnsi="Arial"/>
                <w:sz w:val="18"/>
                <w:szCs w:val="18"/>
                <w:color w:val="auto"/>
              </w:rPr>
              <w:t>Nutraceutical Products</w:t>
            </w:r>
          </w:p>
        </w:tc>
        <w:tc>
          <w:tcPr>
            <w:tcW w:w="18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Inventory fulfillment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200</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Q2 2022</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Not started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Product deployment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200</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Q2 2022</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Not started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Marketing</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Q2 2022</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Not started</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Programs</w:t>
            </w:r>
          </w:p>
        </w:tc>
        <w:tc>
          <w:tcPr>
            <w:tcW w:w="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r>
              <w:rPr>
                <w:rFonts w:ascii="Arial" w:cs="Arial" w:eastAsia="Arial" w:hAnsi="Arial"/>
                <w:sz w:val="15"/>
                <w:szCs w:val="15"/>
                <w:color w:val="auto"/>
              </w:rPr>
              <w:t>(16)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Nil</w:t>
            </w:r>
            <w:r>
              <w:rPr>
                <w:rFonts w:ascii="Arial" w:cs="Arial" w:eastAsia="Arial" w:hAnsi="Arial"/>
                <w:sz w:val="15"/>
                <w:szCs w:val="15"/>
                <w:color w:val="auto"/>
              </w:rPr>
              <w:t>(24)</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TBD</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On hold</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Development of patient digital therapy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r>
              <w:rPr>
                <w:rFonts w:ascii="Arial" w:cs="Arial" w:eastAsia="Arial" w:hAnsi="Arial"/>
                <w:sz w:val="15"/>
                <w:szCs w:val="15"/>
                <w:color w:val="auto"/>
              </w:rPr>
              <w:t>(17)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2,600</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Q4 2021</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In process</w:t>
            </w: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Sponsorship of studies utilizing Kernel</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Flow technology</w:t>
            </w:r>
            <w:r>
              <w:rPr>
                <w:rFonts w:ascii="Arial" w:cs="Arial" w:eastAsia="Arial" w:hAnsi="Arial"/>
                <w:sz w:val="15"/>
                <w:szCs w:val="15"/>
                <w:color w:val="auto"/>
              </w:rPr>
              <w:t>(10)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1,825</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Q4 2021 – Q4 2022</w:t>
            </w:r>
          </w:p>
        </w:tc>
        <w:tc>
          <w:tcPr>
            <w:tcW w:w="1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Not started</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25,433</w:t>
            </w:r>
            <w:r>
              <w:rPr>
                <w:rFonts w:ascii="Arial" w:cs="Arial" w:eastAsia="Arial" w:hAnsi="Arial"/>
                <w:sz w:val="15"/>
                <w:szCs w:val="15"/>
                <w:b w:val="1"/>
                <w:bCs w:val="1"/>
                <w:color w:val="auto"/>
              </w:rPr>
              <w:t>(18)</w:t>
            </w: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21,133</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00" w:type="dxa"/>
            <w:vAlign w:val="bottom"/>
            <w:gridSpan w:val="3"/>
          </w:tcPr>
          <w:p>
            <w:pPr>
              <w:jc w:val="right"/>
              <w:ind w:right="533"/>
              <w:spacing w:after="0"/>
              <w:rPr>
                <w:sz w:val="20"/>
                <w:szCs w:val="20"/>
                <w:color w:val="auto"/>
              </w:rPr>
            </w:pPr>
            <w:r>
              <w:rPr>
                <w:rFonts w:ascii="Arial" w:cs="Arial" w:eastAsia="Arial" w:hAnsi="Arial"/>
                <w:sz w:val="18"/>
                <w:szCs w:val="18"/>
                <w:color w:val="auto"/>
              </w:rPr>
              <w:t>- 14 -</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8" w:name="page39"/>
    <w:bookmarkEnd w:id="38"/>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u w:val="single" w:color="auto"/>
          <w:color w:val="auto"/>
        </w:rPr>
        <w:t>Notes</w:t>
      </w:r>
      <w:r>
        <w:rPr>
          <w:rFonts w:ascii="Arial" w:cs="Arial" w:eastAsia="Arial" w:hAnsi="Arial"/>
          <w:sz w:val="18"/>
          <w:szCs w:val="18"/>
          <w:u w:val="single" w:color="auto"/>
          <w:color w:val="auto"/>
        </w:rPr>
        <w:t>:</w:t>
      </w:r>
    </w:p>
    <w:p>
      <w:pPr>
        <w:spacing w:after="0" w:line="135"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may be circumstances where for sound business reasons the Company reallocates the funds or determines to not proceed with a milestone.</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receipt of all necessary approvals, including the academic and scientific organizations with which the Company is working.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Certain amounts have been converted from USD to CAD at an exchange rate of 1.24:1 and all dollar amounts presented in thousands.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total expenditure may be incurred by the Company after the relevant quarter that is indicated as the target timeframe for completion.</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a calendar year-end.</w:t>
      </w:r>
    </w:p>
    <w:p>
      <w:pPr>
        <w:spacing w:after="0" w:line="130" w:lineRule="exact"/>
        <w:rPr>
          <w:rFonts w:ascii="Arial" w:cs="Arial" w:eastAsia="Arial" w:hAnsi="Arial"/>
          <w:sz w:val="18"/>
          <w:szCs w:val="18"/>
          <w:color w:val="auto"/>
        </w:rPr>
      </w:pPr>
    </w:p>
    <w:p>
      <w:pPr>
        <w:jc w:val="both"/>
        <w:ind w:left="424" w:hanging="424"/>
        <w:spacing w:after="0" w:line="254"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milestone was previously expected to be completed in Q2 2021, as disclosed in the Listing Statement. However, the milestone was completed earlier than expected, in Q1 2021, due to frustration between Smart Medicines GMP Inc. and Cybin Corp. and this resulted in the termination of the professional services agreement dated June 24, 2020 between Cybin Corp. and Smart Medicines GMP Inc. See “History of the Company” in the AIF. With the acquisition of Adelia, the Company secured an alternative to the Deliverables (as defined below) and now has in-house ability to develop molecules which can be scaled to GMP quantities. See “History of the Company” in the AIF. There are multiple risk factors regarding the ability to successfully commercially scale a chemically synthesized process to obtain psilocybin and other analogues. The Company expects to work with Adelia to provide psilocybin API for further studies, commercial oral film manufacturing and potential sales to research institutes. See “Risk Factors”.</w:t>
      </w:r>
    </w:p>
    <w:p>
      <w:pPr>
        <w:spacing w:after="0" w:line="97" w:lineRule="exact"/>
        <w:rPr>
          <w:rFonts w:ascii="Arial" w:cs="Arial" w:eastAsia="Arial" w:hAnsi="Arial"/>
          <w:sz w:val="18"/>
          <w:szCs w:val="18"/>
          <w:color w:val="auto"/>
        </w:rPr>
      </w:pPr>
    </w:p>
    <w:p>
      <w:pPr>
        <w:jc w:val="both"/>
        <w:ind w:left="424" w:right="2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actual cost is lower than previously anticipated, and as previously disclosed in the Listing Statement, and February 2021 Prospectus, as a result of the termination of the professional services agreement dated June 24, 2020 between Cybin Corp. and Smart Medicines GMP Inc. See “</w:t>
      </w:r>
      <w:r>
        <w:rPr>
          <w:rFonts w:ascii="Arial" w:cs="Arial" w:eastAsia="Arial" w:hAnsi="Arial"/>
          <w:sz w:val="18"/>
          <w:szCs w:val="18"/>
          <w:i w:val="1"/>
          <w:iCs w:val="1"/>
          <w:color w:val="auto"/>
        </w:rPr>
        <w:t>History of the Company</w:t>
      </w:r>
      <w:r>
        <w:rPr>
          <w:rFonts w:ascii="Arial" w:cs="Arial" w:eastAsia="Arial" w:hAnsi="Arial"/>
          <w:sz w:val="18"/>
          <w:szCs w:val="18"/>
          <w:color w:val="auto"/>
        </w:rPr>
        <w:t>” in the AIF.</w:t>
      </w:r>
    </w:p>
    <w:p>
      <w:pPr>
        <w:spacing w:after="0" w:line="89" w:lineRule="exact"/>
        <w:rPr>
          <w:rFonts w:ascii="Arial" w:cs="Arial" w:eastAsia="Arial" w:hAnsi="Arial"/>
          <w:sz w:val="18"/>
          <w:szCs w:val="18"/>
          <w:color w:val="auto"/>
        </w:rPr>
      </w:pPr>
    </w:p>
    <w:p>
      <w:pPr>
        <w:jc w:val="both"/>
        <w:ind w:left="424" w:hanging="424"/>
        <w:spacing w:after="0" w:line="268" w:lineRule="auto"/>
        <w:tabs>
          <w:tab w:leader="none" w:pos="4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Certain risks associated with the development of psilocybin Sublingual Film include final approval from the IRB and the import/export timeline. The material factors and assumptions underlying this forward-looking statement are: (a)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Such timelines are also based upon discussions with local experts in Jamaica. The Company applied to IRB and the MOH in September 2020 and has received approval from the IRB in May 2021 to begin the phase IIa study but the MOH approval is required to begin the export process of study materials to the study site and any delays in the export/import permitting or logistics may impact the study initiation timeline. There is no guarantee that the MOH approval will be approved in time to allow study completion in December 2021, or at all. As of the date hereof, other than the IRB, it has neither determined, nor applied for, the approvals, permits, and/or licenses which may be required to complete the phase IIa study. While timely and successful completion of the phase IIa study will be required before the Company will initiate the IIb study, the Company has secured adequate supply of raw material to complete the phase IIa and phase IIb studies.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85" w:lineRule="exact"/>
        <w:rPr>
          <w:rFonts w:ascii="Arial" w:cs="Arial" w:eastAsia="Arial" w:hAnsi="Arial"/>
          <w:sz w:val="17"/>
          <w:szCs w:val="17"/>
          <w:color w:val="auto"/>
        </w:rPr>
      </w:pPr>
    </w:p>
    <w:p>
      <w:pPr>
        <w:jc w:val="both"/>
        <w:ind w:left="424" w:hanging="424"/>
        <w:spacing w:after="0" w:line="28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Assuming 40 patients participate in the Phase IIa trial and 120 patients participate in the Phase IIb trial. Such anticipated costs do not include fees associated with the following, which could increase the amounts quoted: legal; statistical analysis; data management; drug/product development; and salaries and wages associated with the hiring of a regulatory expert as well as a medical director. In addition, anticipated costs may be impacted by a number of factors, including but not limited to (i) delays due to the impact of COVID-19; (ii) import/export delays or restrictions;</w:t>
      </w:r>
    </w:p>
    <w:p>
      <w:pPr>
        <w:spacing w:after="0" w:line="1" w:lineRule="exact"/>
        <w:rPr>
          <w:rFonts w:ascii="Arial" w:cs="Arial" w:eastAsia="Arial" w:hAnsi="Arial"/>
          <w:sz w:val="16"/>
          <w:szCs w:val="16"/>
          <w:color w:val="auto"/>
        </w:rPr>
      </w:pPr>
    </w:p>
    <w:p>
      <w:pPr>
        <w:jc w:val="both"/>
        <w:ind w:left="424" w:firstLine="8"/>
        <w:spacing w:after="0" w:line="284" w:lineRule="auto"/>
        <w:tabs>
          <w:tab w:leader="none" w:pos="763" w:val="left"/>
        </w:tabs>
        <w:numPr>
          <w:ilvl w:val="1"/>
          <w:numId w:val="43"/>
        </w:numPr>
        <w:rPr>
          <w:rFonts w:ascii="Arial" w:cs="Arial" w:eastAsia="Arial" w:hAnsi="Arial"/>
          <w:sz w:val="16"/>
          <w:szCs w:val="16"/>
          <w:color w:val="auto"/>
        </w:rPr>
      </w:pPr>
      <w:r>
        <w:rPr>
          <w:rFonts w:ascii="Arial" w:cs="Arial" w:eastAsia="Arial" w:hAnsi="Arial"/>
          <w:sz w:val="16"/>
          <w:szCs w:val="16"/>
          <w:color w:val="auto"/>
        </w:rPr>
        <w:t>successful completion of phase IIa so that the Company may proceed with phase IIb; and (iv) obtaining required permits and applicable regulatory approvals. The material factors and assumptions underlying this forward-looking statement are: (a)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Such timelines are also based upon discussions with local experts in Jamaica. industry examples, and the Company’s development efforts to date. Such timelines are also based upon discussions with local experts in Jamaica. The Company applied to IRB and the MOH in September 2020 and has received approval from the IRB in May 2021 to begin the phase IIa study but the MOH approval is required to begin the export process of study materials to the study site and any delays in the export/import permitting or logistics may impact the study initiation timeline. There is no guarantee that the MOH approval will be approved in time to allow study completion in December 2021, or at all. As of the date hereof, other than the IRB, it has neither determined, nor applied for, the approvals, permits, and/or licenses which may be required to complete the phase IIa study. While timely and successful completion of the phase IIa study will be required before the Company will initiate the IIb study, the Company has secured adequate supply of raw material to complete the phase IIa and phase IIb studies.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Kernel Flow study, Palliative Care study, and the addition of phase IIb study sites in the U.S. and Canada will require the identification and recruitment of investigators, development of acceptable study protocols, and IRB approvals. See “Risk Factors”.</w:t>
      </w:r>
    </w:p>
    <w:p>
      <w:pPr>
        <w:spacing w:after="0" w:line="75" w:lineRule="exact"/>
        <w:rPr>
          <w:rFonts w:ascii="Arial" w:cs="Arial" w:eastAsia="Arial" w:hAnsi="Arial"/>
          <w:sz w:val="18"/>
          <w:szCs w:val="18"/>
          <w:color w:val="auto"/>
        </w:rPr>
      </w:pPr>
    </w:p>
    <w:p>
      <w:pPr>
        <w:jc w:val="both"/>
        <w:ind w:left="424" w:right="2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April 6, 2021, the Company provided notice to the CCPS of its decision to terminate this arrangement, as a result, the actual cost is lower than previously anticipated, and as previously disclosed in the Listing Statement and February 2021 Prospectus. See “</w:t>
      </w:r>
      <w:r>
        <w:rPr>
          <w:rFonts w:ascii="Arial" w:cs="Arial" w:eastAsia="Arial" w:hAnsi="Arial"/>
          <w:sz w:val="18"/>
          <w:szCs w:val="18"/>
          <w:i w:val="1"/>
          <w:iCs w:val="1"/>
          <w:color w:val="auto"/>
        </w:rPr>
        <w:t>History of the Company</w:t>
      </w:r>
      <w:r>
        <w:rPr>
          <w:rFonts w:ascii="Arial" w:cs="Arial" w:eastAsia="Arial" w:hAnsi="Arial"/>
          <w:sz w:val="18"/>
          <w:szCs w:val="18"/>
          <w:color w:val="auto"/>
        </w:rPr>
        <w:t>” in the AIF.</w:t>
      </w:r>
    </w:p>
    <w:p>
      <w:pPr>
        <w:spacing w:after="0" w:line="89" w:lineRule="exact"/>
        <w:rPr>
          <w:rFonts w:ascii="Arial" w:cs="Arial" w:eastAsia="Arial" w:hAnsi="Arial"/>
          <w:sz w:val="18"/>
          <w:szCs w:val="18"/>
          <w:color w:val="auto"/>
        </w:rPr>
      </w:pPr>
    </w:p>
    <w:p>
      <w:pPr>
        <w:jc w:val="both"/>
        <w:ind w:left="424"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receipt of all necessary regulatory approvals in Jamaica or other jurisdictions. IRB application filed in Jamaica in September 2020 with the UWI and the Ministry of Health for a phase IIa bioequivalence study and phase IIb efficacy study. The Company has received conditional approval from the IRB but final approval has not been granted at this time. See “Risk Factors”.</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Listing Statement inadvertently duplicated this milestone, which forms part of the estimated cost of the phase IIa and phase IIb MDD study listed below.</w:t>
      </w:r>
    </w:p>
    <w:p>
      <w:pPr>
        <w:spacing w:after="0" w:line="75" w:lineRule="exact"/>
        <w:rPr>
          <w:rFonts w:ascii="Arial" w:cs="Arial" w:eastAsia="Arial" w:hAnsi="Arial"/>
          <w:sz w:val="18"/>
          <w:szCs w:val="18"/>
          <w:color w:val="auto"/>
        </w:rPr>
      </w:pPr>
    </w:p>
    <w:p>
      <w:pPr>
        <w:jc w:val="both"/>
        <w:ind w:left="424" w:hanging="424"/>
        <w:spacing w:after="0" w:line="279" w:lineRule="auto"/>
        <w:tabs>
          <w:tab w:leader="none" w:pos="4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Deuterated Tryptamines Preclinical Programs and Phenethylamine Preclinical Program are new objectives following completion of the Adelia Transaction. These business objectives require clinical trial sites, contract manufacturers, certain scale-ups in operation, etc. which may impact the time frame that these are completed. The proceeds allocated include estimated costs associated with the progression of CYB003 to phase I studies and development of the associated delivery platforms, the progression of CYB004 to phase I</w:t>
      </w:r>
    </w:p>
    <w:p>
      <w:pPr>
        <w:sectPr>
          <w:pgSz w:w="11900" w:h="16908" w:orient="portrait"/>
          <w:cols w:equalWidth="0" w:num="1">
            <w:col w:w="11024"/>
          </w:cols>
          <w:pgMar w:left="436" w:top="270" w:right="439" w:bottom="0" w:gutter="0" w:footer="0" w:header="0"/>
        </w:sectPr>
      </w:pPr>
    </w:p>
    <w:bookmarkStart w:id="39" w:name="page40"/>
    <w:bookmarkEnd w:id="39"/>
    <w:p>
      <w:pPr>
        <w:jc w:val="center"/>
        <w:ind w:right="19"/>
        <w:spacing w:after="0"/>
        <w:rPr>
          <w:sz w:val="20"/>
          <w:szCs w:val="20"/>
          <w:color w:val="auto"/>
        </w:rPr>
      </w:pPr>
      <w:r>
        <w:rPr>
          <w:rFonts w:ascii="Arial" w:cs="Arial" w:eastAsia="Arial" w:hAnsi="Arial"/>
          <w:sz w:val="17"/>
          <w:szCs w:val="17"/>
          <w:color w:val="auto"/>
        </w:rPr>
        <w:t>- 15 -</w:t>
      </w:r>
    </w:p>
    <w:p>
      <w:pPr>
        <w:sectPr>
          <w:pgSz w:w="11900" w:h="16838" w:orient="portrait"/>
          <w:cols w:equalWidth="0" w:num="1">
            <w:col w:w="9019"/>
          </w:cols>
          <w:pgMar w:left="1440" w:top="274" w:right="1440" w:bottom="1440" w:gutter="0" w:footer="0" w:header="0"/>
        </w:sectPr>
      </w:pPr>
    </w:p>
    <w:bookmarkStart w:id="40" w:name="page41"/>
    <w:bookmarkEnd w:id="40"/>
    <w:p>
      <w:pPr>
        <w:jc w:val="both"/>
        <w:ind w:left="42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studies and the progression of phenethylamine candidate to phase I studies. The anticipated timeline for completing this objective is Q1 2022 and Q2 2022 for CYB003 and CYB004, respectively, updated from the prior estimate of late calendar 2021 to early calendar 2022 and Q1 2022, respectively, which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84" w:lineRule="exact"/>
        <w:rPr>
          <w:sz w:val="20"/>
          <w:szCs w:val="20"/>
          <w:color w:val="auto"/>
        </w:rPr>
      </w:pPr>
    </w:p>
    <w:p>
      <w:pPr>
        <w:jc w:val="both"/>
        <w:ind w:left="424" w:hanging="424"/>
        <w:spacing w:after="0" w:line="289"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71" w:lineRule="exact"/>
        <w:rPr>
          <w:rFonts w:ascii="Arial" w:cs="Arial" w:eastAsia="Arial" w:hAnsi="Arial"/>
          <w:sz w:val="16"/>
          <w:szCs w:val="16"/>
          <w:color w:val="auto"/>
        </w:rPr>
      </w:pPr>
    </w:p>
    <w:p>
      <w:pPr>
        <w:jc w:val="both"/>
        <w:ind w:left="424" w:hanging="424"/>
        <w:spacing w:after="0" w:line="268"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is evaluating the commercial viability of the Product Line and any future launch within the context of prioritizing the research and development progression of psychedelic molecules. The material factors and assumptions underlying this forward-looking statement are: (a) the Company has assessed the market size for nutraceutical products by obtaining market search from third parties. Such research also provides a detailed analysis of the market segment for medicinal mushrooms and adaptogens that would be relevant to the Company’s analysis of its market launch strategy. The Company believes that these sources are generally reliable but has not independently verified such information; (b) the Company has agreements in place with four U.S. suppliers (Maypro Industries LLC, Aloha Medicinals, Enerhealth Botanicals, LLC and Optima Products, LLC) and the Company assumes that such suppliers will fulfil their requirements under those agreements and will continue to maintain all necessary licences and approvals necessary to perform their obligations under the agreements; (c) the Product Line is being explored for an initial launch in the U.S. Under applicable U.S. law, there are no required approvals, licenses and/or permits required to in advance of launching the Company’s products, however, the Company is required to submit its marketing materials to the FDA within 30 days following the launch of the Product Line for a review of any medicinal claims made; and (d) the Company has contracted with a digital agency that has undertaken initial market research and feasibility work and pending a review, the Company will seek elements needed for a viable digital platform. The Company has not yet contracted with an external developer.</w:t>
      </w:r>
    </w:p>
    <w:p>
      <w:pPr>
        <w:spacing w:after="0" w:line="91" w:lineRule="exact"/>
        <w:rPr>
          <w:rFonts w:ascii="Arial" w:cs="Arial" w:eastAsia="Arial" w:hAnsi="Arial"/>
          <w:sz w:val="17"/>
          <w:szCs w:val="17"/>
          <w:color w:val="auto"/>
        </w:rPr>
      </w:pPr>
    </w:p>
    <w:p>
      <w:pPr>
        <w:jc w:val="both"/>
        <w:ind w:left="424" w:hanging="424"/>
        <w:spacing w:after="0" w:line="29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proceeds allocated include estimated costs associated with the ongoing development of the patient digital platform. 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anticipated timeline for completing this objective is late Q4 2021 which is based on certain material factors or assumptions including, but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71" w:lineRule="exact"/>
        <w:rPr>
          <w:rFonts w:ascii="Arial" w:cs="Arial" w:eastAsia="Arial" w:hAnsi="Arial"/>
          <w:sz w:val="16"/>
          <w:szCs w:val="16"/>
          <w:color w:val="auto"/>
        </w:rPr>
      </w:pPr>
    </w:p>
    <w:p>
      <w:pPr>
        <w:ind w:left="424" w:right="2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Listing Statement inadvertently duplicated a milestone in the amount of $50 related to the “Initiate Microdose safety and efficacy study” milestone.</w:t>
      </w:r>
    </w:p>
    <w:p>
      <w:pPr>
        <w:spacing w:after="0" w:line="75" w:lineRule="exact"/>
        <w:rPr>
          <w:rFonts w:ascii="Arial" w:cs="Arial" w:eastAsia="Arial" w:hAnsi="Arial"/>
          <w:sz w:val="18"/>
          <w:szCs w:val="18"/>
          <w:color w:val="auto"/>
        </w:rPr>
      </w:pPr>
    </w:p>
    <w:p>
      <w:pPr>
        <w:jc w:val="both"/>
        <w:ind w:left="424" w:hanging="424"/>
        <w:spacing w:after="0" w:line="255"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expects to spend $2,600 to complete the phase IIa study by Q4 2021, an increase in cost of $2,000.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97" w:lineRule="exact"/>
        <w:rPr>
          <w:rFonts w:ascii="Arial" w:cs="Arial" w:eastAsia="Arial" w:hAnsi="Arial"/>
          <w:sz w:val="18"/>
          <w:szCs w:val="18"/>
          <w:color w:val="auto"/>
        </w:rPr>
      </w:pPr>
    </w:p>
    <w:p>
      <w:pPr>
        <w:jc w:val="both"/>
        <w:ind w:left="424" w:hanging="424"/>
        <w:spacing w:after="0" w:line="29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addition to initial patient recruitment at UWI, the Company anticipates recruiting additional clinical sites in the U.S. and Canada. Completion of the recruitment and study of patients is estimated to be performed by the end of calendar 2021. The Company expects to spend $1,950 to complete the phase IIb study by Q2 2022.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71" w:lineRule="exact"/>
        <w:rPr>
          <w:rFonts w:ascii="Arial" w:cs="Arial" w:eastAsia="Arial" w:hAnsi="Arial"/>
          <w:sz w:val="16"/>
          <w:szCs w:val="16"/>
          <w:color w:val="auto"/>
        </w:rPr>
      </w:pPr>
    </w:p>
    <w:p>
      <w:pPr>
        <w:jc w:val="both"/>
        <w:ind w:left="424" w:right="20" w:hanging="424"/>
        <w:spacing w:after="0" w:line="272"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anticipates that its CYB003 program may deliver a drug candidate suitable for entry into phase I clinical studies by Q1 2022. The Company expects to spend $4,570 to advance preclinical development of CYB003 by Q1 2022, a decrease from the previous estimate of $5,720.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82" w:lineRule="exact"/>
        <w:rPr>
          <w:rFonts w:ascii="Arial" w:cs="Arial" w:eastAsia="Arial" w:hAnsi="Arial"/>
          <w:sz w:val="17"/>
          <w:szCs w:val="17"/>
          <w:color w:val="auto"/>
        </w:rPr>
      </w:pPr>
    </w:p>
    <w:p>
      <w:pPr>
        <w:jc w:val="both"/>
        <w:ind w:left="424" w:hanging="424"/>
        <w:spacing w:after="0" w:line="29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expects to spend $3,250 to advance preclinical development of CYB004 by Q1 2022, a decrease in the previous estimate of $6,200. The change is not a reflection of a decrease in spend to accomplish the milestone, but rather a decrease in the amount that the Company expects to incur in the next twelve months.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ectPr>
          <w:pgSz w:w="11900" w:h="16838" w:orient="portrait"/>
          <w:cols w:equalWidth="0" w:num="1">
            <w:col w:w="11024"/>
          </w:cols>
          <w:pgMar w:left="436" w:top="274" w:right="4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7"/>
          <w:szCs w:val="17"/>
          <w:color w:val="auto"/>
        </w:rPr>
        <w:t>- 16 -</w:t>
      </w:r>
    </w:p>
    <w:p>
      <w:pPr>
        <w:sectPr>
          <w:pgSz w:w="11900" w:h="16838" w:orient="portrait"/>
          <w:cols w:equalWidth="0" w:num="1">
            <w:col w:w="9019"/>
          </w:cols>
          <w:pgMar w:left="1440" w:top="125" w:right="1440" w:bottom="1440" w:gutter="0" w:footer="0" w:header="0"/>
        </w:sectPr>
      </w:pPr>
    </w:p>
    <w:bookmarkStart w:id="42" w:name="page43"/>
    <w:bookmarkEnd w:id="42"/>
    <w:p>
      <w:pPr>
        <w:jc w:val="both"/>
        <w:ind w:left="424" w:right="20" w:hanging="424"/>
        <w:spacing w:after="0" w:line="273" w:lineRule="auto"/>
        <w:tabs>
          <w:tab w:leader="none" w:pos="424"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anticipates that its phenethylamine program may deliver a drug candidate suitable for entry into phase I clinical studies by Q1 2023.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83" w:lineRule="exact"/>
        <w:rPr>
          <w:rFonts w:ascii="Arial" w:cs="Arial" w:eastAsia="Arial" w:hAnsi="Arial"/>
          <w:sz w:val="17"/>
          <w:szCs w:val="17"/>
          <w:color w:val="auto"/>
        </w:rPr>
      </w:pPr>
    </w:p>
    <w:p>
      <w:pPr>
        <w:ind w:left="424" w:right="20" w:hanging="424"/>
        <w:spacing w:after="0" w:line="342"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project is on hold and the spend reduced to $nil. With the advancements in its research and development the Company has shifted its focus and resources to its progression of psychedelic molecules This project will be resumed once the Company progresses with the Product Line.</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project spend up to June 30, 2021 relates to preparatory work only. The study has not yet commenced.</w:t>
      </w:r>
    </w:p>
    <w:p>
      <w:pPr>
        <w:spacing w:after="0" w:line="225"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5" w:lineRule="exact"/>
        <w:rPr>
          <w:sz w:val="20"/>
          <w:szCs w:val="20"/>
          <w:color w:val="auto"/>
        </w:rPr>
      </w:pPr>
    </w:p>
    <w:p>
      <w:pPr>
        <w:jc w:val="both"/>
        <w:ind w:left="4"/>
        <w:spacing w:after="0" w:line="293" w:lineRule="auto"/>
        <w:rPr>
          <w:sz w:val="20"/>
          <w:szCs w:val="20"/>
          <w:color w:val="auto"/>
        </w:rPr>
      </w:pPr>
      <w:r>
        <w:rPr>
          <w:rFonts w:ascii="Arial" w:cs="Arial" w:eastAsia="Arial" w:hAnsi="Arial"/>
          <w:sz w:val="16"/>
          <w:szCs w:val="16"/>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Major Objectives</w:t>
      </w:r>
    </w:p>
    <w:p>
      <w:pPr>
        <w:spacing w:after="0" w:line="117"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As of the date of this MD&amp;A, the Company has five major objectives which have not generated revenue. The following is a description of each such objective, including a description of the Company’s plan for such objective, the status of the objective relative to the Company’s plan for such objective and anticipated expenditures to advance the objective to the next stage of the Company’s plan for the specific objective.</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Psilocybin Program</w:t>
      </w:r>
    </w:p>
    <w:p>
      <w:pPr>
        <w:spacing w:after="0" w:line="121"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8"/>
          <w:szCs w:val="18"/>
          <w:color w:val="auto"/>
        </w:rPr>
        <w:t>The Company has contracted with IntelGenx to undertake the development of a sublingual film formulation of psilocybin. To date, an array of drug formulation candidates have been created and the Company continues to pursue the optimization of certain characteristics of these formulations including but not limited to composition, membrane permeation and stability. The Company expects to spend $238 to complete formulation development by the end of Q2 2021.</w:t>
      </w:r>
    </w:p>
    <w:p>
      <w:pPr>
        <w:spacing w:after="0" w:line="187" w:lineRule="exact"/>
        <w:rPr>
          <w:sz w:val="20"/>
          <w:szCs w:val="20"/>
          <w:color w:val="auto"/>
        </w:rPr>
      </w:pPr>
    </w:p>
    <w:p>
      <w:pPr>
        <w:jc w:val="both"/>
        <w:ind w:left="4"/>
        <w:spacing w:after="0" w:line="271" w:lineRule="auto"/>
        <w:rPr>
          <w:sz w:val="20"/>
          <w:szCs w:val="20"/>
          <w:color w:val="auto"/>
        </w:rPr>
      </w:pPr>
      <w:r>
        <w:rPr>
          <w:rFonts w:ascii="Arial" w:cs="Arial" w:eastAsia="Arial" w:hAnsi="Arial"/>
          <w:sz w:val="17"/>
          <w:szCs w:val="17"/>
          <w:color w:val="auto"/>
        </w:rPr>
        <w:t>Upon completion of these formulation activities, and subject to receiving the necessary permits, licenses and approvals, the Company plans to undertake a phase IIa pharmacokinetics study. The objective of this phase IIa study shall be to determine a dosage of the sublingual film formulation that is deemed to be equivalent to a 25mg capsule of psilocybin administered orally. The Company expects to spend $2,600 to complete the phase IIa study by Q4 2021, an increase in cost of $2,000.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78"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Upon completion of the phase IIa trial, assuming that an appropriate dose of the sublingual film is able to be identified, the Company plans to enter into a phase IIb clinical trial in 120 patients with Major Depressive Disorder. In addition to initial patient recruitment at UWI, the Company anticipates recruiting additional clinical sites in the U.S. and Canada. Completion of the recruitment and study of patients is estimated to be performed by the end of calendar 2021.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24"/>
          </w:cols>
          <w:pgMar w:left="436" w:top="274" w:right="439" w:bottom="1440" w:gutter="0" w:footer="0" w:header="0"/>
        </w:sectPr>
      </w:pPr>
    </w:p>
    <w:bookmarkStart w:id="43" w:name="page44"/>
    <w:bookmarkEnd w:id="43"/>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expects to spend $1,950 to complete the phase IIb study by Q2 2022. The Company cannot at this time estimate the cost of bringing the sublingual film formulation to market as much of the associated costs depend on the outcomes of the phase II and phase III clinical trials. Further, there is no assurance that the aforementioned timelines will be met or that the phase IIa and phase IIb studies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part of its continuing understanding of psilocybin, the Company has sponsored $50 for the commencement of a psilocybin microdosing study by the CCPS. On April 6, 2021, the Company provided notice to the CCPS of its decision to terminate this arrangement, as a result, the actual cost is lower than previously anticipated, and as previously disclosed in the February 2021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Deuterated Tryptamines Preclinical Programs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investigating the development of short-acting tryptamines with the aim of creating clinical development candidates suitable for phase I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 including but not limited to oral, sublingual, orally-dissolving tablets, inhalation methods, intravenous and intramuscular delivery.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assess the feasibility and viability of these deuterated tryptamine derivatives entering phase I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APIs at laboratory scale, the development and optimization of production processes for such APIs. To date, the Company has undertaken sufficient work to enable selection of two deuterated tryptamine candidates and has scaled up production processes to optimize and maximize yields and ensure the drug candidates meet the required purity levels. In vitro proof of principal in animal models has been completed to ensure selection of molecules with optimal anticipated pharmacokinetics best suited for future phase I clinical trials.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preclinical development activities over the next 12 months are anticipated to include the development of stable formulations utilizing such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Good Manufacturing Processes (“</w:t>
      </w:r>
      <w:r>
        <w:rPr>
          <w:rFonts w:ascii="Arial" w:cs="Arial" w:eastAsia="Arial" w:hAnsi="Arial"/>
          <w:sz w:val="18"/>
          <w:szCs w:val="18"/>
          <w:b w:val="1"/>
          <w:bCs w:val="1"/>
          <w:color w:val="auto"/>
        </w:rPr>
        <w:t>cGMP</w:t>
      </w:r>
      <w:r>
        <w:rPr>
          <w:rFonts w:ascii="Arial" w:cs="Arial" w:eastAsia="Arial" w:hAnsi="Arial"/>
          <w:sz w:val="18"/>
          <w:szCs w:val="18"/>
          <w:color w:val="auto"/>
        </w:rPr>
        <w:t>”). There is no assurance that the aforementioned timelines will be met or that the studies will advance to clinical trials, at all.</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the Company’s third 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The Company intends to complete these studies, and collect further relevant safety and toxicity data, prior to the filing for an IND application with FDA, a Clinical Trial Application (“</w:t>
      </w:r>
      <w:r>
        <w:rPr>
          <w:rFonts w:ascii="Arial" w:cs="Arial" w:eastAsia="Arial" w:hAnsi="Arial"/>
          <w:sz w:val="17"/>
          <w:szCs w:val="17"/>
          <w:b w:val="1"/>
          <w:bCs w:val="1"/>
          <w:color w:val="auto"/>
        </w:rPr>
        <w:t>CTA</w:t>
      </w:r>
      <w:r>
        <w:rPr>
          <w:rFonts w:ascii="Arial" w:cs="Arial" w:eastAsia="Arial" w:hAnsi="Arial"/>
          <w:sz w:val="17"/>
          <w:szCs w:val="17"/>
          <w:color w:val="auto"/>
        </w:rPr>
        <w:t>”) with Health Canada, or other similar application with regulatory bodies in other jurisdictions. There is no assurance that the aforementioned timelines will be met or that the studies will advance to clinical trials, at all.</w:t>
      </w:r>
    </w:p>
    <w:p>
      <w:pPr>
        <w:spacing w:after="0" w:line="178"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anticipates that its CYB003 program may deliver a drug candidate suitable for entry into phase I clinical studies by Q1 2022. The Company expects to spend $4,570 to advance preclinical development of CYB003 byQ1 2022, a decrease from the previous estimate of $5,720. The change is not a reflection of a decrease in spend to accomplish the milestone, but rather a decrease in the amount that the Company expects to incur in the next twelve months. The Company cannot at this time estimate the cost of bringing CYB003 to market as much of the associated costs depend on the outcomes of the phase I and phase II clinical trials. Further, there is no assurance that the aforementioned timelines will be met or that the CYB003 program will advance to clinical trials, at all.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20"/>
          </w:cols>
          <w:pgMar w:left="440" w:top="274" w:right="4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anticipates that its CYB004 program may deliver a drug candidate suitable for entry into phase I clinical studies by Q2 2022, updated from the prior estimate of Q1 2022. The Company expects to spend $3,250 to advance preclinical development of CYB004 byQ1 2022, a decrease in the previous estimate of $6,200. The change is not a reflection of a decrease in spend to accomplish the milestone, but rather a decrease in the amount that the Company expects to incur in the next twelve months. The Company cannot at this time estimate the cost of bringing CYB004 to market as much of the associated costs depend on the outcomes of the phase I and phase II clinical trials. Further, there is no assurance that the aforementioned timelines will be met or that the CYB004 program will advance to clinical trials, at all.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6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started research on DMT like molecules. This is a tryptamine that is being researched and modified for the potential use in psychiatric patients by oral administration. Research is ongoing to identify the best development candidate and is subject to receipt of all necessary approvals.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Phenethylamine Program</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is investigating the development of phenethylamine derivatives with the aim of creating clinical development candidates suitable for phase I clinical research, utilizing (i) the chemical modification of phenethylamine derivatives; and (ii) the combination of such phenethylamine derivative molecules with selected drug delivery methods, including but not limited to sublingual delivery, orally dissolving tablets, inhalation methods, intravenous and intramuscular delivery.</w:t>
      </w:r>
    </w:p>
    <w:p>
      <w:pPr>
        <w:spacing w:after="0" w:line="18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Work on the synthesis and optimization of these molecules has only recently begun at a licensed third-party vendor. In order to assess the feasibility and viability of these phenethylamine derivatives entering phase I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cGMP.</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utilizing the expertise of selected third parties, the Company intends to oversee the study of the pharmacokinetic profiles of its formulations in a number of animal models and the completion of Absorption, Distribution, Metabolism, and Excretion profiles. Further, the Company’s licensed third party vendors will be responsible for completing a range of additional preclinical programs including but not limited to dos-ranging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 IND application with the FDA, a CTA with Health Canada, or other similar application with regulatory bodies in other jurisdictions.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anticipates that its phenethylamine program may deliver a drug candidate suitable for entry into phase I clinical studies by Q1 2023. The Company expects to spend $2,600 to complete preclinical development of a phenethylamine drug candidate by the end of calendar 2022. The Company cannot at this time estimate the cost of bringing a phenethylamine drug candidate to market as much of the associated costs depend on the outcomes of the phase I and phase II clinical trials. Further, there is no assurance that the aforementioned timelines will be met or that such studies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20"/>
          </w:cols>
          <w:pgMar w:left="440" w:top="274" w:right="4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Nutraceutical Products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evaluating the commercial viability of the Product Line and any future launch within the context of prioritizing the research and development progression of psychedelic molecules. The Company has contracts with suppliers to source a range of functional mushroom-based nutraceutical products when the Company determines the Product Line launch is viable. The Company is evaluating the competitive differentiators of this range of products such as unique combinations of nonregulated functional mushrooms with adaptogens and proprietary mushroom ingredients, supported by published clinical studies.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foods, drugs and dietary supplements are subject to extensive regulation. The FFDCA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of its planned Product Line comply with the U.S. regulations, including the FFDCA and the FDA.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advancements in its research and development, the Company has prioritized progression of psychedelic molecules. As a result, the Company expects to complete its anticipated milestones by Q2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Programs</w:t>
      </w:r>
    </w:p>
    <w:p>
      <w:pPr>
        <w:spacing w:after="0" w:line="12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has been working on a number of fronts to establish an e-Commerce platform to support the education, sales and marketing of potential consumer and prescription mental wellness products, including but not limited to its line of nutraceutical products. The Company has undertaken commissioned market research activities to evaluate the market potential and the steps necessary to establish such a platform, along with commercial discussions with a number of parties that could assist the Company in building and accelerating its path to market. The project is on hold and the spend reduced to NIL. With the advancements in its research and development, the Company has prioritized progression of psychedelic molecules. This project will be resumed once the Company progresses with the Product Line.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begun work on the creation of a Digital Platform.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Minimum Viable Product and to identify the necessary key modules and components. Following this first step, the Company intends to undertake activities to support the buildout and preparation for launch of the Digital Platform by the end of calendar 2021. The Company expects to spend $2,600 to complete the establishment and launch of the Digital Platform by the end of calendar 2021.</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recently announced an agreement with Kernel that will enable the Company to use Kernel Flow devices to potentially measure neural activity during psychedelic therapy. While the Company previously announced that it delivery was expected in Q2 2021 and studies would commence in the second half of 2021, the Company has since decided to focus on sponsoring studies in the near term. On June 1, 2021, the Company announced its sponsorship of Kernel’s feasibility study of its Kernel Flow technology to measure Ketamine’s psychedelic effect on cerebral cortex hemodynamics. The Company expects to spend $1,825 to undertake clinical studies utilizing these devices by the end of calendar 2021. There is no guarantee that the use of such devices in clinical studies will result in a commercially viable product and there is no assurance that the aforementioned timelines will be met or that such studies will advance to clinical trials, at all.</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20"/>
          </w:cols>
          <w:pgMar w:left="440" w:top="274"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Cybin has title to twelve provisional patent applications, and one PCT application including claims directed to compositions of matter and methods of use in support of its research and development and pre-clinical trial programs.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80" w:type="dxa"/>
            <w:vAlign w:val="bottom"/>
          </w:tcPr>
          <w:p>
            <w:pPr>
              <w:ind w:left="360"/>
              <w:spacing w:after="0"/>
              <w:rPr>
                <w:sz w:val="20"/>
                <w:szCs w:val="20"/>
                <w:color w:val="auto"/>
              </w:rPr>
            </w:pPr>
            <w:r>
              <w:rPr>
                <w:rFonts w:ascii="Arial" w:cs="Arial" w:eastAsia="Arial" w:hAnsi="Arial"/>
                <w:sz w:val="14"/>
                <w:szCs w:val="14"/>
                <w:b w:val="1"/>
                <w:bCs w:val="1"/>
                <w:color w:val="auto"/>
              </w:rPr>
              <w:t>Patent Application</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120" w:type="dxa"/>
            <w:vAlign w:val="bottom"/>
          </w:tcPr>
          <w:p>
            <w:pPr>
              <w:spacing w:after="0"/>
              <w:rPr>
                <w:sz w:val="14"/>
                <w:szCs w:val="14"/>
                <w:color w:val="auto"/>
              </w:rPr>
            </w:pPr>
          </w:p>
        </w:tc>
        <w:tc>
          <w:tcPr>
            <w:tcW w:w="25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Status</w:t>
            </w:r>
          </w:p>
        </w:tc>
        <w:tc>
          <w:tcPr>
            <w:tcW w:w="462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1880" w:type="dxa"/>
            <w:vAlign w:val="bottom"/>
          </w:tcPr>
          <w:p>
            <w:pPr>
              <w:ind w:left="6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4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63/189,449</w:t>
            </w: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6"/>
                <w:szCs w:val="16"/>
                <w:color w:val="auto"/>
              </w:rPr>
            </w:pPr>
          </w:p>
        </w:tc>
        <w:tc>
          <w:tcPr>
            <w:tcW w:w="2400" w:type="dxa"/>
            <w:vAlign w:val="bottom"/>
            <w:tcBorders>
              <w:top w:val="single" w:sz="8" w:color="auto"/>
            </w:tcBorders>
          </w:tcPr>
          <w:p>
            <w:pPr>
              <w:jc w:val="right"/>
              <w:ind w:right="839"/>
              <w:spacing w:after="0" w:line="195" w:lineRule="exact"/>
              <w:rPr>
                <w:sz w:val="20"/>
                <w:szCs w:val="20"/>
                <w:color w:val="auto"/>
              </w:rPr>
            </w:pPr>
            <w:r>
              <w:rPr>
                <w:rFonts w:ascii="Arial" w:cs="Arial" w:eastAsia="Arial" w:hAnsi="Arial"/>
                <w:sz w:val="18"/>
                <w:szCs w:val="18"/>
                <w:color w:val="auto"/>
                <w:w w:val="91"/>
              </w:rPr>
              <w:t>Pending Application</w:t>
            </w:r>
          </w:p>
        </w:tc>
        <w:tc>
          <w:tcPr>
            <w:tcW w:w="1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Formulations of psilocybin, related compounds, and methods of</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880" w:type="dxa"/>
            <w:vAlign w:val="bottom"/>
          </w:tcPr>
          <w:p>
            <w:pPr>
              <w:spacing w:after="0"/>
              <w:rPr>
                <w:sz w:val="20"/>
                <w:szCs w:val="20"/>
                <w:color w:val="auto"/>
              </w:rPr>
            </w:pPr>
            <w:r>
              <w:rPr>
                <w:rFonts w:ascii="Arial" w:cs="Arial" w:eastAsia="Arial" w:hAnsi="Arial"/>
                <w:sz w:val="18"/>
                <w:szCs w:val="18"/>
                <w:color w:val="auto"/>
              </w:rPr>
              <w:t>PCT/IB2021/054340</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Canada</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2"/>
              </w:rPr>
              <w:t>Formulations of tryptamines, related compounds, and methods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of use</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880" w:type="dxa"/>
            <w:vAlign w:val="bottom"/>
          </w:tcPr>
          <w:p>
            <w:pPr>
              <w:spacing w:after="0"/>
              <w:rPr>
                <w:sz w:val="20"/>
                <w:szCs w:val="20"/>
                <w:color w:val="auto"/>
              </w:rPr>
            </w:pPr>
            <w:r>
              <w:rPr>
                <w:rFonts w:ascii="Arial" w:cs="Arial" w:eastAsia="Arial" w:hAnsi="Arial"/>
                <w:sz w:val="18"/>
                <w:szCs w:val="18"/>
                <w:color w:val="auto"/>
              </w:rPr>
              <w:t>63/067,303</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3"/>
              </w:rPr>
              <w:t>Compositions and methods of use related to phenethylamines</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880" w:type="dxa"/>
            <w:vAlign w:val="bottom"/>
          </w:tcPr>
          <w:p>
            <w:pPr>
              <w:spacing w:after="0"/>
              <w:rPr>
                <w:sz w:val="20"/>
                <w:szCs w:val="20"/>
                <w:color w:val="auto"/>
              </w:rPr>
            </w:pPr>
            <w:r>
              <w:rPr>
                <w:rFonts w:ascii="Arial" w:cs="Arial" w:eastAsia="Arial" w:hAnsi="Arial"/>
                <w:sz w:val="18"/>
                <w:szCs w:val="18"/>
                <w:color w:val="auto"/>
              </w:rPr>
              <w:t>63/086,830</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9"/>
              </w:rPr>
              <w:t>Treatment Protocols for Inhalation Delivery of Psychedelic</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Medications</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880" w:type="dxa"/>
            <w:vAlign w:val="bottom"/>
          </w:tcPr>
          <w:p>
            <w:pPr>
              <w:spacing w:after="0"/>
              <w:rPr>
                <w:sz w:val="20"/>
                <w:szCs w:val="20"/>
                <w:color w:val="auto"/>
              </w:rPr>
            </w:pPr>
            <w:r>
              <w:rPr>
                <w:rFonts w:ascii="Arial" w:cs="Arial" w:eastAsia="Arial" w:hAnsi="Arial"/>
                <w:sz w:val="18"/>
                <w:szCs w:val="18"/>
                <w:color w:val="auto"/>
              </w:rPr>
              <w:t>63/088,685</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7"/>
              </w:rPr>
              <w:t>Compositions   of   deuterated   phenethylamine   serotonin</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5-HT2A-selective agonists and methods of use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880" w:type="dxa"/>
            <w:vAlign w:val="bottom"/>
          </w:tcPr>
          <w:p>
            <w:pPr>
              <w:spacing w:after="0"/>
              <w:rPr>
                <w:sz w:val="20"/>
                <w:szCs w:val="20"/>
                <w:color w:val="auto"/>
              </w:rPr>
            </w:pPr>
            <w:r>
              <w:rPr>
                <w:rFonts w:ascii="Arial" w:cs="Arial" w:eastAsia="Arial" w:hAnsi="Arial"/>
                <w:sz w:val="18"/>
                <w:szCs w:val="18"/>
                <w:color w:val="auto"/>
              </w:rPr>
              <w:t>63/114,738</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0"/>
              </w:rPr>
              <w:t>Compositions of deuterated tryptamine derivatives and methods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of use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880" w:type="dxa"/>
            <w:vAlign w:val="bottom"/>
          </w:tcPr>
          <w:p>
            <w:pPr>
              <w:spacing w:after="0"/>
              <w:rPr>
                <w:sz w:val="20"/>
                <w:szCs w:val="20"/>
                <w:color w:val="auto"/>
              </w:rPr>
            </w:pPr>
            <w:r>
              <w:rPr>
                <w:rFonts w:ascii="Arial" w:cs="Arial" w:eastAsia="Arial" w:hAnsi="Arial"/>
                <w:sz w:val="18"/>
                <w:szCs w:val="18"/>
                <w:color w:val="auto"/>
              </w:rPr>
              <w:t>63/114,769</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9"/>
              </w:rPr>
              <w:t>Treatment Protocols for Inhalation Delivery of Psychedelic</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Medications</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880" w:type="dxa"/>
            <w:vAlign w:val="bottom"/>
          </w:tcPr>
          <w:p>
            <w:pPr>
              <w:spacing w:after="0"/>
              <w:rPr>
                <w:sz w:val="20"/>
                <w:szCs w:val="20"/>
                <w:color w:val="auto"/>
              </w:rPr>
            </w:pPr>
            <w:r>
              <w:rPr>
                <w:rFonts w:ascii="Arial" w:cs="Arial" w:eastAsia="Arial" w:hAnsi="Arial"/>
                <w:sz w:val="18"/>
                <w:szCs w:val="18"/>
                <w:color w:val="auto"/>
              </w:rPr>
              <w:t>63/131,974</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5"/>
              </w:rPr>
              <w:t>Compositions of phenethylamine derivatives and methods of</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880" w:type="dxa"/>
            <w:vAlign w:val="bottom"/>
          </w:tcPr>
          <w:p>
            <w:pPr>
              <w:spacing w:after="0"/>
              <w:rPr>
                <w:sz w:val="20"/>
                <w:szCs w:val="20"/>
                <w:color w:val="auto"/>
              </w:rPr>
            </w:pPr>
            <w:r>
              <w:rPr>
                <w:rFonts w:ascii="Arial" w:cs="Arial" w:eastAsia="Arial" w:hAnsi="Arial"/>
                <w:sz w:val="18"/>
                <w:szCs w:val="18"/>
                <w:color w:val="auto"/>
              </w:rPr>
              <w:t>63/137,250</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3"/>
              </w:rPr>
              <w:t>Compositions of phenethylamine related compounds effective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serotonin 5-HT2A-selective agonists and methods of use</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880" w:type="dxa"/>
            <w:vAlign w:val="bottom"/>
          </w:tcPr>
          <w:p>
            <w:pPr>
              <w:spacing w:after="0"/>
              <w:rPr>
                <w:sz w:val="20"/>
                <w:szCs w:val="20"/>
                <w:color w:val="auto"/>
              </w:rPr>
            </w:pPr>
            <w:r>
              <w:rPr>
                <w:rFonts w:ascii="Arial" w:cs="Arial" w:eastAsia="Arial" w:hAnsi="Arial"/>
                <w:sz w:val="18"/>
                <w:szCs w:val="18"/>
                <w:color w:val="auto"/>
              </w:rPr>
              <w:t>63/157,118</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rPr>
              <w:t>Deuterated tryptamine derivatives and methods of use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880" w:type="dxa"/>
            <w:vAlign w:val="bottom"/>
          </w:tcPr>
          <w:p>
            <w:pPr>
              <w:spacing w:after="0"/>
              <w:rPr>
                <w:sz w:val="20"/>
                <w:szCs w:val="20"/>
                <w:color w:val="auto"/>
              </w:rPr>
            </w:pPr>
            <w:r>
              <w:rPr>
                <w:rFonts w:ascii="Arial" w:cs="Arial" w:eastAsia="Arial" w:hAnsi="Arial"/>
                <w:sz w:val="18"/>
                <w:szCs w:val="18"/>
                <w:color w:val="auto"/>
              </w:rPr>
              <w:t>63/162,749</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1"/>
              </w:rPr>
              <w:t>Pharmaceutically acceptable formulations of tryptamine related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compounds and methods of use</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880" w:type="dxa"/>
            <w:vAlign w:val="bottom"/>
          </w:tcPr>
          <w:p>
            <w:pPr>
              <w:spacing w:after="0"/>
              <w:rPr>
                <w:sz w:val="20"/>
                <w:szCs w:val="20"/>
                <w:color w:val="auto"/>
              </w:rPr>
            </w:pPr>
            <w:r>
              <w:rPr>
                <w:rFonts w:ascii="Arial" w:cs="Arial" w:eastAsia="Arial" w:hAnsi="Arial"/>
                <w:sz w:val="18"/>
                <w:szCs w:val="18"/>
                <w:color w:val="auto"/>
              </w:rPr>
              <w:t>63/219,880</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w w:val="98"/>
              </w:rPr>
              <w:t>Integrated data collection devices for use in psychotherapy</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880" w:type="dxa"/>
            <w:vAlign w:val="bottom"/>
          </w:tcPr>
          <w:p>
            <w:pPr>
              <w:spacing w:after="0"/>
              <w:rPr>
                <w:sz w:val="20"/>
                <w:szCs w:val="20"/>
                <w:color w:val="auto"/>
              </w:rPr>
            </w:pPr>
            <w:r>
              <w:rPr>
                <w:rFonts w:ascii="Arial" w:cs="Arial" w:eastAsia="Arial" w:hAnsi="Arial"/>
                <w:sz w:val="18"/>
                <w:szCs w:val="18"/>
                <w:color w:val="auto"/>
              </w:rPr>
              <w:t>17/394,038</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tcPr>
          <w:p>
            <w:pPr>
              <w:jc w:val="right"/>
              <w:ind w:right="1040"/>
              <w:spacing w:after="0"/>
              <w:rPr>
                <w:sz w:val="20"/>
                <w:szCs w:val="20"/>
                <w:color w:val="auto"/>
              </w:rPr>
            </w:pPr>
            <w:r>
              <w:rPr>
                <w:rFonts w:ascii="Arial" w:cs="Arial" w:eastAsia="Arial" w:hAnsi="Arial"/>
                <w:sz w:val="18"/>
                <w:szCs w:val="18"/>
                <w:color w:val="auto"/>
                <w:w w:val="99"/>
              </w:rPr>
              <w:t>Pending Application</w:t>
            </w:r>
          </w:p>
        </w:tc>
        <w:tc>
          <w:tcPr>
            <w:tcW w:w="4620" w:type="dxa"/>
            <w:vAlign w:val="bottom"/>
          </w:tcPr>
          <w:p>
            <w:pPr>
              <w:spacing w:after="0"/>
              <w:rPr>
                <w:sz w:val="20"/>
                <w:szCs w:val="20"/>
                <w:color w:val="auto"/>
              </w:rPr>
            </w:pPr>
            <w:r>
              <w:rPr>
                <w:rFonts w:ascii="Arial" w:cs="Arial" w:eastAsia="Arial" w:hAnsi="Arial"/>
                <w:sz w:val="18"/>
                <w:szCs w:val="18"/>
                <w:color w:val="auto"/>
              </w:rPr>
              <w:t>Deuterated tryptamine derivatives and methods of use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provisional patent applications cover a wide range of novel psychedelic compounds from different classes including targeted structural modifications to improve the drugs pharmacokinetic characteristics and safety profiles without altering their receptor binding. Novel drug delivery platform claims are expected to enable administration of the psychedelic drugs with faster onset of action, higher bioavailability by way of bypassing liver metabolism and are expect to offer more control for better patient experience and optimized therapeutic outcomes.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Cybin has also filed applications for registration of fourteen trademarks, including Cybin</w:t>
      </w:r>
      <w:r>
        <w:rPr>
          <w:rFonts w:ascii="Arial" w:cs="Arial" w:eastAsia="Arial" w:hAnsi="Arial"/>
          <w:sz w:val="15"/>
          <w:szCs w:val="15"/>
          <w:color w:val="auto"/>
        </w:rPr>
        <w:t>™</w:t>
      </w:r>
      <w:r>
        <w:rPr>
          <w:rFonts w:ascii="Arial" w:cs="Arial" w:eastAsia="Arial" w:hAnsi="Arial"/>
          <w:sz w:val="18"/>
          <w:szCs w:val="18"/>
          <w:color w:val="auto"/>
        </w:rPr>
        <w:t>, Cybin Therapeutics</w:t>
      </w:r>
      <w:r>
        <w:rPr>
          <w:rFonts w:ascii="Arial" w:cs="Arial" w:eastAsia="Arial" w:hAnsi="Arial"/>
          <w:sz w:val="15"/>
          <w:szCs w:val="15"/>
          <w:color w:val="auto"/>
        </w:rPr>
        <w:t>™</w:t>
      </w:r>
      <w:r>
        <w:rPr>
          <w:rFonts w:ascii="Arial" w:cs="Arial" w:eastAsia="Arial" w:hAnsi="Arial"/>
          <w:sz w:val="18"/>
          <w:szCs w:val="18"/>
          <w:color w:val="auto"/>
        </w:rPr>
        <w:t>, Journey</w:t>
      </w:r>
      <w:r>
        <w:rPr>
          <w:rFonts w:ascii="Arial" w:cs="Arial" w:eastAsia="Arial" w:hAnsi="Arial"/>
          <w:sz w:val="15"/>
          <w:szCs w:val="15"/>
          <w:color w:val="auto"/>
        </w:rPr>
        <w:t>™</w:t>
      </w:r>
      <w:r>
        <w:rPr>
          <w:rFonts w:ascii="Arial" w:cs="Arial" w:eastAsia="Arial" w:hAnsi="Arial"/>
          <w:sz w:val="18"/>
          <w:szCs w:val="18"/>
          <w:color w:val="auto"/>
        </w:rPr>
        <w:t>, Mushroom &amp; Friends</w:t>
      </w:r>
      <w:r>
        <w:rPr>
          <w:rFonts w:ascii="Arial" w:cs="Arial" w:eastAsia="Arial" w:hAnsi="Arial"/>
          <w:sz w:val="15"/>
          <w:szCs w:val="15"/>
          <w:color w:val="auto"/>
        </w:rPr>
        <w:t>™</w:t>
      </w:r>
      <w:r>
        <w:rPr>
          <w:rFonts w:ascii="Arial" w:cs="Arial" w:eastAsia="Arial" w:hAnsi="Arial"/>
          <w:sz w:val="18"/>
          <w:szCs w:val="18"/>
          <w:color w:val="auto"/>
        </w:rPr>
        <w:t>, It’s not magic. It’s mushrooms</w:t>
      </w:r>
      <w:r>
        <w:rPr>
          <w:rFonts w:ascii="Arial" w:cs="Arial" w:eastAsia="Arial" w:hAnsi="Arial"/>
          <w:sz w:val="15"/>
          <w:szCs w:val="15"/>
          <w:color w:val="auto"/>
        </w:rPr>
        <w:t>™</w:t>
      </w:r>
      <w:r>
        <w:rPr>
          <w:rFonts w:ascii="Arial" w:cs="Arial" w:eastAsia="Arial" w:hAnsi="Arial"/>
          <w:sz w:val="18"/>
          <w:szCs w:val="18"/>
          <w:color w:val="auto"/>
        </w:rPr>
        <w:t>, Psilotonin</w:t>
      </w:r>
      <w:r>
        <w:rPr>
          <w:rFonts w:ascii="Arial" w:cs="Arial" w:eastAsia="Arial" w:hAnsi="Arial"/>
          <w:sz w:val="15"/>
          <w:szCs w:val="15"/>
          <w:color w:val="auto"/>
        </w:rPr>
        <w:t>™</w:t>
      </w:r>
      <w:r>
        <w:rPr>
          <w:rFonts w:ascii="Arial" w:cs="Arial" w:eastAsia="Arial" w:hAnsi="Arial"/>
          <w:sz w:val="18"/>
          <w:szCs w:val="18"/>
          <w:color w:val="auto"/>
        </w:rPr>
        <w:t xml:space="preserve"> and Embark</w:t>
      </w:r>
      <w:r>
        <w:rPr>
          <w:rFonts w:ascii="Arial" w:cs="Arial" w:eastAsia="Arial" w:hAnsi="Arial"/>
          <w:sz w:val="15"/>
          <w:szCs w:val="15"/>
          <w:color w:val="auto"/>
        </w:rPr>
        <w:t>™</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20"/>
          </w:cols>
          <w:pgMar w:left="440" w:top="274" w:right="439" w:bottom="1440" w:gutter="0" w:footer="0" w:header="0"/>
        </w:sectPr>
      </w:pPr>
    </w:p>
    <w:bookmarkStart w:id="47" w:name="page48"/>
    <w:bookmarkEnd w:id="47"/>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IRL Limited. In connection with the formation of the Ireland subsidiary, the Company transferred its intellectual property assets to this entity.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and Licensing Regime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Psychedelics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9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Certain psychoactive compounds, such as psilocybin, are considered controlled substances under Schedule III of the </w:t>
      </w:r>
      <w:r>
        <w:rPr>
          <w:rFonts w:ascii="Arial" w:cs="Arial" w:eastAsia="Arial" w:hAnsi="Arial"/>
          <w:sz w:val="18"/>
          <w:szCs w:val="18"/>
          <w:i w:val="1"/>
          <w:iCs w:val="1"/>
          <w:color w:val="auto"/>
        </w:rPr>
        <w:t>Controlled Drugs and Substances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(the “</w:t>
      </w:r>
      <w:r>
        <w:rPr>
          <w:rFonts w:ascii="Arial" w:cs="Arial" w:eastAsia="Arial" w:hAnsi="Arial"/>
          <w:sz w:val="18"/>
          <w:szCs w:val="18"/>
          <w:b w:val="1"/>
          <w:bCs w:val="1"/>
          <w:color w:val="auto"/>
        </w:rPr>
        <w:t>CDSA</w:t>
      </w:r>
      <w:r>
        <w:rPr>
          <w:rFonts w:ascii="Arial" w:cs="Arial" w:eastAsia="Arial" w:hAnsi="Arial"/>
          <w:sz w:val="18"/>
          <w:szCs w:val="18"/>
          <w:color w:val="auto"/>
        </w:rPr>
        <w:t>”). In order to conduct any scientific research, including pre-clinical and clinical trials, using psychoactive compounds listed</w:t>
      </w:r>
      <w:r>
        <w:rPr>
          <w:rFonts w:ascii="Arial" w:cs="Arial" w:eastAsia="Arial" w:hAnsi="Arial"/>
          <w:sz w:val="18"/>
          <w:szCs w:val="18"/>
          <w:i w:val="1"/>
          <w:iCs w:val="1"/>
          <w:color w:val="auto"/>
        </w:rPr>
        <w:t xml:space="preserve"> </w:t>
      </w:r>
      <w:r>
        <w:rPr>
          <w:rFonts w:ascii="Arial" w:cs="Arial" w:eastAsia="Arial" w:hAnsi="Arial"/>
          <w:sz w:val="18"/>
          <w:szCs w:val="18"/>
          <w:color w:val="auto"/>
        </w:rPr>
        <w:t>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Company has not applied for a Section 56 Exemption from Health Canada.</w:t>
      </w:r>
    </w:p>
    <w:p>
      <w:pPr>
        <w:spacing w:after="0" w:line="18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w:t>
      </w:r>
      <w:r>
        <w:rPr>
          <w:rFonts w:ascii="Arial" w:cs="Arial" w:eastAsia="Arial" w:hAnsi="Arial"/>
          <w:sz w:val="16"/>
          <w:szCs w:val="16"/>
          <w:i w:val="1"/>
          <w:iCs w:val="1"/>
          <w:color w:val="auto"/>
        </w:rPr>
        <w:t>Food and Drugs Regulations</w:t>
      </w:r>
      <w:r>
        <w:rPr>
          <w:rFonts w:ascii="Arial" w:cs="Arial" w:eastAsia="Arial" w:hAnsi="Arial"/>
          <w:sz w:val="16"/>
          <w:szCs w:val="16"/>
          <w:color w:val="auto"/>
        </w:rPr>
        <w:t>)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Non-Psychedelics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NHPs, prescription drugs, and non-prescription drugs are all classified and regulated under the Canadian FDA.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Arial" w:cs="Arial" w:eastAsia="Arial" w:hAnsi="Arial"/>
          <w:sz w:val="17"/>
          <w:szCs w:val="17"/>
          <w:b w:val="1"/>
          <w:bCs w:val="1"/>
          <w:color w:val="auto"/>
        </w:rPr>
        <w:t>Canadian Regulations</w:t>
      </w:r>
      <w:r>
        <w:rPr>
          <w:rFonts w:ascii="Arial" w:cs="Arial" w:eastAsia="Arial" w:hAnsi="Arial"/>
          <w:sz w:val="17"/>
          <w:szCs w:val="17"/>
          <w:color w:val="auto"/>
        </w:rPr>
        <w:t xml:space="preserve">”). In addition, drugs and NHPs are regulated under the federal </w:t>
      </w:r>
      <w:r>
        <w:rPr>
          <w:rFonts w:ascii="Arial" w:cs="Arial" w:eastAsia="Arial" w:hAnsi="Arial"/>
          <w:sz w:val="17"/>
          <w:szCs w:val="17"/>
          <w:i w:val="1"/>
          <w:iCs w:val="1"/>
          <w:color w:val="auto"/>
        </w:rPr>
        <w:t>Controlled Drugs and Substances Act</w:t>
      </w:r>
      <w:r>
        <w:rPr>
          <w:rFonts w:ascii="Arial" w:cs="Arial" w:eastAsia="Arial" w:hAnsi="Arial"/>
          <w:sz w:val="17"/>
          <w:szCs w:val="17"/>
          <w:color w:val="auto"/>
        </w:rPr>
        <w:t xml:space="preserve"> if the product is considered a “controlled substance” or a “precursor,” as defined in that statute or in related regulatory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Health Canada is primarily responsible for administering the Canadian FDA and the Canadian Regulations.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20"/>
          </w:cols>
          <w:pgMar w:left="440" w:top="274" w:right="439" w:bottom="1440" w:gutter="0" w:footer="0" w:header="0"/>
        </w:sectPr>
      </w:pPr>
    </w:p>
    <w:bookmarkStart w:id="48" w:name="page49"/>
    <w:bookmarkEnd w:id="48"/>
    <w:p>
      <w:pPr>
        <w:jc w:val="both"/>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 Canada and the Canadian Regulations also set out requirements for establishment and site licences, market authorization for drugs and NHP licences. Each NHP must have a product licence or a Homeopathic Medicine Number (“</w:t>
      </w:r>
      <w:r>
        <w:rPr>
          <w:rFonts w:ascii="Arial" w:cs="Arial" w:eastAsia="Arial" w:hAnsi="Arial"/>
          <w:sz w:val="17"/>
          <w:szCs w:val="17"/>
          <w:b w:val="1"/>
          <w:bCs w:val="1"/>
          <w:color w:val="auto"/>
        </w:rPr>
        <w:t>DIN-HM</w:t>
      </w:r>
      <w:r>
        <w:rPr>
          <w:rFonts w:ascii="Arial" w:cs="Arial" w:eastAsia="Arial" w:hAnsi="Arial"/>
          <w:sz w:val="17"/>
          <w:szCs w:val="17"/>
          <w:color w:val="auto"/>
        </w:rPr>
        <w:t>”) issued by Health Canada before it can be sold in Canada. Health Canada assigns a natural health product number (“</w:t>
      </w:r>
      <w:r>
        <w:rPr>
          <w:rFonts w:ascii="Arial" w:cs="Arial" w:eastAsia="Arial" w:hAnsi="Arial"/>
          <w:sz w:val="17"/>
          <w:szCs w:val="17"/>
          <w:b w:val="1"/>
          <w:bCs w:val="1"/>
          <w:color w:val="auto"/>
        </w:rPr>
        <w:t>NPN</w:t>
      </w:r>
      <w:r>
        <w:rPr>
          <w:rFonts w:ascii="Arial" w:cs="Arial" w:eastAsia="Arial" w:hAnsi="Arial"/>
          <w:sz w:val="17"/>
          <w:szCs w:val="17"/>
          <w:color w:val="auto"/>
        </w:rPr>
        <w:t>”) to each NHP once Health Canada issues the licence for that NHP. The Canadian Regulations require that all drugs and NHPs be manufactured, packaged, labeled, imported, distributed and stored under Canadian Good Manufacturing Practices (“</w:t>
      </w:r>
      <w:r>
        <w:rPr>
          <w:rFonts w:ascii="Arial" w:cs="Arial" w:eastAsia="Arial" w:hAnsi="Arial"/>
          <w:sz w:val="17"/>
          <w:szCs w:val="17"/>
          <w:b w:val="1"/>
          <w:bCs w:val="1"/>
          <w:color w:val="auto"/>
        </w:rPr>
        <w:t>GMP</w:t>
      </w:r>
      <w:r>
        <w:rPr>
          <w:rFonts w:ascii="Arial" w:cs="Arial" w:eastAsia="Arial" w:hAnsi="Arial"/>
          <w:sz w:val="17"/>
          <w:szCs w:val="17"/>
          <w:color w:val="auto"/>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spacing w:after="0" w:line="177" w:lineRule="exact"/>
        <w:rPr>
          <w:sz w:val="20"/>
          <w:szCs w:val="20"/>
          <w:color w:val="auto"/>
        </w:rPr>
      </w:pPr>
    </w:p>
    <w:p>
      <w:pPr>
        <w:jc w:val="both"/>
        <w:ind w:left="4"/>
        <w:spacing w:after="0" w:line="272" w:lineRule="auto"/>
        <w:rPr>
          <w:sz w:val="20"/>
          <w:szCs w:val="20"/>
          <w:color w:val="auto"/>
        </w:rPr>
      </w:pPr>
      <w:r>
        <w:rPr>
          <w:rFonts w:ascii="Arial" w:cs="Arial" w:eastAsia="Arial" w:hAnsi="Arial"/>
          <w:sz w:val="17"/>
          <w:szCs w:val="17"/>
          <w:color w:val="auto"/>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spacing w:after="0" w:line="177"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6"/>
          <w:szCs w:val="16"/>
          <w:color w:val="auto"/>
        </w:rPr>
        <w:t>The Company’s expected nutraceutical products will be considered “food” and, as such, will be principally regulated under the Canadian FDA and the Canadian Regulations. The Company must ensure that the labelling, marketing and selling of any of its products comply with the Canadian FDA, including by ensuring that the Company’s products are not packaged or marketed in a manner that is misleading or deceptive to a consumer.</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United States</w:t>
      </w:r>
    </w:p>
    <w:p>
      <w:pPr>
        <w:spacing w:after="0" w:line="117" w:lineRule="exact"/>
        <w:rPr>
          <w:sz w:val="20"/>
          <w:szCs w:val="20"/>
          <w:color w:val="auto"/>
        </w:rPr>
      </w:pPr>
    </w:p>
    <w:p>
      <w:pPr>
        <w:jc w:val="both"/>
        <w:ind w:left="4"/>
        <w:spacing w:after="0" w:line="269"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with the FDA once a final formulation has been determined.</w:t>
      </w:r>
      <w:r>
        <w:rPr>
          <w:rFonts w:ascii="Arial" w:cs="Arial" w:eastAsia="Arial" w:hAnsi="Arial"/>
          <w:sz w:val="14"/>
          <w:szCs w:val="14"/>
          <w:color w:val="auto"/>
        </w:rPr>
        <w:t>20</w:t>
      </w:r>
      <w:r>
        <w:rPr>
          <w:rFonts w:ascii="Arial" w:cs="Arial" w:eastAsia="Arial" w:hAnsi="Arial"/>
          <w:sz w:val="17"/>
          <w:szCs w:val="17"/>
          <w:color w:val="auto"/>
        </w:rPr>
        <w:t xml:space="preserve"> Anticipated timelines related to regulatory filings are based on reasonable assumptions informed by current knowledge and information available to the Company. Further, the Company is dependent on the use of a contractor for is sublingual film and successful completion of final formulation before an IND application can be made. The resulting impact is a delay in the original estimated submission timeline.</w:t>
      </w:r>
    </w:p>
    <w:p>
      <w:pPr>
        <w:spacing w:after="0" w:line="185"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7"/>
          <w:szCs w:val="17"/>
          <w:color w:val="auto"/>
        </w:rPr>
        <w:t>Psilocybin, psilocin, dimethyltryptamine, and 5-Methoxy-N-N-dimethyltryptamine are strictly controlled under the CDSA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CDSA, including manufacturing and procurement quotas, security requirements and criteria for importation. Anyone wishing to conduct research on substances listed in Schedule I under the CDSA must register with the U.S. Drug Enforcement Administration (“</w:t>
      </w:r>
      <w:r>
        <w:rPr>
          <w:rFonts w:ascii="Arial" w:cs="Arial" w:eastAsia="Arial" w:hAnsi="Arial"/>
          <w:sz w:val="17"/>
          <w:szCs w:val="17"/>
          <w:b w:val="1"/>
          <w:bCs w:val="1"/>
          <w:color w:val="auto"/>
        </w:rPr>
        <w:t>DEA</w:t>
      </w:r>
      <w:r>
        <w:rPr>
          <w:rFonts w:ascii="Arial" w:cs="Arial" w:eastAsia="Arial" w:hAnsi="Arial"/>
          <w:sz w:val="17"/>
          <w:szCs w:val="17"/>
          <w:color w:val="auto"/>
        </w:rPr>
        <w:t>”), and obtain DEA approval of the research proposal.</w:t>
      </w:r>
    </w:p>
    <w:p>
      <w:pPr>
        <w:spacing w:after="0" w:line="176"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 xml:space="preserve">The FDA also regulates the formulation, manufacturing, preparation, packaging, labeling, holding, and distribution of foods, drugs and dietary supplements under the FFDCA and the </w:t>
      </w:r>
      <w:r>
        <w:rPr>
          <w:rFonts w:ascii="Arial" w:cs="Arial" w:eastAsia="Arial" w:hAnsi="Arial"/>
          <w:sz w:val="18"/>
          <w:szCs w:val="18"/>
          <w:i w:val="1"/>
          <w:iCs w:val="1"/>
          <w:color w:val="auto"/>
        </w:rPr>
        <w:t>Dietary Supplement Health and Education Act of 1994</w:t>
      </w:r>
      <w:r>
        <w:rPr>
          <w:rFonts w:ascii="Arial" w:cs="Arial" w:eastAsia="Arial" w:hAnsi="Arial"/>
          <w:sz w:val="18"/>
          <w:szCs w:val="18"/>
          <w:color w:val="auto"/>
        </w:rPr>
        <w:t xml:space="preserve"> (“</w:t>
      </w:r>
      <w:r>
        <w:rPr>
          <w:rFonts w:ascii="Arial" w:cs="Arial" w:eastAsia="Arial" w:hAnsi="Arial"/>
          <w:sz w:val="18"/>
          <w:szCs w:val="18"/>
          <w:b w:val="1"/>
          <w:bCs w:val="1"/>
          <w:color w:val="auto"/>
        </w:rPr>
        <w:t>DSHEA</w:t>
      </w:r>
      <w:r>
        <w:rPr>
          <w:rFonts w:ascii="Arial" w:cs="Arial" w:eastAsia="Arial" w:hAnsi="Arial"/>
          <w:sz w:val="18"/>
          <w:szCs w:val="18"/>
          <w:color w:val="auto"/>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jc w:val="both"/>
        <w:ind w:left="424" w:hanging="424"/>
        <w:spacing w:after="0" w:line="275"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7"/>
          <w:szCs w:val="17"/>
          <w:color w:val="auto"/>
        </w:rPr>
        <w:t>The Company has not yet held a pre-IND meeting with the FDA, in preparation for the filing of an IND application for the Sublingual Film. The Company has assumed that the FDA will grant such a Pre-IND meeting and that it will be able to complete the IND approval process; however, there is no guarantee that any such IND application will be accepted or granted by FDA.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08" w:lineRule="exact"/>
        <w:rPr>
          <w:rFonts w:ascii="Arial" w:cs="Arial" w:eastAsia="Arial" w:hAnsi="Arial"/>
          <w:sz w:val="14"/>
          <w:szCs w:val="14"/>
          <w:color w:val="auto"/>
        </w:rPr>
      </w:pPr>
    </w:p>
    <w:p>
      <w:pPr>
        <w:ind w:left="5424" w:hanging="111"/>
        <w:spacing w:after="0"/>
        <w:tabs>
          <w:tab w:leader="none" w:pos="5424" w:val="left"/>
        </w:tabs>
        <w:numPr>
          <w:ilvl w:val="1"/>
          <w:numId w:val="4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24"/>
          </w:cols>
          <w:pgMar w:left="436" w:top="274" w:right="439" w:bottom="1440" w:gutter="0" w:footer="0" w:header="0"/>
        </w:sectPr>
      </w:pPr>
    </w:p>
    <w:bookmarkStart w:id="49" w:name="page50"/>
    <w:bookmarkEnd w:id="49"/>
    <w:p>
      <w:pPr>
        <w:jc w:val="both"/>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Company may want to market, and the FDA’s refusal to accept such evidence could prevent the marketing of such dietary ingredients.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Company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Company would be prevented from using that claim. In addition, the FDA deems promotional and internet materials as labeling; therefore, the Company’s promotional and internet materials must comply with FDA requirements and could be the subject of regulatory action by the FDA, or by the Federal Trade Commission (the “</w:t>
      </w:r>
      <w:r>
        <w:rPr>
          <w:rFonts w:ascii="Arial" w:cs="Arial" w:eastAsia="Arial" w:hAnsi="Arial"/>
          <w:sz w:val="16"/>
          <w:szCs w:val="16"/>
          <w:b w:val="1"/>
          <w:bCs w:val="1"/>
          <w:color w:val="auto"/>
        </w:rPr>
        <w:t>FTC</w:t>
      </w:r>
      <w:r>
        <w:rPr>
          <w:rFonts w:ascii="Arial" w:cs="Arial" w:eastAsia="Arial" w:hAnsi="Arial"/>
          <w:sz w:val="16"/>
          <w:szCs w:val="16"/>
          <w:color w:val="auto"/>
        </w:rPr>
        <w:t>”) if that agency or other governmental authorities, reviewing the materials as advertising, considers the materials false and misleading.</w:t>
      </w:r>
    </w:p>
    <w:p>
      <w:pPr>
        <w:spacing w:after="0" w:line="16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U.S. laws also require recordkeeping and reporting to the FDA of all serious adverse events involving dietary supplements products. The Company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Company may from time to time elect, or be required, to recall, withdraw or remove a product from a market, either temporarily or permanently.</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The Company’s expected nutraceutical products will be considered “food” and must be labeled as such. Within the U.S., this category of products is subject to the federal </w:t>
      </w:r>
      <w:r>
        <w:rPr>
          <w:rFonts w:ascii="Arial" w:cs="Arial" w:eastAsia="Arial" w:hAnsi="Arial"/>
          <w:sz w:val="18"/>
          <w:szCs w:val="18"/>
          <w:i w:val="1"/>
          <w:iCs w:val="1"/>
          <w:color w:val="auto"/>
        </w:rPr>
        <w:t>Nutrition, Labeling and Education Act</w:t>
      </w:r>
      <w:r>
        <w:rPr>
          <w:rFonts w:ascii="Arial" w:cs="Arial" w:eastAsia="Arial" w:hAnsi="Arial"/>
          <w:sz w:val="18"/>
          <w:szCs w:val="18"/>
          <w:color w:val="auto"/>
        </w:rPr>
        <w:t xml:space="preserve"> (“</w:t>
      </w:r>
      <w:r>
        <w:rPr>
          <w:rFonts w:ascii="Arial" w:cs="Arial" w:eastAsia="Arial" w:hAnsi="Arial"/>
          <w:sz w:val="18"/>
          <w:szCs w:val="18"/>
          <w:b w:val="1"/>
          <w:bCs w:val="1"/>
          <w:color w:val="auto"/>
        </w:rPr>
        <w:t>NLEA</w:t>
      </w:r>
      <w:r>
        <w:rPr>
          <w:rFonts w:ascii="Arial" w:cs="Arial" w:eastAsia="Arial" w:hAnsi="Arial"/>
          <w:sz w:val="18"/>
          <w:szCs w:val="18"/>
          <w:color w:val="auto"/>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Company’s expected nutraceutical products were regulated as foods, it would be required to comply with the </w:t>
      </w:r>
      <w:r>
        <w:rPr>
          <w:rFonts w:ascii="Arial" w:cs="Arial" w:eastAsia="Arial" w:hAnsi="Arial"/>
          <w:sz w:val="18"/>
          <w:szCs w:val="18"/>
          <w:i w:val="1"/>
          <w:iCs w:val="1"/>
          <w:color w:val="auto"/>
        </w:rPr>
        <w:t>Federal Food Safety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Modernization Act </w:t>
      </w:r>
      <w:r>
        <w:rPr>
          <w:rFonts w:ascii="Arial" w:cs="Arial" w:eastAsia="Arial" w:hAnsi="Arial"/>
          <w:sz w:val="18"/>
          <w:szCs w:val="18"/>
          <w:color w:val="auto"/>
        </w:rPr>
        <w:t>and applicable regulations. The Company would be required to provide foreign supplier certifications evidencing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FDA requirements.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Company could be subject to fines and penalties, including under administrative, civil and criminal laws for violating U.S. laws and regulations, and the Company’s expected nutraceutical products could be banned or subject to recall from the marketplace. The Company could also be subject to possible business and consumer claims under applicable statutory, product liability and common laws.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FTC will exercise jurisdiction over the advertising of the Company’s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Company may utilize, as well as the role of endorsements and product clinical studies. The Company cannot be sure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20"/>
          </w:cols>
          <w:pgMar w:left="440" w:top="274" w:right="439" w:bottom="1440" w:gutter="0" w:footer="0" w:header="0"/>
        </w:sectPr>
      </w:pPr>
    </w:p>
    <w:bookmarkStart w:id="50" w:name="page51"/>
    <w:bookmarkEnd w:id="50"/>
    <w:p>
      <w:pPr>
        <w:jc w:val="both"/>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FTC, or comparable foreign agencies, will not question the Company’s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Company’s ability to market the Company’s expected nutraceutical products.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Company may become subject to additional laws or regulations administered by the FDA or by other federal, state, local or foreign governmental authorities, to the repeal of laws or regulations that the Company considers favorable, or to more stringent interpretations of current laws or regulations. In the future, the Company believes that the dietary supplement industry will likely face increased scrutiny from federal, state and local governmental authorities. It is difficult to predict the effect future laws, regulations, repeals or interpretations will have on the Company’s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Company’s business or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Jamaica</w:t>
      </w:r>
    </w:p>
    <w:p>
      <w:pPr>
        <w:spacing w:after="0" w:line="11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Psilocybin mushrooms do not fall within the definition of a dangerous drug under the </w:t>
      </w:r>
      <w:r>
        <w:rPr>
          <w:rFonts w:ascii="Arial" w:cs="Arial" w:eastAsia="Arial" w:hAnsi="Arial"/>
          <w:sz w:val="18"/>
          <w:szCs w:val="18"/>
          <w:i w:val="1"/>
          <w:iCs w:val="1"/>
          <w:color w:val="auto"/>
        </w:rPr>
        <w:t>Dangerous Drugs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DDA</w:t>
      </w:r>
      <w:r>
        <w:rPr>
          <w:rFonts w:ascii="Arial" w:cs="Arial" w:eastAsia="Arial" w:hAnsi="Arial"/>
          <w:sz w:val="18"/>
          <w:szCs w:val="18"/>
          <w:color w:val="auto"/>
        </w:rPr>
        <w:t>”) in Jamaica. The Company’s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UWI and the Company will act as a sponsor (the “</w:t>
      </w:r>
      <w:r>
        <w:rPr>
          <w:rFonts w:ascii="Arial" w:cs="Arial" w:eastAsia="Arial" w:hAnsi="Arial"/>
          <w:sz w:val="18"/>
          <w:szCs w:val="18"/>
          <w:b w:val="1"/>
          <w:bCs w:val="1"/>
          <w:color w:val="auto"/>
        </w:rPr>
        <w:t>Clinical Trials</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conducting clinical trials in Jamaica is governed by the Ministry of Health, Jamaica Guidelines for the Conduct of Research on Human Subjects (the “</w:t>
      </w:r>
      <w:r>
        <w:rPr>
          <w:rFonts w:ascii="Arial" w:cs="Arial" w:eastAsia="Arial" w:hAnsi="Arial"/>
          <w:sz w:val="18"/>
          <w:szCs w:val="18"/>
          <w:b w:val="1"/>
          <w:bCs w:val="1"/>
          <w:color w:val="auto"/>
        </w:rPr>
        <w:t>Guidelines</w:t>
      </w:r>
      <w:r>
        <w:rPr>
          <w:rFonts w:ascii="Arial" w:cs="Arial" w:eastAsia="Arial" w:hAnsi="Arial"/>
          <w:sz w:val="18"/>
          <w:szCs w:val="18"/>
          <w:color w:val="auto"/>
        </w:rPr>
        <w:t>”). The Company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regulation of the sale, manufacturing, importation and distribution of drugs in Jamaica is largely governed by the </w:t>
      </w:r>
      <w:r>
        <w:rPr>
          <w:rFonts w:ascii="Arial" w:cs="Arial" w:eastAsia="Arial" w:hAnsi="Arial"/>
          <w:sz w:val="18"/>
          <w:szCs w:val="18"/>
          <w:i w:val="1"/>
          <w:iCs w:val="1"/>
          <w:color w:val="auto"/>
        </w:rPr>
        <w:t>Food &amp; Drugs Act, 1964</w:t>
      </w:r>
      <w:r>
        <w:rPr>
          <w:rFonts w:ascii="Arial" w:cs="Arial" w:eastAsia="Arial" w:hAnsi="Arial"/>
          <w:sz w:val="18"/>
          <w:szCs w:val="18"/>
          <w:color w:val="auto"/>
        </w:rPr>
        <w:t xml:space="preserve"> (the “</w:t>
      </w:r>
      <w:r>
        <w:rPr>
          <w:rFonts w:ascii="Arial" w:cs="Arial" w:eastAsia="Arial" w:hAnsi="Arial"/>
          <w:sz w:val="18"/>
          <w:szCs w:val="18"/>
          <w:b w:val="1"/>
          <w:bCs w:val="1"/>
          <w:color w:val="auto"/>
        </w:rPr>
        <w:t>Jamaica FDA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1975</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Regulations</w:t>
      </w:r>
      <w:r>
        <w:rPr>
          <w:rFonts w:ascii="Arial" w:cs="Arial" w:eastAsia="Arial" w:hAnsi="Arial"/>
          <w:sz w:val="18"/>
          <w:szCs w:val="18"/>
          <w:color w:val="auto"/>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Regulation 40 stipulates that, a person shall not sell, manufacture, import or distribute a drug unless that drug has been registered with the MOH. The Regulations further state that a permit must be obtained from the MOH for the sale, manufacturing, importation and distribution of drugs into Jamaica. Additionally, Regulation 65 states that a person shall not import, sell, advertise for sale, or manufacture a new drug in Jamaica unless that person has obtained a licence from the MOH.</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section 4 of the Jamaica FDA shall result in such person being guilty of an offence and liable to a fine not exceeding J$1,000,000 (approximately US$6,724)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Regulation 87 provides that any person who fails to comply with the Regulations shall be guilty of an offence and shall be liable to a fine not exceeding J$2,000 (approximately US$13) or to imprisonment for a term not exceeding twelve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20"/>
          </w:cols>
          <w:pgMar w:left="440" w:top="274" w:right="439" w:bottom="1440" w:gutter="0" w:footer="0" w:header="0"/>
        </w:sectPr>
      </w:pPr>
    </w:p>
    <w:bookmarkStart w:id="51" w:name="page52"/>
    <w:bookmarkEnd w:id="51"/>
    <w:p>
      <w:pPr>
        <w:jc w:val="both"/>
        <w:ind w:left="4"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the Clinical Trials include the preparation and manufacture of precursor chemicals, then the </w:t>
      </w:r>
      <w:r>
        <w:rPr>
          <w:rFonts w:ascii="Arial" w:cs="Arial" w:eastAsia="Arial" w:hAnsi="Arial"/>
          <w:sz w:val="18"/>
          <w:szCs w:val="18"/>
          <w:i w:val="1"/>
          <w:iCs w:val="1"/>
          <w:color w:val="auto"/>
        </w:rPr>
        <w:t>Precursor Chemicals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PCA</w:t>
      </w:r>
      <w:r>
        <w:rPr>
          <w:rFonts w:ascii="Arial" w:cs="Arial" w:eastAsia="Arial" w:hAnsi="Arial"/>
          <w:sz w:val="18"/>
          <w:szCs w:val="18"/>
          <w:color w:val="auto"/>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spacing w:after="0" w:line="18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spacing w:after="0" w:line="184"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As of the date hereof, the Company’s sponsorship of the Clinical Trials has not commenced. The Company has submitted its application to the IRB and has received conditional approval. Company plans to begin its sponsorship of the Clinical Trials subject to applicable laws. The Company is unable to apply for an import licence for its sponsored Clinical Trial materials until it receives final IRB approval. Once received, the Company plans to apply to obtain an import licence and any other required licences.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80"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color w:val="auto"/>
        </w:rPr>
        <w:t>The main UK controlled drugs legislation is the Misuse of Drugs Act 1971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0" w:lineRule="exact"/>
        <w:rPr>
          <w:sz w:val="20"/>
          <w:szCs w:val="20"/>
          <w:color w:val="auto"/>
        </w:rPr>
      </w:pPr>
    </w:p>
    <w:p>
      <w:pPr>
        <w:jc w:val="both"/>
        <w:ind w:left="4" w:right="20"/>
        <w:spacing w:after="0" w:line="342" w:lineRule="auto"/>
        <w:rPr>
          <w:sz w:val="20"/>
          <w:szCs w:val="20"/>
          <w:color w:val="auto"/>
        </w:rPr>
      </w:pPr>
      <w:r>
        <w:rPr>
          <w:rFonts w:ascii="Arial" w:cs="Arial" w:eastAsia="Arial" w:hAnsi="Arial"/>
          <w:sz w:val="16"/>
          <w:szCs w:val="16"/>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24"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Licensing Requirements</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Company obtains API from the pharmaceutical ingredient provider who is based in the United States. The API itself is expected to be manufactured and packaged in FDA-registered facilities in the United Kingdom. The API is expected to be sent directly to the Company’s partners for research and development purposes in the United States, Canada and Jamaica.</w:t>
      </w:r>
    </w:p>
    <w:p>
      <w:pPr>
        <w:spacing w:after="0" w:line="184" w:lineRule="exact"/>
        <w:rPr>
          <w:sz w:val="20"/>
          <w:szCs w:val="20"/>
          <w:color w:val="auto"/>
        </w:rPr>
      </w:pPr>
    </w:p>
    <w:p>
      <w:pPr>
        <w:jc w:val="both"/>
        <w:ind w:left="4"/>
        <w:spacing w:after="0" w:line="279" w:lineRule="auto"/>
        <w:rPr>
          <w:sz w:val="20"/>
          <w:szCs w:val="20"/>
          <w:color w:val="auto"/>
        </w:rPr>
      </w:pPr>
      <w:r>
        <w:rPr>
          <w:rFonts w:ascii="Arial" w:cs="Arial" w:eastAsia="Arial" w:hAnsi="Arial"/>
          <w:sz w:val="17"/>
          <w:szCs w:val="17"/>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spacing w:after="0" w:line="171"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right="20" w:hanging="424"/>
        <w:spacing w:after="0" w:line="301" w:lineRule="auto"/>
        <w:tabs>
          <w:tab w:leader="none" w:pos="424" w:val="left"/>
        </w:tabs>
        <w:numPr>
          <w:ilvl w:val="0"/>
          <w:numId w:val="47"/>
        </w:numPr>
        <w:rPr>
          <w:rFonts w:ascii="Arial" w:cs="Arial" w:eastAsia="Arial" w:hAnsi="Arial"/>
          <w:sz w:val="13"/>
          <w:szCs w:val="13"/>
          <w:color w:val="auto"/>
        </w:rPr>
      </w:pPr>
      <w:r>
        <w:rPr>
          <w:rFonts w:ascii="Arial" w:cs="Arial" w:eastAsia="Arial" w:hAnsi="Arial"/>
          <w:sz w:val="16"/>
          <w:szCs w:val="16"/>
          <w:color w:val="auto"/>
        </w:rPr>
        <w:t>Home Office guidance; Security guidance for all existing or prospective Home Office Controlled Drug Licensees and/or Precursor Chemical Licensees or Registrants; 2020; https://assets.publishing.service.gov.uk/government/uploads/system/uploads/attachment_data/file/857591/Security_Guidance_for_all_Businesses_ and_Other_Organisations_v1.4_Jan_2020.pdf.</w:t>
      </w:r>
    </w:p>
    <w:p>
      <w:pPr>
        <w:spacing w:after="0" w:line="89" w:lineRule="exact"/>
        <w:rPr>
          <w:rFonts w:ascii="Arial" w:cs="Arial" w:eastAsia="Arial" w:hAnsi="Arial"/>
          <w:sz w:val="13"/>
          <w:szCs w:val="13"/>
          <w:color w:val="auto"/>
        </w:rPr>
      </w:pPr>
    </w:p>
    <w:p>
      <w:pPr>
        <w:ind w:left="5424" w:hanging="111"/>
        <w:spacing w:after="0"/>
        <w:tabs>
          <w:tab w:leader="none" w:pos="5424" w:val="left"/>
        </w:tabs>
        <w:numPr>
          <w:ilvl w:val="1"/>
          <w:numId w:val="47"/>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24"/>
          </w:cols>
          <w:pgMar w:left="436" w:top="270" w:right="439" w:bottom="1440" w:gutter="0" w:footer="0" w:header="0"/>
        </w:sectPr>
      </w:pPr>
    </w:p>
    <w:bookmarkStart w:id="52" w:name="page53"/>
    <w:bookmarkEnd w:id="52"/>
    <w:p>
      <w:pPr>
        <w:jc w:val="both"/>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rFonts w:ascii="Arial" w:cs="Arial" w:eastAsia="Arial" w:hAnsi="Arial"/>
          <w:sz w:val="14"/>
          <w:szCs w:val="14"/>
          <w:color w:val="auto"/>
        </w:rPr>
        <w:t>22</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Pharmaceutical Products</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84"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84"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Arial" w:cs="Arial" w:eastAsia="Arial" w:hAnsi="Arial"/>
          <w:sz w:val="17"/>
          <w:szCs w:val="17"/>
          <w:b w:val="1"/>
          <w:bCs w:val="1"/>
          <w:color w:val="auto"/>
        </w:rPr>
        <w:t>MHRA</w:t>
      </w:r>
      <w:r>
        <w:rPr>
          <w:rFonts w:ascii="Arial" w:cs="Arial" w:eastAsia="Arial" w:hAnsi="Arial"/>
          <w:sz w:val="17"/>
          <w:szCs w:val="17"/>
          <w:color w:val="auto"/>
        </w:rPr>
        <w:t>”).</w:t>
      </w:r>
    </w:p>
    <w:p>
      <w:pPr>
        <w:spacing w:after="0" w:line="17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Company’s partners for research and development purposes in the United States, Canada or Jamaica. How the API is subsequently processed will determine the licences that the UK-based facility must hold. In particular:</w:t>
      </w:r>
    </w:p>
    <w:p>
      <w:pPr>
        <w:spacing w:after="0" w:line="85" w:lineRule="exact"/>
        <w:rPr>
          <w:sz w:val="20"/>
          <w:szCs w:val="20"/>
          <w:color w:val="auto"/>
        </w:rPr>
      </w:pPr>
    </w:p>
    <w:p>
      <w:pPr>
        <w:jc w:val="both"/>
        <w:ind w:left="2084" w:right="20" w:hanging="653"/>
        <w:spacing w:after="0" w:line="289" w:lineRule="auto"/>
        <w:tabs>
          <w:tab w:leader="none" w:pos="208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API is just one ‘ingredient’ of the investigational medicinal product (“</w:t>
      </w:r>
      <w:r>
        <w:rPr>
          <w:rFonts w:ascii="Arial" w:cs="Arial" w:eastAsia="Arial" w:hAnsi="Arial"/>
          <w:sz w:val="17"/>
          <w:szCs w:val="17"/>
          <w:b w:val="1"/>
          <w:bCs w:val="1"/>
          <w:color w:val="auto"/>
        </w:rPr>
        <w:t>IMP</w:t>
      </w:r>
      <w:r>
        <w:rPr>
          <w:rFonts w:ascii="Arial" w:cs="Arial" w:eastAsia="Arial" w:hAnsi="Arial"/>
          <w:sz w:val="17"/>
          <w:szCs w:val="17"/>
          <w:color w:val="auto"/>
        </w:rPr>
        <w:t>”) which is used in the clinical trial then the UK-based facility must register with the MHRA and provide the MHRA with 60 days’ notice of the intended start of manufacture/distribution, and comply with GMP and Good Distribution Practice for active substances.</w:t>
      </w:r>
    </w:p>
    <w:p>
      <w:pPr>
        <w:spacing w:after="0" w:line="67" w:lineRule="exact"/>
        <w:rPr>
          <w:rFonts w:ascii="Arial" w:cs="Arial" w:eastAsia="Arial" w:hAnsi="Arial"/>
          <w:sz w:val="17"/>
          <w:szCs w:val="17"/>
          <w:color w:val="auto"/>
        </w:rPr>
      </w:pPr>
    </w:p>
    <w:p>
      <w:pPr>
        <w:jc w:val="both"/>
        <w:ind w:left="2084" w:right="20" w:hanging="653"/>
        <w:spacing w:after="0" w:line="286" w:lineRule="auto"/>
        <w:tabs>
          <w:tab w:leader="none" w:pos="2084"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Conversely, if the API will itself constitute the IMP, the manufacturer must hold a Manufacturer’s Authorisations for IMPs licence (“</w:t>
      </w:r>
      <w:r>
        <w:rPr>
          <w:rFonts w:ascii="Arial" w:cs="Arial" w:eastAsia="Arial" w:hAnsi="Arial"/>
          <w:sz w:val="17"/>
          <w:szCs w:val="17"/>
          <w:b w:val="1"/>
          <w:bCs w:val="1"/>
          <w:color w:val="auto"/>
        </w:rPr>
        <w:t>MIA(IMP</w:t>
      </w:r>
      <w:r>
        <w:rPr>
          <w:rFonts w:ascii="Arial" w:cs="Arial" w:eastAsia="Arial" w:hAnsi="Arial"/>
          <w:sz w:val="17"/>
          <w:szCs w:val="17"/>
          <w:color w:val="auto"/>
        </w:rPr>
        <w:t>)”). In this scenario, an MIA(IMP) would be required regardless of whether the IMP is for use in the UK, another EEA Member State or a third country (such as the United States, Canada or Jamaica).</w:t>
      </w:r>
    </w:p>
    <w:p>
      <w:pPr>
        <w:spacing w:after="0" w:line="165"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Food/Food Supplements</w:t>
      </w:r>
    </w:p>
    <w:p>
      <w:pPr>
        <w:spacing w:after="0" w:line="131" w:lineRule="exact"/>
        <w:rPr>
          <w:sz w:val="20"/>
          <w:szCs w:val="20"/>
          <w:color w:val="auto"/>
        </w:rPr>
      </w:pPr>
    </w:p>
    <w:p>
      <w:pPr>
        <w:ind w:left="2084" w:hanging="653"/>
        <w:spacing w:after="0"/>
        <w:tabs>
          <w:tab w:leader="none" w:pos="20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Functional foods and nutraceuticals must comply with general UK food laws.</w:t>
      </w:r>
    </w:p>
    <w:p>
      <w:pPr>
        <w:spacing w:after="0" w:line="130" w:lineRule="exact"/>
        <w:rPr>
          <w:rFonts w:ascii="Arial" w:cs="Arial" w:eastAsia="Arial" w:hAnsi="Arial"/>
          <w:sz w:val="18"/>
          <w:szCs w:val="18"/>
          <w:color w:val="auto"/>
        </w:rPr>
      </w:pPr>
    </w:p>
    <w:p>
      <w:pPr>
        <w:jc w:val="both"/>
        <w:ind w:left="2084" w:hanging="653"/>
        <w:spacing w:after="0" w:line="273" w:lineRule="auto"/>
        <w:tabs>
          <w:tab w:leader="none" w:pos="2084" w:val="left"/>
        </w:tabs>
        <w:numPr>
          <w:ilvl w:val="0"/>
          <w:numId w:val="49"/>
        </w:numPr>
        <w:rPr>
          <w:rFonts w:ascii="Arial" w:cs="Arial" w:eastAsia="Arial" w:hAnsi="Arial"/>
          <w:sz w:val="17"/>
          <w:szCs w:val="17"/>
          <w:color w:val="auto"/>
        </w:rPr>
      </w:pPr>
      <w:r>
        <w:rPr>
          <w:rFonts w:ascii="Arial" w:cs="Arial" w:eastAsia="Arial" w:hAnsi="Arial"/>
          <w:sz w:val="17"/>
          <w:szCs w:val="17"/>
          <w:color w:val="auto"/>
        </w:rPr>
        <w:t>Ordinarily, food and food ingredients do not need to be pre-authorised before they can be placed on the market. However, “novel foods”, which are foods that have not been consumed to a significant degree by humans in the UK or the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424" w:right="1020" w:hanging="424"/>
        <w:spacing w:after="0" w:line="342" w:lineRule="auto"/>
        <w:tabs>
          <w:tab w:leader="none" w:pos="424" w:val="left"/>
        </w:tabs>
        <w:numPr>
          <w:ilvl w:val="0"/>
          <w:numId w:val="50"/>
        </w:numPr>
        <w:rPr>
          <w:rFonts w:ascii="Arial" w:cs="Arial" w:eastAsia="Arial" w:hAnsi="Arial"/>
          <w:sz w:val="13"/>
          <w:szCs w:val="13"/>
          <w:color w:val="auto"/>
        </w:rPr>
      </w:pPr>
      <w:r>
        <w:rPr>
          <w:rFonts w:ascii="Arial" w:cs="Arial" w:eastAsia="Arial" w:hAnsi="Arial"/>
          <w:sz w:val="16"/>
          <w:szCs w:val="16"/>
          <w:color w:val="auto"/>
        </w:rPr>
        <w:t>Home Office guidance; Guidelines for Standard Operating Procedures (SOPs); https://assets.publishing.service.gov.uk/government/uploads/system/uploads/attachment_data/file/480572/StandardOpProcedure.pdf.</w:t>
      </w:r>
    </w:p>
    <w:p>
      <w:pPr>
        <w:spacing w:after="0" w:line="56" w:lineRule="exact"/>
        <w:rPr>
          <w:rFonts w:ascii="Arial" w:cs="Arial" w:eastAsia="Arial" w:hAnsi="Arial"/>
          <w:sz w:val="13"/>
          <w:szCs w:val="13"/>
          <w:color w:val="auto"/>
        </w:rPr>
      </w:pPr>
    </w:p>
    <w:p>
      <w:pPr>
        <w:ind w:left="5424" w:hanging="111"/>
        <w:spacing w:after="0"/>
        <w:tabs>
          <w:tab w:leader="none" w:pos="5424" w:val="left"/>
        </w:tabs>
        <w:numPr>
          <w:ilvl w:val="1"/>
          <w:numId w:val="50"/>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24"/>
          </w:cols>
          <w:pgMar w:left="436" w:top="274" w:right="439" w:bottom="1440" w:gutter="0" w:footer="0" w:header="0"/>
        </w:sectPr>
      </w:pPr>
    </w:p>
    <w:bookmarkStart w:id="53" w:name="page54"/>
    <w:bookmarkEnd w:id="53"/>
    <w:p>
      <w:pPr>
        <w:jc w:val="both"/>
        <w:ind w:left="2080" w:hanging="653"/>
        <w:spacing w:after="0" w:line="273" w:lineRule="auto"/>
        <w:tabs>
          <w:tab w:leader="none" w:pos="2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place a novel food on the market in the UK, it must be authorised in advance (either under an EU authorisation if granted pre-1 January 2021, or after this date under a Great Britain authorisation for 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p>
      <w:pPr>
        <w:spacing w:after="0" w:line="83" w:lineRule="exact"/>
        <w:rPr>
          <w:rFonts w:ascii="Arial" w:cs="Arial" w:eastAsia="Arial" w:hAnsi="Arial"/>
          <w:sz w:val="17"/>
          <w:szCs w:val="17"/>
          <w:color w:val="auto"/>
        </w:rPr>
      </w:pPr>
    </w:p>
    <w:p>
      <w:pPr>
        <w:jc w:val="both"/>
        <w:ind w:left="2080" w:right="20" w:hanging="653"/>
        <w:spacing w:after="0" w:line="255" w:lineRule="auto"/>
        <w:tabs>
          <w:tab w:leader="none" w:pos="2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p>
      <w:pPr>
        <w:spacing w:after="0" w:line="97" w:lineRule="exact"/>
        <w:rPr>
          <w:rFonts w:ascii="Arial" w:cs="Arial" w:eastAsia="Arial" w:hAnsi="Arial"/>
          <w:sz w:val="18"/>
          <w:szCs w:val="18"/>
          <w:color w:val="auto"/>
        </w:rPr>
      </w:pPr>
    </w:p>
    <w:p>
      <w:pPr>
        <w:jc w:val="both"/>
        <w:ind w:left="2080" w:right="20" w:hanging="653"/>
        <w:spacing w:after="0" w:line="257" w:lineRule="auto"/>
        <w:tabs>
          <w:tab w:leader="none" w:pos="2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novel foods legislation, the person who intends to commercialise the product in the UK would also have to comply with the full body of food legislation, which includes food labelling and food hygiene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COVID-19, UWI has implemented certain facility procedures and is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UWI or other institutions involved in pharmaceutical product development.</w:t>
      </w:r>
    </w:p>
    <w:p>
      <w:pPr>
        <w:spacing w:after="0" w:line="18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 xml:space="preserve">Psychedelics are a class of drug whose primary action is to trigger psychedelic experiences via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020"/>
          </w:cols>
          <w:pgMar w:left="440" w:top="274" w:right="439" w:bottom="1440" w:gutter="0" w:footer="0" w:header="0"/>
        </w:sectPr>
      </w:pPr>
    </w:p>
    <w:bookmarkStart w:id="54" w:name="page55"/>
    <w:bookmarkEnd w:id="54"/>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Psilocybin found in certain species of mushrooms is a non-habit forming naturally occurring psychedelic compound. Once ingested, psilocybin is rapidly metabolized to psilocin, which then acts on serotonin receptors in the brain. The Company intends to research and sponsor clinical trials on the efficacy of chemically synthesized psilocybin as it relates to the following indications</w:t>
      </w:r>
      <w:r>
        <w:rPr>
          <w:rFonts w:ascii="Arial" w:cs="Arial" w:eastAsia="Arial" w:hAnsi="Arial"/>
          <w:sz w:val="15"/>
          <w:szCs w:val="15"/>
          <w:color w:val="auto"/>
        </w:rPr>
        <w:t>23</w:t>
      </w:r>
      <w:r>
        <w:rPr>
          <w:rFonts w:ascii="Arial" w:cs="Arial" w:eastAsia="Arial" w:hAnsi="Arial"/>
          <w:sz w:val="18"/>
          <w:szCs w:val="18"/>
          <w:color w:val="auto"/>
        </w:rPr>
        <w:t>:</w:t>
      </w:r>
    </w:p>
    <w:p>
      <w:pPr>
        <w:spacing w:after="0" w:line="89" w:lineRule="exact"/>
        <w:rPr>
          <w:sz w:val="20"/>
          <w:szCs w:val="20"/>
          <w:color w:val="auto"/>
        </w:rPr>
      </w:pPr>
    </w:p>
    <w:p>
      <w:pPr>
        <w:ind w:left="1424" w:hanging="439"/>
        <w:spacing w:after="0"/>
        <w:tabs>
          <w:tab w:leader="none" w:pos="1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22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Cybin has filed a patent application for such delivery mechanism.</w:t>
      </w:r>
    </w:p>
    <w:p>
      <w:pPr>
        <w:spacing w:after="0" w:line="170" w:lineRule="exact"/>
        <w:rPr>
          <w:sz w:val="20"/>
          <w:szCs w:val="20"/>
          <w:color w:val="auto"/>
        </w:rPr>
      </w:pPr>
    </w:p>
    <w:p>
      <w:pPr>
        <w:jc w:val="both"/>
        <w:ind w:left="4"/>
        <w:spacing w:after="0" w:line="290" w:lineRule="auto"/>
        <w:rPr>
          <w:sz w:val="20"/>
          <w:szCs w:val="20"/>
          <w:color w:val="auto"/>
        </w:rPr>
      </w:pPr>
      <w:r>
        <w:rPr>
          <w:rFonts w:ascii="Arial" w:cs="Arial" w:eastAsia="Arial" w:hAnsi="Arial"/>
          <w:sz w:val="16"/>
          <w:szCs w:val="16"/>
          <w:color w:val="auto"/>
        </w:rPr>
        <w:t>In partnership with UWI, the Company plans to conduct research and development of synthetic psilocybin. The Company’s activity in relation to the intended research of psilocybin mushrooms, botanicals and other related fungi is limited to the jurisdiction of Jamaica and the Company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Company’s Jamaica team is composed of business consultants, legal counsel and local post-doctoral research students. As of the date hereof, the Company’s sponsorship of the clinical trials has not commenced. The Company has submitted its application to the IRB has received conditional approval and is awaiting final approval. The Company is unable to apply for an import license for its sponsored clinical trial materials until it receives final IRB approval, once received, the Company will apply to obtain an import license.</w:t>
      </w:r>
    </w:p>
    <w:p>
      <w:pPr>
        <w:spacing w:after="0" w:line="16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Research and development is led by the Company’s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spacing w:after="0" w:line="18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The Company has also retained Stosic and Associates, a leading government relations firm, to work with high level pharmaceutical, institutional and government relations individuals to progress the acceptance of psychedelics in Canada for medical use.</w:t>
      </w:r>
    </w:p>
    <w:p>
      <w:pPr>
        <w:spacing w:after="0" w:line="170" w:lineRule="exact"/>
        <w:rPr>
          <w:sz w:val="20"/>
          <w:szCs w:val="20"/>
          <w:color w:val="auto"/>
        </w:rPr>
      </w:pPr>
    </w:p>
    <w:p>
      <w:pPr>
        <w:jc w:val="both"/>
        <w:ind w:left="4" w:right="20"/>
        <w:spacing w:after="0" w:line="273" w:lineRule="auto"/>
        <w:rPr>
          <w:sz w:val="20"/>
          <w:szCs w:val="20"/>
          <w:color w:val="auto"/>
        </w:rPr>
      </w:pPr>
      <w:r>
        <w:rPr>
          <w:rFonts w:ascii="Arial" w:cs="Arial" w:eastAsia="Arial" w:hAnsi="Arial"/>
          <w:sz w:val="17"/>
          <w:szCs w:val="17"/>
          <w:color w:val="auto"/>
        </w:rPr>
        <w:t xml:space="preserve">The Company’s research and development must be conducted in strict compliance with the regulations of federal, state, local and regulatory agencies in Canada and the United States, and the equivalent regulatory agencies in the other jurisdictions in which the Company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w:t>
      </w:r>
      <w:r>
        <w:rPr>
          <w:rFonts w:ascii="Arial" w:cs="Arial" w:eastAsia="Arial" w:hAnsi="Arial"/>
          <w:sz w:val="17"/>
          <w:szCs w:val="17"/>
          <w:i w:val="1"/>
          <w:iCs w:val="1"/>
          <w:color w:val="auto"/>
        </w:rPr>
        <w:t>Dangerous Drugs Act, 1948</w:t>
      </w:r>
      <w:r>
        <w:rPr>
          <w:rFonts w:ascii="Arial" w:cs="Arial" w:eastAsia="Arial" w:hAnsi="Arial"/>
          <w:sz w:val="17"/>
          <w:szCs w:val="17"/>
          <w:color w:val="auto"/>
        </w:rPr>
        <w:t>. Accordingly, conducting research on psilocybin mushrooms does not contravene the laws of Jamaica and does not require any permit or authorization from Jamaican regulatory authorities.</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31" w:lineRule="exact"/>
        <w:rPr>
          <w:sz w:val="20"/>
          <w:szCs w:val="20"/>
          <w:color w:val="auto"/>
        </w:rPr>
      </w:pPr>
    </w:p>
    <w:p>
      <w:pPr>
        <w:ind w:left="964" w:hanging="532"/>
        <w:spacing w:after="0" w:line="277"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jc w:val="both"/>
        <w:ind w:left="424" w:right="20" w:hanging="424"/>
        <w:spacing w:after="0" w:line="272" w:lineRule="auto"/>
        <w:tabs>
          <w:tab w:leader="none" w:pos="424" w:val="left"/>
        </w:tabs>
        <w:numPr>
          <w:ilvl w:val="0"/>
          <w:numId w:val="54"/>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09" w:lineRule="exact"/>
        <w:rPr>
          <w:rFonts w:ascii="Arial" w:cs="Arial" w:eastAsia="Arial" w:hAnsi="Arial"/>
          <w:sz w:val="14"/>
          <w:szCs w:val="14"/>
          <w:color w:val="auto"/>
        </w:rPr>
      </w:pPr>
    </w:p>
    <w:p>
      <w:pPr>
        <w:ind w:left="5424" w:hanging="111"/>
        <w:spacing w:after="0"/>
        <w:tabs>
          <w:tab w:leader="none" w:pos="5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4"/>
          </w:cols>
          <w:pgMar w:left="436" w:top="274" w:right="439" w:bottom="1440" w:gutter="0" w:footer="0" w:header="0"/>
        </w:sectPr>
      </w:pPr>
    </w:p>
    <w:bookmarkStart w:id="55" w:name="page56"/>
    <w:bookmarkEnd w:id="55"/>
    <w:p>
      <w:pPr>
        <w:ind w:left="960" w:right="20" w:hanging="532"/>
        <w:spacing w:after="0" w:line="308" w:lineRule="auto"/>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Pre-Clinical Development – </w:t>
      </w:r>
      <w:r>
        <w:rPr>
          <w:rFonts w:ascii="Arial" w:cs="Arial" w:eastAsia="Arial" w:hAnsi="Arial"/>
          <w:sz w:val="17"/>
          <w:szCs w:val="17"/>
          <w:color w:val="auto"/>
        </w:rPr>
        <w:t>Animals are given the drug in varying amounts over differing periods of time. If it can be shown that the drug</w:t>
      </w:r>
      <w:r>
        <w:rPr>
          <w:rFonts w:ascii="Arial" w:cs="Arial" w:eastAsia="Arial" w:hAnsi="Arial"/>
          <w:sz w:val="17"/>
          <w:szCs w:val="17"/>
          <w:i w:val="1"/>
          <w:iCs w:val="1"/>
          <w:color w:val="auto"/>
        </w:rPr>
        <w:t xml:space="preserve"> </w:t>
      </w:r>
      <w:r>
        <w:rPr>
          <w:rFonts w:ascii="Arial" w:cs="Arial" w:eastAsia="Arial" w:hAnsi="Arial"/>
          <w:sz w:val="17"/>
          <w:szCs w:val="17"/>
          <w:color w:val="auto"/>
        </w:rPr>
        <w:t>causes no serious or unexpected harm at the doses required to have an effect, the manufacturer will proceed to clinical trials.</w:t>
      </w:r>
    </w:p>
    <w:p>
      <w:pPr>
        <w:spacing w:after="0" w:line="51" w:lineRule="exact"/>
        <w:rPr>
          <w:rFonts w:ascii="Arial" w:cs="Arial" w:eastAsia="Arial" w:hAnsi="Arial"/>
          <w:sz w:val="17"/>
          <w:szCs w:val="17"/>
          <w:color w:val="auto"/>
        </w:rPr>
      </w:pPr>
    </w:p>
    <w:p>
      <w:pPr>
        <w:jc w:val="both"/>
        <w:ind w:left="960" w:hanging="532"/>
        <w:spacing w:after="0" w:line="301"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I - </w:t>
      </w:r>
      <w:r>
        <w:rPr>
          <w:rFonts w:ascii="Arial" w:cs="Arial" w:eastAsia="Arial" w:hAnsi="Arial"/>
          <w:sz w:val="16"/>
          <w:szCs w:val="16"/>
          <w:color w:val="auto"/>
        </w:rPr>
        <w:t>The first administration in humans is to test if people can tolerate the drug. If this testing is to take place in</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the 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6"/>
          <w:szCs w:val="16"/>
          <w:b w:val="1"/>
          <w:bCs w:val="1"/>
          <w:color w:val="auto"/>
        </w:rPr>
        <w:t>HPFB</w:t>
      </w:r>
      <w:r>
        <w:rPr>
          <w:rFonts w:ascii="Arial" w:cs="Arial" w:eastAsia="Arial" w:hAnsi="Arial"/>
          <w:sz w:val="16"/>
          <w:szCs w:val="16"/>
          <w:color w:val="auto"/>
        </w:rPr>
        <w:t>”) grants permission to start testing the drug, generally first on healthy volunteers.</w:t>
      </w:r>
    </w:p>
    <w:p>
      <w:pPr>
        <w:spacing w:after="0" w:line="62" w:lineRule="exact"/>
        <w:rPr>
          <w:rFonts w:ascii="Arial" w:cs="Arial" w:eastAsia="Arial" w:hAnsi="Arial"/>
          <w:sz w:val="16"/>
          <w:szCs w:val="16"/>
          <w:color w:val="auto"/>
        </w:rPr>
      </w:pPr>
    </w:p>
    <w:p>
      <w:pPr>
        <w:jc w:val="both"/>
        <w:ind w:left="960" w:right="20" w:hanging="532"/>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medical condition. Trials carried out in Canada must be approved by the TPD. In phase II, the objective of the trials is to continue to gather information on the safety of the drug and begin to determine its effectiveness.</w:t>
      </w:r>
    </w:p>
    <w:p>
      <w:pPr>
        <w:spacing w:after="0" w:line="89" w:lineRule="exact"/>
        <w:rPr>
          <w:rFonts w:ascii="Arial" w:cs="Arial" w:eastAsia="Arial" w:hAnsi="Arial"/>
          <w:sz w:val="18"/>
          <w:szCs w:val="18"/>
          <w:color w:val="auto"/>
        </w:rPr>
      </w:pPr>
    </w:p>
    <w:p>
      <w:pPr>
        <w:jc w:val="both"/>
        <w:ind w:left="960" w:right="20" w:hanging="532"/>
        <w:spacing w:after="0" w:line="259"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92" w:lineRule="exact"/>
        <w:rPr>
          <w:rFonts w:ascii="Arial" w:cs="Arial" w:eastAsia="Arial" w:hAnsi="Arial"/>
          <w:sz w:val="18"/>
          <w:szCs w:val="18"/>
          <w:color w:val="auto"/>
        </w:rPr>
      </w:pPr>
    </w:p>
    <w:p>
      <w:pPr>
        <w:jc w:val="both"/>
        <w:ind w:left="960" w:right="20" w:hanging="532"/>
        <w:spacing w:after="0" w:line="25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31" w:lineRule="exact"/>
        <w:rPr>
          <w:sz w:val="20"/>
          <w:szCs w:val="20"/>
          <w:color w:val="auto"/>
        </w:rPr>
      </w:pPr>
    </w:p>
    <w:p>
      <w:pPr>
        <w:ind w:left="960" w:right="2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Clincal and/or Manufacturing Practice regulations;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approval by an institutional review board or independent ethics committee at each clinical trial site before each trial may be initiated;</w:t>
      </w:r>
    </w:p>
    <w:p>
      <w:pPr>
        <w:spacing w:after="0" w:line="142" w:lineRule="exact"/>
        <w:rPr>
          <w:rFonts w:ascii="Arial" w:cs="Arial" w:eastAsia="Arial" w:hAnsi="Arial"/>
          <w:sz w:val="17"/>
          <w:szCs w:val="17"/>
          <w:color w:val="auto"/>
        </w:rPr>
      </w:pPr>
    </w:p>
    <w:p>
      <w:pPr>
        <w:ind w:left="960" w:right="20" w:hanging="532"/>
        <w:spacing w:after="0" w:line="342"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5" w:lineRule="exact"/>
        <w:rPr>
          <w:rFonts w:ascii="Arial" w:cs="Arial" w:eastAsia="Arial" w:hAnsi="Arial"/>
          <w:sz w:val="16"/>
          <w:szCs w:val="16"/>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7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independent institutional review board, at each of the clinical centers proposing to conduct the clinical trial, must review and approve the plan for any clinical trial before it commences at that center. An independent institutional review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20"/>
          </w:cols>
          <w:pgMar w:left="440" w:top="274" w:right="4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considers, among other things, whether the risks to individuals participating in the trials are minimized and are reasonable in relation to anticipated benefits. The independent institutional review board also approves the consent form signed by the trial participants and must monitor the study until completed. The FDA, the independent institutional review board,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CDSA and its implementing regulations establish a “closed system” of regulations for controlled substances. The CDSA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20"/>
          </w:cols>
          <w:pgMar w:left="440" w:top="274" w:right="439" w:bottom="1440" w:gutter="0" w:footer="0" w:header="0"/>
        </w:sectPr>
      </w:pPr>
    </w:p>
    <w:bookmarkStart w:id="57" w:name="page58"/>
    <w:bookmarkEnd w:id="57"/>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193 countries, including Canada and the United States have ratified the PCT.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8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020"/>
          </w:cols>
          <w:pgMar w:left="440" w:top="274" w:right="4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In Ireland, psilocin is a controlled substance under the MDA, the MDR and the </w:t>
      </w:r>
      <w:r>
        <w:rPr>
          <w:rFonts w:ascii="Arial" w:cs="Arial" w:eastAsia="Arial" w:hAnsi="Arial"/>
          <w:sz w:val="17"/>
          <w:szCs w:val="17"/>
          <w:i w:val="1"/>
          <w:iCs w:val="1"/>
          <w:color w:val="auto"/>
        </w:rPr>
        <w:t>Criminal Justice (Psychoactive Substances) Act 2010</w:t>
      </w:r>
      <w:r>
        <w:rPr>
          <w:rFonts w:ascii="Arial" w:cs="Arial" w:eastAsia="Arial" w:hAnsi="Arial"/>
          <w:sz w:val="17"/>
          <w:szCs w:val="17"/>
          <w:color w:val="auto"/>
        </w:rPr>
        <w:t>.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MDA and the MDR. The MDR includes “any substance, product or preparation including fungi of any kind or description, containing psilocin or an ester of psilocin” (which are commonly described as ‘magic mushrooms’) within the strict regime of control that applies to those substances in Schedule 1 of the MDR. Accordingly, psilocin will qualify as a Schedule 1 controlled substance and is subject to the strict regime of control that applies.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 Schedule 1 controlled substance under the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MDA, in certain circumstances, the Minister for Health “may grant licences or issue permits or authorisations for any of the purposes of this Act, attach conditions to any such licence, permit or authorisation, vary such conditions and revoke any such licence, permit or authorisation”. Where licences are granted, there are very strict conditions imposed on licence holders. For example, strict conditions can be placed regarding the security, storage and documenting controlled substances.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authorisation to do so. The Company intends to constantly review its Irish operations to ensure compliance with all applicable laws as the operations evolve.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20"/>
          </w:cols>
          <w:pgMar w:left="440" w:top="274" w:right="4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selected information is derived from the Company’s annual and quarterly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(October 22,</w:t>
            </w: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(Canadian dollars in thousands,</w:t>
            </w:r>
          </w:p>
        </w:tc>
        <w:tc>
          <w:tcPr>
            <w:tcW w:w="11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September 30,</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2019) to</w:t>
            </w:r>
          </w:p>
        </w:tc>
        <w:tc>
          <w:tcPr>
            <w:tcW w:w="0" w:type="dxa"/>
            <w:vAlign w:val="bottom"/>
          </w:tcPr>
          <w:p>
            <w:pPr>
              <w:spacing w:after="0"/>
              <w:rPr>
                <w:sz w:val="1"/>
                <w:szCs w:val="1"/>
                <w:color w:val="auto"/>
              </w:rPr>
            </w:pPr>
          </w:p>
        </w:tc>
      </w:tr>
      <w:tr>
        <w:trPr>
          <w:trHeight w:val="144"/>
        </w:trPr>
        <w:tc>
          <w:tcPr>
            <w:tcW w:w="30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2"/>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1"/>
              </w:rPr>
              <w:t>except per share and share figures)</w:t>
            </w:r>
          </w:p>
        </w:tc>
        <w:tc>
          <w:tcPr>
            <w:tcW w:w="104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 ($)</w:t>
            </w:r>
          </w:p>
        </w:tc>
        <w:tc>
          <w:tcPr>
            <w:tcW w:w="96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864</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13,939</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2,561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4,430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(14,717)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 Basic</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157,711,518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150,268,000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110,223,000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69,150,000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64,381,360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49,976,788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47,523,000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share ($‘s)</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157,711,518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150,268,000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110,223,000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69,150,000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64,381,360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49,976,788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47,523,000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share ($‘s)</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55,075</w:t>
            </w:r>
          </w:p>
        </w:tc>
        <w:tc>
          <w:tcPr>
            <w:tcW w:w="1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64,026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3,868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7,679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82,837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 ($)</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770</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300" w:right="1820" w:hanging="5312"/>
        <w:spacing w:after="0" w:line="449" w:lineRule="auto"/>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 - 34 -</w:t>
      </w:r>
    </w:p>
    <w:p>
      <w:pPr>
        <w:sectPr>
          <w:pgSz w:w="11900" w:h="16838" w:orient="portrait"/>
          <w:cols w:equalWidth="0" w:num="1">
            <w:col w:w="11020"/>
          </w:cols>
          <w:pgMar w:left="440" w:top="274"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 for the three-month period ended June 30, 2021</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2180" w:type="dxa"/>
            <w:vAlign w:val="bottom"/>
            <w:gridSpan w:val="4"/>
          </w:tcPr>
          <w:p>
            <w:pPr>
              <w:jc w:val="right"/>
              <w:ind w:right="300"/>
              <w:spacing w:after="0"/>
              <w:rPr>
                <w:sz w:val="20"/>
                <w:szCs w:val="20"/>
                <w:color w:val="auto"/>
              </w:rPr>
            </w:pPr>
            <w:r>
              <w:rPr>
                <w:rFonts w:ascii="Arial" w:cs="Arial" w:eastAsia="Arial" w:hAnsi="Arial"/>
                <w:sz w:val="14"/>
                <w:szCs w:val="14"/>
                <w:color w:val="auto"/>
                <w:w w:val="99"/>
              </w:rPr>
              <w:t>Three months ended June 30,</w:t>
            </w:r>
          </w:p>
        </w:tc>
      </w:tr>
      <w:tr>
        <w:trPr>
          <w:trHeight w:val="142"/>
        </w:trPr>
        <w:tc>
          <w:tcPr>
            <w:tcW w:w="61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7"/>
        </w:trPr>
        <w:tc>
          <w:tcPr>
            <w:tcW w:w="6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331"/>
        </w:trPr>
        <w:tc>
          <w:tcPr>
            <w:tcW w:w="61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4,773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General and administrative costs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6,190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2,976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0"/>
        </w:trPr>
        <w:tc>
          <w:tcPr>
            <w:tcW w:w="6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13,939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r>
      <w:tr>
        <w:trPr>
          <w:trHeight w:val="115"/>
        </w:trPr>
        <w:tc>
          <w:tcPr>
            <w:tcW w:w="6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on convertible debt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Foreign currency translation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accretion</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15"/>
        </w:trPr>
        <w:tc>
          <w:tcPr>
            <w:tcW w:w="6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INCOME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0"/>
        </w:trPr>
        <w:tc>
          <w:tcPr>
            <w:tcW w:w="6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618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(14,717)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(4,363)</w:t>
            </w:r>
          </w:p>
        </w:tc>
      </w:tr>
      <w:tr>
        <w:trPr>
          <w:trHeight w:val="115"/>
        </w:trPr>
        <w:tc>
          <w:tcPr>
            <w:tcW w:w="6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Basic loss per share for the period attributable to common shareholders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r>
      <w:tr>
        <w:trPr>
          <w:trHeight w:val="230"/>
        </w:trPr>
        <w:tc>
          <w:tcPr>
            <w:tcW w:w="6180" w:type="dxa"/>
            <w:vAlign w:val="bottom"/>
          </w:tcPr>
          <w:p>
            <w:pPr>
              <w:spacing w:after="0"/>
              <w:rPr>
                <w:sz w:val="20"/>
                <w:szCs w:val="20"/>
                <w:color w:val="auto"/>
              </w:rPr>
            </w:pPr>
            <w:r>
              <w:rPr>
                <w:rFonts w:ascii="Arial" w:cs="Arial" w:eastAsia="Arial" w:hAnsi="Arial"/>
                <w:sz w:val="18"/>
                <w:szCs w:val="18"/>
                <w:b w:val="1"/>
                <w:bCs w:val="1"/>
                <w:color w:val="auto"/>
                <w:w w:val="97"/>
              </w:rPr>
              <w:t>Diluted loss per share for the period attributable to common shareholders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2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1"/>
              </w:rPr>
              <w:t>157,711,518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60,703,392</w:t>
            </w:r>
          </w:p>
        </w:tc>
      </w:tr>
      <w:tr>
        <w:trPr>
          <w:trHeight w:val="20"/>
        </w:trPr>
        <w:tc>
          <w:tcPr>
            <w:tcW w:w="6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June 30, 2021, Cybin incurred a net loss $14,717 compared to a net loss of $4,363 during the same period in prior year. The significant items that occurred in the quarter include: the agreement between the Company and Catalyst Global LLC dated April 20, 2021, to provide investor relations services; the Psilocybin Zydis Feasibility study with Catalent; and the approval from the IRB to commence the study of the Company’s sublingual psilocybin formulation, subject to final confirmation of study material specifications by the MOH.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operating expenses totaled $13,939. The operating expenses include a non-cash component of $4,773 (2020 - $2,487) related to share-based compensation. The remaining operating expenses were incurred to support raising capital, research &amp; development and the overall development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Cybin issued warrants and options incurring share-based payment expense of $4,773 compared to $2,487 during the same period in prior year. The expense was recorded based on the fair value using a Black Scholes Model. On exercise of these warrants and options the equity reserve balances will move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June 30, 2021, general and administrative expenses were $3,231 compared to $1,059 during the same period in prior year. General and administrative expense for the three-month period are comprised of marketing related expenses of $2,959 (2020 - $169), payroll related expenses of $1,224 (2020 - $473), professional and consulting fees of $1,068 (2020 – $555), office and administration expenses of $838 (2020 - $31) and listing fees of $101 (2020 – nil). The overall increase in general and administrative expenses relates to the overall growth of the Company as it continues to develop the business and promote awareness of the psychedelic industry.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00"/>
          </w:cols>
          <w:pgMar w:left="440" w:top="274"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three months ended June 30, 2021, the Company’s research expenses totaled $2,976 compared to $705 during the same period in prior year. The expense relates to the advancement of the initial research and preliminary testing of future products. The increase in the research expense is also explained by growth in the scientific team and as well as product development and onboarding laboratories in preparation for testing.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loss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 months ended June 30, 2021, the Company incurred a foreign currency translation loss from operations and revaluation of balance sheet assets held in US dollars of $49. The US dollar decreased $0.0181 from $1.2575 on March 31, 2021 to $1.2394 on June 30,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accretion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2021, the Company recorded an accretion expense of $161 related to commitments to the former shareholders of Adelia based on milestone achievements (see “Acquisitions”).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contingent consideration</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June 30, 2021, the Company recorded a change in fair value of $612 related to the achievement of certain milestones in connection with the acquisition of Adelia (see “Acquisitions”). The amount recorded represents the difference between the fair value of the contingent consideration determined as at March 31, 2021 and the fair value on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 United States, and Jamaica related to social distancing and restrictions on travel outside of the home. The Company has and will continue to abide by the protocols within Canada, the United States, and Jamaica regarding the performance of work activities.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the Company</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three-month period ended June 30, 2021,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duration and the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020"/>
          </w:cols>
          <w:pgMar w:left="440" w:top="270" w:right="439" w:bottom="1440" w:gutter="0" w:footer="0" w:header="0"/>
        </w:sectPr>
      </w:pPr>
    </w:p>
    <w:bookmarkStart w:id="62" w:name="page63"/>
    <w:bookmarkEnd w:id="62"/>
    <w:p>
      <w:pPr>
        <w:jc w:val="both"/>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COVID-19 pandemic and the related restrictions. The breadth of the impact of the COVID-19 pandemic on investors, businesses, the global economy and financial and commodity markets may also have a material adverse effect on the Company.</w:t>
      </w:r>
    </w:p>
    <w:p>
      <w:pPr>
        <w:spacing w:after="0" w:line="18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Company raised capital pursuant to the February 2021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Three Months ended June 30,</w:t>
            </w:r>
          </w:p>
        </w:tc>
      </w:tr>
      <w:tr>
        <w:trPr>
          <w:trHeight w:val="171"/>
        </w:trPr>
        <w:tc>
          <w:tcPr>
            <w:tcW w:w="6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(Decrease) increase in cash</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(8,946)</w:t>
            </w: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64,026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7"/>
        </w:trPr>
        <w:tc>
          <w:tcPr>
            <w:tcW w:w="6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55,075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w:t>
            </w:r>
          </w:p>
        </w:tc>
      </w:tr>
      <w:tr>
        <w:trPr>
          <w:trHeight w:val="20"/>
        </w:trPr>
        <w:tc>
          <w:tcPr>
            <w:tcW w:w="6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From June 30, 2020 to June 30, 2021, cash and cash equivalents increased from $7,699 to $55,075 mainly as a result of the private placements as disclosed in the Listing Statement, the AIF and the February 2021 Prospectus. From March 31, 2020 to June 30, 2021 cash and cash equivalents decreased from $64,026 to $55,075 The major uses for cash in the period related to professional and administrative costs for increasing the operating functionality of the organization, investor relation fees and developing its research programs as noted above.</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at June 30, 2021, the Company had working capital of $51,772. Cybin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operating activities during the three-month period ended June 30, 2021, was $8,880. The key uses in cash were for professional fees, salaries, listing fees, research and development, advertising and promotions.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during the three-month period ended June 30, 2021, was $395 explained by; $250 used for the investment in RxLive; $96 used in the development of the Company’s patents and purchase of software; and $49 used to purchase computer equipment due to the increase in employees.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generated by financing activities during three-month period ended June 30, 2021, was $329. The source of financing came from the exercise of warrants and options during the period.</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020"/>
          </w:cols>
          <w:pgMar w:left="440" w:top="274" w:right="4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intends to grow rapidly and expand its operations within the next twelve to twenty-four months. This growth, along with the expectation of operating at a loss for at minimum the next 12 months, will place a diminish the Company’s working capital. As such, further financings may be required to develop the Company’s facility and products, make acquisitions, meet ongoing obligations, and discharge its liabilities in the normal course of business. There is no assurance that additional funds can be raised upon terms acceptable to the Company or at all and funding for small companies remains challenging.</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Company’s current expenditure obligations include commitments for those projects described in the section entitled “</w:t>
      </w:r>
      <w:r>
        <w:rPr>
          <w:rFonts w:ascii="Arial" w:cs="Arial" w:eastAsia="Arial" w:hAnsi="Arial"/>
          <w:sz w:val="17"/>
          <w:szCs w:val="17"/>
          <w:i w:val="1"/>
          <w:iCs w:val="1"/>
          <w:color w:val="auto"/>
        </w:rPr>
        <w:t>Major Objectives</w:t>
      </w:r>
      <w:r>
        <w:rPr>
          <w:rFonts w:ascii="Arial" w:cs="Arial" w:eastAsia="Arial" w:hAnsi="Arial"/>
          <w:sz w:val="17"/>
          <w:szCs w:val="17"/>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June 30, 2021 the Company had a cash and cash equivalent balance of $55,075 and current liabilities of $5,798, of which $2,746 represent non-cash liabilities. In addition, Cybin has agreed to participate in a private placement of subscription receipts of 1301376 B.C. Ltd. in an amount of up to $500. The Company’s current resources are sufficient to settle its current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7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Company raised capital pursuant to the February 2021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020"/>
          </w:cols>
          <w:pgMar w:left="440" w:top="274"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at June 30, 2021 the payments due by period are set out in the following table: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Less than 1</w:t>
            </w:r>
          </w:p>
        </w:tc>
        <w:tc>
          <w:tcPr>
            <w:tcW w:w="520" w:type="dxa"/>
            <w:vAlign w:val="bottom"/>
          </w:tcPr>
          <w:p>
            <w:pPr>
              <w:spacing w:after="0"/>
              <w:rPr>
                <w:sz w:val="14"/>
                <w:szCs w:val="14"/>
                <w:color w:val="auto"/>
              </w:rPr>
            </w:pPr>
          </w:p>
        </w:tc>
        <w:tc>
          <w:tcPr>
            <w:tcW w:w="10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8"/>
              </w:rPr>
              <w:t>1-3 years</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4 –</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5 years</w:t>
            </w:r>
          </w:p>
        </w:tc>
        <w:tc>
          <w:tcPr>
            <w:tcW w:w="1320" w:type="dxa"/>
            <w:vAlign w:val="bottom"/>
            <w:gridSpan w:val="3"/>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nil</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nil</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nil</w:t>
            </w:r>
          </w:p>
        </w:tc>
        <w:tc>
          <w:tcPr>
            <w:tcW w:w="7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Contractual Obligations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60" w:type="dxa"/>
            <w:vAlign w:val="bottom"/>
            <w:gridSpan w:val="2"/>
            <w:vMerge w:val="continue"/>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4"/>
                <w:szCs w:val="24"/>
                <w:color w:val="auto"/>
              </w:rPr>
            </w:pP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as at June 30, 2021, the Company had also entered into agreements for preclinical studies which may require the Company to spend up to an additional US$5,098. The Company expects to pay this amount within the next 18 months, however the timing and certainty of the payments are contingent on availability of materials and successful completion of certain milestones. The Company has the ability to cancel the preclinical studies at its discretion, in which case a cancellation fee may apply, however the Company is not liable to pay the full amount of the study.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June 30, 2021 and as of the date of this MD&amp;A:</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Class of Security</w:t>
            </w:r>
          </w:p>
        </w:tc>
        <w:tc>
          <w:tcPr>
            <w:tcW w:w="3580" w:type="dxa"/>
            <w:vAlign w:val="bottom"/>
          </w:tcPr>
          <w:p>
            <w:pPr>
              <w:spacing w:after="0"/>
              <w:rPr>
                <w:sz w:val="16"/>
                <w:szCs w:val="16"/>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As of June 30, 2021</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As of the date of this MD&amp;A</w:t>
            </w: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Shares</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148,413,013</w:t>
            </w:r>
          </w:p>
        </w:tc>
        <w:tc>
          <w:tcPr>
            <w:tcW w:w="7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159,673,218</w:t>
            </w:r>
          </w:p>
        </w:tc>
        <w:tc>
          <w:tcPr>
            <w:tcW w:w="40" w:type="dxa"/>
            <w:vAlign w:val="bottom"/>
            <w:tcBorders>
              <w:top w:val="single" w:sz="8" w:color="CCEEFF"/>
            </w:tcBorders>
            <w:shd w:val="clear" w:color="auto" w:fill="CCEEFF"/>
          </w:tcPr>
          <w:p>
            <w:pPr>
              <w:spacing w:after="0"/>
              <w:rPr>
                <w:sz w:val="17"/>
                <w:szCs w:val="17"/>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25,541,452</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25,541,452</w:t>
            </w:r>
          </w:p>
        </w:tc>
      </w:tr>
      <w:tr>
        <w:trPr>
          <w:trHeight w:val="108"/>
        </w:trPr>
        <w:tc>
          <w:tcPr>
            <w:tcW w:w="10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Underwriters Warrants</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868,740</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868,740</w:t>
            </w: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Common Share purchase warrants</w:t>
            </w: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28,440,206</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27,986,461</w:t>
            </w:r>
          </w:p>
        </w:tc>
      </w:tr>
      <w:tr>
        <w:trPr>
          <w:trHeight w:val="108"/>
        </w:trPr>
        <w:tc>
          <w:tcPr>
            <w:tcW w:w="10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Class B Shares (as defined below) </w:t>
            </w:r>
            <w:r>
              <w:rPr>
                <w:rFonts w:ascii="Arial" w:cs="Arial" w:eastAsia="Arial" w:hAnsi="Arial"/>
                <w:sz w:val="15"/>
                <w:szCs w:val="15"/>
                <w:color w:val="auto"/>
              </w:rPr>
              <w:t>(1)</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978,020.4</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978,020.4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440" w:right="20" w:hanging="4"/>
        <w:spacing w:after="0" w:line="277" w:lineRule="auto"/>
        <w:tabs>
          <w:tab w:leader="none" w:pos="7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Class B Shares are exchangeable for Common Shares, on the basis of 10 Common Shares for each Class B Share, at the option of the holder thereof, subject to customary adjustments.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authorized capital of the Company consists of an unlimited number of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without par value and an unlimited number of preferred shares. As of June 30, 2021, 148,413,013 Common Shares were outstanding and no preferred shares are issued and outstanding. As of the date of this MD&amp;A, 159,673,218 Common Shares are outstanding (see “Subsequent Events”).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options to purchase up to 25,541,452 Common Shares were outstanding under Cybin’s equity incentive plan. As of the date of this MD&amp;A, options to purchase up to 25,541,452 Common Shares are outstanding.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020"/>
          </w:cols>
          <w:pgMar w:left="440" w:top="274"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Underwriter’s Warrants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and as of the date of this MD&amp;A, underwriter’s warrants to purchase up to 868,740 units of the Company at an exercise price of $2.25 per unit are outstanding, with each unit consisting of one Common Share and one Common Share purchase warrants, with each Common Share purchase warrant being exercisable to acquire one Common Share at an exercise price of $3.25 per Common Share for a period of 36 months.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2021, warrants to purchase up to 28,440,206, Common Shares were outstanding, exercisable at weighted average exercise price of $1.12 per Common Share. As of the date of this MD&amp;A, warrants to purchase up to 27,986,461 Common Shares were outstanding, exercisable at a weighted average exercise price of $1.15 per Common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Adelia Transaction (see “Acquisitions”), Cybin U.S. (a subsidiary of the Company) has issued 919,996.1 Class B Shares. The Class B Shares are exchangeable at the holder’s option for Common Shares on the basis of 10 Common Shares for 1 Class B Share, subject to customary adjustments. As of June 30, 2021 and as of the date of this MD&amp;A, 978,020.4 Class B Shares were outstanding.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On December 4, 2020, Cybin entered into a contribution agreement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with Cybin Corp., Cybin U.S. (the “</w:t>
      </w:r>
      <w:r>
        <w:rPr>
          <w:rFonts w:ascii="Arial" w:cs="Arial" w:eastAsia="Arial" w:hAnsi="Arial"/>
          <w:sz w:val="17"/>
          <w:szCs w:val="17"/>
          <w:b w:val="1"/>
          <w:bCs w:val="1"/>
          <w:color w:val="auto"/>
        </w:rPr>
        <w:t>Acquiror</w:t>
      </w:r>
      <w:r>
        <w:rPr>
          <w:rFonts w:ascii="Arial" w:cs="Arial" w:eastAsia="Arial" w:hAnsi="Arial"/>
          <w:sz w:val="17"/>
          <w:szCs w:val="17"/>
          <w:color w:val="auto"/>
        </w:rPr>
        <w:t>”), a newly formed fully-controlled subsidiary of Cybin created for the purposes of the acquisition (the “</w:t>
      </w:r>
      <w:r>
        <w:rPr>
          <w:rFonts w:ascii="Arial" w:cs="Arial" w:eastAsia="Arial" w:hAnsi="Arial"/>
          <w:sz w:val="17"/>
          <w:szCs w:val="17"/>
          <w:b w:val="1"/>
          <w:bCs w:val="1"/>
          <w:color w:val="auto"/>
        </w:rPr>
        <w:t>Adelia Transaction</w:t>
      </w:r>
      <w:r>
        <w:rPr>
          <w:rFonts w:ascii="Arial" w:cs="Arial" w:eastAsia="Arial" w:hAnsi="Arial"/>
          <w:sz w:val="17"/>
          <w:szCs w:val="17"/>
          <w:color w:val="auto"/>
        </w:rPr>
        <w:t>”), and all of the shareholders of Adelia Therapeutics Inc. (the “</w:t>
      </w:r>
      <w:r>
        <w:rPr>
          <w:rFonts w:ascii="Arial" w:cs="Arial" w:eastAsia="Arial" w:hAnsi="Arial"/>
          <w:sz w:val="17"/>
          <w:szCs w:val="17"/>
          <w:b w:val="1"/>
          <w:bCs w:val="1"/>
          <w:color w:val="auto"/>
        </w:rPr>
        <w:t>Adelia Shareholders</w:t>
      </w:r>
      <w:r>
        <w:rPr>
          <w:rFonts w:ascii="Arial" w:cs="Arial" w:eastAsia="Arial" w:hAnsi="Arial"/>
          <w:sz w:val="17"/>
          <w:szCs w:val="17"/>
          <w:color w:val="auto"/>
        </w:rPr>
        <w:t>”) whereby the Acquiror has agreed to purchase from the Adelia Shareholders all of the issued and outstanding common shares of Adelia (the “</w:t>
      </w:r>
      <w:r>
        <w:rPr>
          <w:rFonts w:ascii="Arial" w:cs="Arial" w:eastAsia="Arial" w:hAnsi="Arial"/>
          <w:sz w:val="17"/>
          <w:szCs w:val="17"/>
          <w:b w:val="1"/>
          <w:bCs w:val="1"/>
          <w:color w:val="auto"/>
        </w:rPr>
        <w:t>Adelia Shares</w:t>
      </w:r>
      <w:r>
        <w:rPr>
          <w:rFonts w:ascii="Arial" w:cs="Arial" w:eastAsia="Arial" w:hAnsi="Arial"/>
          <w:sz w:val="17"/>
          <w:szCs w:val="17"/>
          <w:color w:val="auto"/>
        </w:rPr>
        <w:t>”) in exchange for non-voting Class B common shares in the capital of the Acquiror (the “</w:t>
      </w:r>
      <w:r>
        <w:rPr>
          <w:rFonts w:ascii="Arial" w:cs="Arial" w:eastAsia="Arial" w:hAnsi="Arial"/>
          <w:sz w:val="17"/>
          <w:szCs w:val="17"/>
          <w:b w:val="1"/>
          <w:bCs w:val="1"/>
          <w:color w:val="auto"/>
        </w:rPr>
        <w:t>Class B Shares</w:t>
      </w:r>
      <w:r>
        <w:rPr>
          <w:rFonts w:ascii="Arial" w:cs="Arial" w:eastAsia="Arial" w:hAnsi="Arial"/>
          <w:sz w:val="17"/>
          <w:szCs w:val="17"/>
          <w:color w:val="auto"/>
        </w:rPr>
        <w:t>”). The Adelia Transaction closed on December 14, 2020 (the “</w:t>
      </w:r>
      <w:r>
        <w:rPr>
          <w:rFonts w:ascii="Arial" w:cs="Arial" w:eastAsia="Arial" w:hAnsi="Arial"/>
          <w:sz w:val="17"/>
          <w:szCs w:val="17"/>
          <w:b w:val="1"/>
          <w:bCs w:val="1"/>
          <w:color w:val="auto"/>
        </w:rPr>
        <w:t>Closing</w:t>
      </w:r>
      <w:r>
        <w:rPr>
          <w:rFonts w:ascii="Arial" w:cs="Arial" w:eastAsia="Arial" w:hAnsi="Arial"/>
          <w:sz w:val="17"/>
          <w:szCs w:val="17"/>
          <w:color w:val="auto"/>
        </w:rPr>
        <w: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the occurrence of certain milestones as set out in the Contribution Agreement (each a “</w:t>
      </w:r>
      <w:r>
        <w:rPr>
          <w:rFonts w:ascii="Arial" w:cs="Arial" w:eastAsia="Arial" w:hAnsi="Arial"/>
          <w:sz w:val="16"/>
          <w:szCs w:val="16"/>
          <w:b w:val="1"/>
          <w:bCs w:val="1"/>
          <w:color w:val="auto"/>
        </w:rPr>
        <w:t>Milestone</w:t>
      </w:r>
      <w:r>
        <w:rPr>
          <w:rFonts w:ascii="Arial" w:cs="Arial" w:eastAsia="Arial" w:hAnsi="Arial"/>
          <w:sz w:val="16"/>
          <w:szCs w:val="16"/>
          <w:color w:val="auto"/>
        </w:rPr>
        <w:t>”), the Acquiror will issue to the Adelia Shareholders in accordance with their pro rata percentage, on or before the 2nd business day following the relevant date at which Cybin issues a press release announcing the achievement of the Milestone (the “</w:t>
      </w:r>
      <w:r>
        <w:rPr>
          <w:rFonts w:ascii="Arial" w:cs="Arial" w:eastAsia="Arial" w:hAnsi="Arial"/>
          <w:sz w:val="16"/>
          <w:szCs w:val="16"/>
          <w:b w:val="1"/>
          <w:bCs w:val="1"/>
          <w:color w:val="auto"/>
        </w:rPr>
        <w:t>Milestone Determination Date</w:t>
      </w:r>
      <w:r>
        <w:rPr>
          <w:rFonts w:ascii="Arial" w:cs="Arial" w:eastAsia="Arial" w:hAnsi="Arial"/>
          <w:sz w:val="16"/>
          <w:szCs w:val="16"/>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$7.50; and (ii) ten times the greater of (x) the 10 day volume weighted average price of the Common Shares; and (y) the closing market price of the Common Shares,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assuming all Milestones are met prior to the applicable deadlines. As of the date of this MD&amp;A, 934,103 Class B Shares had been issued on the achievement of Milestones. Pursuant to the Contribution Agreement, Cybin, the Acquiror and the Adelia Shareholders also entered into a support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020"/>
          </w:cols>
          <w:pgMar w:left="440" w:top="274" w:right="439" w:bottom="1440" w:gutter="0" w:footer="0" w:header="0"/>
        </w:sectPr>
      </w:pPr>
    </w:p>
    <w:bookmarkStart w:id="66" w:name="page67"/>
    <w:bookmarkEnd w:id="66"/>
    <w:p>
      <w:pPr>
        <w:jc w:val="both"/>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dated December 14, 2020 (the “</w:t>
      </w:r>
      <w:r>
        <w:rPr>
          <w:rFonts w:ascii="Arial" w:cs="Arial" w:eastAsia="Arial" w:hAnsi="Arial"/>
          <w:sz w:val="16"/>
          <w:szCs w:val="16"/>
          <w:b w:val="1"/>
          <w:bCs w:val="1"/>
          <w:color w:val="auto"/>
        </w:rPr>
        <w:t>Support Agreement</w:t>
      </w:r>
      <w:r>
        <w:rPr>
          <w:rFonts w:ascii="Arial" w:cs="Arial" w:eastAsia="Arial" w:hAnsi="Arial"/>
          <w:sz w:val="16"/>
          <w:szCs w:val="16"/>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w:t>
      </w:r>
    </w:p>
    <w:p>
      <w:pPr>
        <w:spacing w:after="0" w:line="2" w:lineRule="exact"/>
        <w:rPr>
          <w:sz w:val="20"/>
          <w:szCs w:val="20"/>
          <w:color w:val="auto"/>
        </w:rPr>
      </w:pPr>
    </w:p>
    <w:p>
      <w:pPr>
        <w:jc w:val="both"/>
        <w:ind w:left="4" w:right="20" w:hanging="4"/>
        <w:spacing w:after="0" w:line="302" w:lineRule="auto"/>
        <w:tabs>
          <w:tab w:leader="none" w:pos="271" w:val="left"/>
        </w:tabs>
        <w:numPr>
          <w:ilvl w:val="0"/>
          <w:numId w:val="58"/>
        </w:numPr>
        <w:rPr>
          <w:rFonts w:ascii="Arial" w:cs="Arial" w:eastAsia="Arial" w:hAnsi="Arial"/>
          <w:sz w:val="16"/>
          <w:szCs w:val="16"/>
          <w:color w:val="auto"/>
        </w:rPr>
      </w:pPr>
      <w:r>
        <w:rPr>
          <w:rFonts w:ascii="Arial" w:cs="Arial" w:eastAsia="Arial" w:hAnsi="Arial"/>
          <w:sz w:val="16"/>
          <w:szCs w:val="16"/>
          <w:color w:val="auto"/>
        </w:rPr>
        <w:t>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5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On January 11, 2021, the Company announced the achievement of the first Milestone for the period commencing November 15, 2020, as contemplated by the terms of the Contribution Agreement. The achievement includes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w:t>
      </w:r>
    </w:p>
    <w:p>
      <w:pPr>
        <w:spacing w:after="0" w:line="187" w:lineRule="exact"/>
        <w:rPr>
          <w:sz w:val="20"/>
          <w:szCs w:val="20"/>
          <w:color w:val="auto"/>
        </w:rPr>
      </w:pPr>
    </w:p>
    <w:p>
      <w:pPr>
        <w:jc w:val="both"/>
        <w:ind w:left="4" w:right="20"/>
        <w:spacing w:after="0" w:line="296" w:lineRule="auto"/>
        <w:rPr>
          <w:sz w:val="20"/>
          <w:szCs w:val="20"/>
          <w:color w:val="auto"/>
        </w:rPr>
      </w:pPr>
      <w:r>
        <w:rPr>
          <w:rFonts w:ascii="Arial" w:cs="Arial" w:eastAsia="Arial" w:hAnsi="Arial"/>
          <w:sz w:val="16"/>
          <w:szCs w:val="16"/>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$686,306.31 due to them upon meeting certain Milestones.</w:t>
      </w:r>
    </w:p>
    <w:p>
      <w:pPr>
        <w:spacing w:after="0" w:line="16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On June 24, 2021 Adelia completed the remaining requirements of the second Milestone as listed in the Contribution Agreement. Accordingly, 15,777.10 Class B Shares were issued to the Adelia Shareholders, amounting to $458. The Class B Shares are exchangeable for a total of 157,771 Common Shares, representing an effective issue price of $2.90 per Common Share.</w:t>
      </w:r>
    </w:p>
    <w:p>
      <w:pPr>
        <w:spacing w:after="0" w:line="184"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As at June 30, 2021 and the date of this MD&amp;A, the Company does not have any off-balance sheet arrangements that have or are reasonably likely to have a current or future effect on the results of operations or financial condition of the Company.</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For the three-month period ended June 30, 2021, the key management personnel of the Company were the board of directors, the Chief Executive Officer, Chief Financial Officer, Chief Marketing Officer, Chief Medical Officer, Chief Legal Officer, Chief Innovation Officer, and Chief Scientific Officers.</w:t>
      </w:r>
    </w:p>
    <w:p>
      <w:pPr>
        <w:spacing w:after="0" w:line="18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Compensation for key management personnel of the Company for the three-month period ended June 30, 2021 consisted of consulting fees, short term benefits and other compensation of $3,276 (three-month period ended June 30, 2020 - $2,519).</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ind w:left="4"/>
        <w:spacing w:after="0" w:line="290" w:lineRule="auto"/>
        <w:rPr>
          <w:sz w:val="20"/>
          <w:szCs w:val="20"/>
          <w:color w:val="auto"/>
        </w:rPr>
      </w:pPr>
      <w:r>
        <w:rPr>
          <w:rFonts w:ascii="Arial" w:cs="Arial" w:eastAsia="Arial" w:hAnsi="Arial"/>
          <w:sz w:val="16"/>
          <w:szCs w:val="16"/>
          <w:color w:val="auto"/>
        </w:rPr>
        <w:t xml:space="preserve">The preparation of the Company’s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2020 annual consolidated financial statements found on SEDAR at </w:t>
      </w:r>
      <w:r>
        <w:rPr>
          <w:rFonts w:ascii="Arial" w:cs="Arial" w:eastAsia="Arial" w:hAnsi="Arial"/>
          <w:sz w:val="16"/>
          <w:szCs w:val="16"/>
          <w:u w:val="single" w:color="auto"/>
          <w:color w:val="auto"/>
        </w:rPr>
        <w:t>www.sedar.com</w:t>
      </w:r>
      <w:r>
        <w:rPr>
          <w:rFonts w:ascii="Arial" w:cs="Arial" w:eastAsia="Arial" w:hAnsi="Arial"/>
          <w:sz w:val="16"/>
          <w:szCs w:val="16"/>
          <w:color w:val="auto"/>
        </w:rPr>
        <w: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24"/>
          </w:cols>
          <w:pgMar w:left="436" w:top="270"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accounting standards and interpretations not yet adopted</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2020 annual consolidated financial statements found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and Chief Financial Officer (the “</w:t>
      </w:r>
      <w:r>
        <w:rPr>
          <w:rFonts w:ascii="Arial" w:cs="Arial" w:eastAsia="Arial" w:hAnsi="Arial"/>
          <w:sz w:val="18"/>
          <w:szCs w:val="18"/>
          <w:b w:val="1"/>
          <w:bCs w:val="1"/>
          <w:color w:val="auto"/>
        </w:rPr>
        <w:t>CFO</w:t>
      </w:r>
      <w:r>
        <w:rPr>
          <w:rFonts w:ascii="Arial" w:cs="Arial" w:eastAsia="Arial" w:hAnsi="Arial"/>
          <w:sz w:val="18"/>
          <w:szCs w:val="18"/>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89"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reasonable assurance that transactions are recorded as necessary to permit preparation of financial statements in accordance with applicable IFRS;</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of Directors of the Company; and</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June 30, 2021, the Company did not make any significant changes to its internal controls over financial reporting that would have materially affected, or reasonably likely to materially affect, its internal controls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020"/>
          </w:cols>
          <w:pgMar w:left="440" w:top="274"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Company has been filed electronically through SEDAR and is available online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the Company has approved the disclosure in this MD&amp;A.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July 8, 2021, the Company announced the scaling up of its European operations and research activities with various academic and clinical research organizations, including the transfer of its intellectual property assets to its recently formed wholly owned Ireland subsidiary, Cybin IRL Limited.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period from July 1, 2021 to August 13, 2021, holders of options and warrants exercised securities resulting in the issuance of 1,044,218 Common Shares for gross proceeds of approximately $1,862.</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August 5, 2021, the Common Shares commenced trading on the NYSE American LLC stock exchange (the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Concurrent with the commencement of trading on the NYSE American, the Common Shares ceased to be quoted on the OTCQB® Venture Market.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3, 2021, the Company closed its overnight marketed offering of 10,147,600 Common Shares at a price of $3.40 per Common Share (the “</w:t>
      </w:r>
      <w:r>
        <w:rPr>
          <w:rFonts w:ascii="Arial" w:cs="Arial" w:eastAsia="Arial" w:hAnsi="Arial"/>
          <w:sz w:val="16"/>
          <w:szCs w:val="16"/>
          <w:b w:val="1"/>
          <w:bCs w:val="1"/>
          <w:color w:val="auto"/>
        </w:rPr>
        <w:t>Issue Price</w:t>
      </w:r>
      <w:r>
        <w:rPr>
          <w:rFonts w:ascii="Arial" w:cs="Arial" w:eastAsia="Arial" w:hAnsi="Arial"/>
          <w:sz w:val="16"/>
          <w:szCs w:val="16"/>
          <w:color w:val="auto"/>
        </w:rPr>
        <w:t>”) for aggregate gross proceeds of $34,502 (the “</w:t>
      </w:r>
      <w:r>
        <w:rPr>
          <w:rFonts w:ascii="Arial" w:cs="Arial" w:eastAsia="Arial" w:hAnsi="Arial"/>
          <w:sz w:val="16"/>
          <w:szCs w:val="16"/>
          <w:b w:val="1"/>
          <w:bCs w:val="1"/>
          <w:color w:val="auto"/>
        </w:rPr>
        <w:t>Public Offering</w:t>
      </w:r>
      <w:r>
        <w:rPr>
          <w:rFonts w:ascii="Arial" w:cs="Arial" w:eastAsia="Arial" w:hAnsi="Arial"/>
          <w:sz w:val="16"/>
          <w:szCs w:val="16"/>
          <w:color w:val="auto"/>
        </w:rPr>
        <w:t>”) pursuant to a prospectus supplement to the Company’s short form base shelf prospectus dated July 5, 2021. The Public Offering was conducted by Cantor Fitzgerald Canada Corporation and Canaccord Genuity Corp., as joint bookrunners, co-led the syndicate of underwriters for the Public Offering, which included H.C. Wainwright &amp; Co., LLC, Roth Canada, ULC, and Stifel Nicolaus Canada Inc.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In consideration for their services, the Company paid to the Underwriters a cash commission equal to $2,240 and issued 658,860 compensation options of the Company (the “</w:t>
      </w:r>
      <w:r>
        <w:rPr>
          <w:rFonts w:ascii="Arial" w:cs="Arial" w:eastAsia="Arial" w:hAnsi="Arial"/>
          <w:sz w:val="16"/>
          <w:szCs w:val="16"/>
          <w:b w:val="1"/>
          <w:bCs w:val="1"/>
          <w:color w:val="auto"/>
        </w:rPr>
        <w:t>Compensation Options</w:t>
      </w:r>
      <w:r>
        <w:rPr>
          <w:rFonts w:ascii="Arial" w:cs="Arial" w:eastAsia="Arial" w:hAnsi="Arial"/>
          <w:sz w:val="16"/>
          <w:szCs w:val="16"/>
          <w:color w:val="auto"/>
        </w:rPr>
        <w:t>”), with each Compensation Option being exercisable to acquire one Common Share at the Issue Price for a period of 24 months from the closing date of the Public Offering. Following the completion of the Public Offering, and as of the date of this MD&amp;A, the Company has approximately $82,500 in cash and cash equivalents.</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August 12, 2021, Adelia completed a portion of certain milestones for Year 1 Q3 (i)-(iii) and Year 1 Q4 (i) and (iii), as contemplated by the terms of the Contribution Agreement. Accordingly, Class B Shares having an aggregate value of $633 became due to be issued to the Adelia Shareholders, at a price per share to be determined in accordance with the terms of the Contribution Agreement and applicable securities laws.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13, 2021, the Company entered into a settlement agreement with a former consultant (the “Agreement”). Pursuant to the Agreement, the Company amended the vesting criteria for 2,000,000 share purchase warrants issued on June 15, 2020, exercisable at a price of $0.25 per Common Share until June 15, 2022 (the “Purchase Warrants”) from performance based vesting to time-based vesting in accordance with the following schedule: 250,000 Purchase Warrants vesting on November 27, 2020; 250,000 Purchase Warrants vesting on February 27, 2021; 250,000 Purchase Warrants vesting on May 27, 2021; 250,000 Purchase Warrants vesting on August 27, 2021; 250,000 Purchase Warrants vesting on November 27, 2021; 250,000 Purchase Warrants vesting on February 27, 2022; and 500,000 Purchase Warrants vesting on May 27, 2022. This amendment to the vesting criteria of the Purchase Warrant has resulted in a change in the forfeiture 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risks described herein, reference is made to the section entitled “Risk Factors” in the AIF, which is incorporated herein by reference. The risks described herein are not the only risks faced by the Company and securityholders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020"/>
          </w:cols>
          <w:pgMar w:left="440" w:top="274"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Related to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 Additional information on the risks, assumptions and uncertainties can be found in this MD&amp;A under the heading “Cautionary Note Regarding Forward-Looking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Dilution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need for Additional Financing</w:t>
      </w:r>
    </w:p>
    <w:p>
      <w:pPr>
        <w:spacing w:after="0" w:line="11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continued development of the Company will require additional financing. The Company’s activities do have scope for flexibility in terms of the amount and timing of expenditures, and expenditures may be adjusted accordingly. However, further operations will require additional capital and will depend on the Company’s ability to obtain financing through debt, equity or other means. The Company’s ability to meet its obligations and maintain operations may be contingent upon successful completion of additional financing arrangements. There is no assurance that the Company will be successful in obtaining the required financing in the future or that such financing will be available on terms acceptable to the Company. In addition, any future financing may also be dilutive to existing shareholders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operating cash flow and going concern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There is no assurance that sufficient revenues will be generated in the near future.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Company as those previously obtained, or at all. The Company’s ability to successfully raise additional capital and maintain liquidity may by impaired by factors outside of its control, such as a shift in consumer attitudes towards certain therapeutic methods or a downturn in the economy.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inclusion in the Company’s financial statements of a going concern opinion may negatively impact the Company’s ability to raise future financing and achieve future revenue. 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you could lose all or part of your investment. The Company’s financial statements do not include any adjustments to the Company’s recorded assets or liabilities that might be necessary if the Company becomes unable to continue as a going concern.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Discretion over the Use of Proceeds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results and the effectiveness of the application of the net proceeds are uncertain. If the net proceeds are not applied effectively, the Company’s business, prospects, financial position, financial condition or results of operations may suffer.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020"/>
          </w:cols>
          <w:pgMar w:left="440" w:top="270"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of Growth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Common Shares are Subject to Market Price Volatility</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price of the Common Shares may be adversely affected by a variety of factors relating to the Company’s business, including fluctuations in the Company’s operating and financial results, the results of any public announcements made by the Company and the Company’s failure to meet analysts’ expectations. In addition, from time to time, the stock market experiences significant price and volume volatility that may affect the market price of the Common Shares for reasons unrelated to the Company’s performance. Additionally, the value of the Common Shares is subject to market value fluctuations based upon factors that influence the Company’s operations, such as legislative or regulatory developments, competition, technological change, global capital market activity and changes in interest and currency rates. There can be no assurance that the market price of the Common Shares will not experience significant fluctuations in the future, including fluctuations that are unrelated to the Company’s performance.</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value of Common Shares will be affected by the general creditworthiness of the Company. The AIF discusses, among other things, known material trends and events, and risks or uncertainties that are reasonably expected to have a material effect on the Company’s business, financial condition or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value of the Common Shares may also be affected by the Company’s financial results and political, economic, financial and other factors that can affect the capital markets generally, the stock exchanges on which the Common Shares are traded and the market segment of which the Company is a part.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History of Payment of Cash Dividends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has never declared or paid cash dividends on the Common Shares. The Company intends to retain future earnings to finance the operation, development and expansion of the business. The Company does not anticipate paying cash dividends on the Common Shares in the foreseeable future. Payment of future cash dividends, if any, will be at the discretion of its board of directors and will depend on the Company’s financial condition, results of operations, contractual restrictions, capital requirements, business prospects and other factors that the board considers relevant.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Research and Development Milestones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is no assurance that the Company’s anticipated milestones will be achieved within the time periods specified, or at all. The failure to achieve these milestones could negatively impact the Company’s ability to raise additional funds required for operations and research and development activities, and could, in turn, impact the financial viability of the Company. There is also no assurance that the Company’s research and development activities will continue to result in commercially viable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Coronavirus “COVID-19”</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 activities, and could impair the Company’s ability to raise funds depending on COVID-19s effect on capital markets.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020"/>
          </w:cols>
          <w:pgMar w:left="440" w:top="274" w:right="439" w:bottom="1440" w:gutter="0" w:footer="0" w:header="0"/>
        </w:sectPr>
      </w:pPr>
    </w:p>
    <w:bookmarkStart w:id="71" w:name="page72"/>
    <w:bookmarkEnd w:id="71"/>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 uncertainty as to probability, severity and duration. The Company has attempted to assess the impact of the pandemic by identifying risks in the following principle areas:</w:t>
      </w:r>
    </w:p>
    <w:p>
      <w:pPr>
        <w:spacing w:after="0" w:line="88" w:lineRule="exact"/>
        <w:rPr>
          <w:sz w:val="20"/>
          <w:szCs w:val="20"/>
          <w:color w:val="auto"/>
        </w:rPr>
      </w:pPr>
    </w:p>
    <w:p>
      <w:pPr>
        <w:jc w:val="both"/>
        <w:ind w:left="960" w:right="20" w:hanging="532"/>
        <w:spacing w:after="0" w:line="303" w:lineRule="auto"/>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Mandatory Closure. </w:t>
      </w:r>
      <w:r>
        <w:rPr>
          <w:rFonts w:ascii="Arial" w:cs="Arial" w:eastAsia="Arial" w:hAnsi="Arial"/>
          <w:sz w:val="16"/>
          <w:szCs w:val="16"/>
          <w:color w:val="auto"/>
        </w:rPr>
        <w:t>In response to the pandemic, many provinces, states and localities have implemented mandatory shut-downs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56" w:lineRule="exact"/>
        <w:rPr>
          <w:rFonts w:ascii="Arial" w:cs="Arial" w:eastAsia="Arial" w:hAnsi="Arial"/>
          <w:sz w:val="16"/>
          <w:szCs w:val="16"/>
          <w:color w:val="auto"/>
        </w:rPr>
      </w:pPr>
    </w:p>
    <w:p>
      <w:pPr>
        <w:jc w:val="both"/>
        <w:ind w:left="960" w:hanging="532"/>
        <w:spacing w:after="0" w:line="261"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Research and Development Disruptions</w:t>
      </w:r>
      <w:r>
        <w:rPr>
          <w:rFonts w:ascii="Arial" w:cs="Arial" w:eastAsia="Arial" w:hAnsi="Arial"/>
          <w:sz w:val="18"/>
          <w:szCs w:val="18"/>
          <w:color w:val="auto"/>
        </w:rPr>
        <w:t>. The Company relies on a third parties for its research and development activities. If these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spacing w:after="0" w:line="85" w:lineRule="exact"/>
        <w:rPr>
          <w:rFonts w:ascii="Arial" w:cs="Arial" w:eastAsia="Arial" w:hAnsi="Arial"/>
          <w:sz w:val="18"/>
          <w:szCs w:val="18"/>
          <w:color w:val="auto"/>
        </w:rPr>
      </w:pPr>
    </w:p>
    <w:p>
      <w:pPr>
        <w:jc w:val="both"/>
        <w:ind w:left="960" w:hanging="532"/>
        <w:spacing w:after="0" w:line="25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Staffing Disruption</w:t>
      </w:r>
      <w:r>
        <w:rPr>
          <w:rFonts w:ascii="Arial" w:cs="Arial" w:eastAsia="Arial" w:hAnsi="Arial"/>
          <w:sz w:val="18"/>
          <w:szCs w:val="18"/>
          <w:color w:val="auto"/>
        </w:rPr>
        <w:t>. The Company is, for the time being, implementing among its staff where feasible “social distancing”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recommended 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w:t>
      </w:r>
    </w:p>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Company’s ability to generate revenue.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9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020"/>
          </w:cols>
          <w:pgMar w:left="440" w:top="274" w:right="439" w:bottom="1440" w:gutter="0" w:footer="0" w:header="0"/>
        </w:sectPr>
      </w:pPr>
    </w:p>
    <w:bookmarkStart w:id="72" w:name="page73"/>
    <w:bookmarkEnd w:id="72"/>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“Safety and Efficacy of Products”, “Completion of Clinical Trials”, and “Nature of Regulatory Approvals” as discussed under this heading “Risk Factors” for further disclosure of risks and events that may affect the timing of certain events the Company may announce.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MOH, the FDA,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MOH or FDA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020"/>
          </w:cols>
          <w:pgMar w:left="440" w:top="274" w:right="439" w:bottom="1440" w:gutter="0" w:footer="0" w:header="0"/>
        </w:sectPr>
      </w:pPr>
    </w:p>
    <w:bookmarkStart w:id="73" w:name="page74"/>
    <w:bookmarkEnd w:id="73"/>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business relies on its ability to access, develop, and sell psilocybin. Psilocybin is a controlled substance in many jurisdictions, including in Canada under Schedule III of the </w:t>
      </w:r>
      <w:r>
        <w:rPr>
          <w:rFonts w:ascii="Arial" w:cs="Arial" w:eastAsia="Arial" w:hAnsi="Arial"/>
          <w:sz w:val="18"/>
          <w:szCs w:val="18"/>
          <w:i w:val="1"/>
          <w:iCs w:val="1"/>
          <w:color w:val="auto"/>
        </w:rPr>
        <w:t>Controlled Drugs and Substances Act</w:t>
      </w:r>
      <w:r>
        <w:rPr>
          <w:rFonts w:ascii="Arial" w:cs="Arial" w:eastAsia="Arial" w:hAnsi="Arial"/>
          <w:sz w:val="18"/>
          <w:szCs w:val="18"/>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CDSA and the </w:t>
      </w:r>
      <w:r>
        <w:rPr>
          <w:rFonts w:ascii="Arial" w:cs="Arial" w:eastAsia="Arial" w:hAnsi="Arial"/>
          <w:sz w:val="16"/>
          <w:szCs w:val="16"/>
          <w:i w:val="1"/>
          <w:iCs w:val="1"/>
          <w:color w:val="auto"/>
        </w:rPr>
        <w:t>Controlled Substances Import and Export Act</w:t>
      </w:r>
      <w:r>
        <w:rPr>
          <w:rFonts w:ascii="Arial" w:cs="Arial" w:eastAsia="Arial" w:hAnsi="Arial"/>
          <w:sz w:val="16"/>
          <w:szCs w:val="16"/>
          <w:color w:val="auto"/>
        </w:rPr>
        <w:t xml:space="preserve"> and as such, medical and recreational use is illegal under the U.S. federal laws. 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Company’s operations.</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the Company’s business is dependent on the reform of controlled substances laws pertaining to psilocybin. If controlled substances laws are not favourably reformed in Canada, the United States, and other global jurisdictions, including Jamaica, the commercial opportunity that the Company is pursuing may be highly limited.</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makes no medical, treatment or health benefit claims about the Company’s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Company has not conducted clinical trials for the use of its proposed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020"/>
          </w:cols>
          <w:pgMar w:left="440" w:top="274" w:right="439" w:bottom="1440" w:gutter="0" w:footer="0" w:header="0"/>
        </w:sectPr>
      </w:pPr>
    </w:p>
    <w:bookmarkStart w:id="74" w:name="page75"/>
    <w:bookmarkEnd w:id="74"/>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84"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Company could be subject to fines and penalties, including under administrative, civil and criminal laws for violating U.S. laws and regulations, and the Company’s products could be banned or subject to recall from the marketplace. The Company could also be subject to possible business and consumer claims under applicable statutory, product liability and common laws.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Jamaican Operations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Unlike in Canada and the United States, psilocybin mushrooms are not an illegal drug under Jamaica’s </w:t>
      </w:r>
      <w:r>
        <w:rPr>
          <w:rFonts w:ascii="Arial" w:cs="Arial" w:eastAsia="Arial" w:hAnsi="Arial"/>
          <w:sz w:val="18"/>
          <w:szCs w:val="18"/>
          <w:i w:val="1"/>
          <w:iCs w:val="1"/>
          <w:color w:val="auto"/>
        </w:rPr>
        <w:t>Dangerous Drugs</w:t>
      </w:r>
      <w:r>
        <w:rPr>
          <w:rFonts w:ascii="Arial" w:cs="Arial" w:eastAsia="Arial" w:hAnsi="Arial"/>
          <w:sz w:val="18"/>
          <w:szCs w:val="18"/>
          <w:color w:val="auto"/>
        </w:rPr>
        <w:t xml:space="preserve"> Act, 1948, therefore research on psilocybin mushrooms is not in contravention of the laws of Jamaica and does not require any permit or authorization from the regulatory authorities in Jamaica.</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Any future decision to regulate psilocybin in Jamaica could have a material adverse effect on the business, financial condition and operating results of the Company. Should there occur a future decision in Jamaica to regulate psilocybin, the Company cannot predict the time required to secure all appropriate regulatory approvals for its products, or the extent of testing and documentation that may be required by governmental authorities in Jamaica. The impact of future compliance regimes in Jamaica and any potential delays in obtaining, or failure to obtain, possible regulatory approvals could have a material adverse effect on the business, financial condition and operating results of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Market Risks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operations in Jamaica, an emerging market country, and may have future operations in additional emerging markets. Such operations expose the Company to the socio-economic conditions as well as the laws governing the activities of the Company in Jamaica and any other jurisdiction where the Company may have operations in the future. Inherent risks with conducting foreign operations include, but are not limited to: high rates of inflation; extreme fluctuations in currency exchange rates, military repression; war or civil war; social and labour unrest; organized crime; hostage taking; terrorism; violent crime; expropriation and nationalization; renegotiation or nullification of existing licences, approvals, permits and contracts; changes in taxation policies; restrictions on foreign exchange and repatriation; and changing political norms, banking and currency controls and governmental regulations that favour or require the Company to award contracts in, employ citizens of, or purchase supplies from, the jurisdiction.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Jamaican government, or other governments in emerging markets where the Company may have operations in the future, may intervene in its economies, sometimes frequently, and occasionally make significant changes in policies and regulations. Changes, if any, in the research, cultivation and development of psilocybin mushroom and other botanicals policies or shifts in political attitude in Jamaica or other countries where the Company may have operations in the future may adversely affect its operations or profitability. Operations may be affected in varying degrees by government regulations with respect to, but not limited to, restrictions on production, price controls, export controls, currency remittance, importation of product and supplies, income and other taxes, royalties, the repatriation of profits, expropriation of property, foreign investment, maintenance of licences, approvals and permits, environmental matters, land use, land claims of local people, water use and workplace safety. Failure to comply strictly with applicable laws, regulations and local practices could materially impact the Company’s operations in Jamaica or other countries where the Company may have operations in the future. The Company continues to monitor developments and policies in Jamaica to assess the impact thereof to its operations or future operations; however, such developments cannot be predicted and could have an adverse effect on the Company’s operations in Jamaica.</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Jamaica has a history of economic instability (such as inflation or recession). In 2013, Jamaica launched an ambitious reform program to stabilize the economy, reduce debt, and fuel growth, gaining national and international support. While there is no current political instability, and historically there has been no change in laws and regulations, this is subject to change in the future and could adversely affect the Company’s business, financial condition and results of operations. Jamaica is vulnerable to natural disasters such as hurricanes and flooding and the effects of climate change. It is an upper middle-income economy that is nevertheless struggling due to low growth, high public debt, and exposure to external shocks.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020"/>
          </w:cols>
          <w:pgMar w:left="440" w:top="274" w:right="439" w:bottom="1440" w:gutter="0" w:footer="0" w:header="0"/>
        </w:sectPr>
      </w:pPr>
    </w:p>
    <w:bookmarkStart w:id="75" w:name="page76"/>
    <w:bookmarkEnd w:id="75"/>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economic crises could negatively affect investor confidence in emerging markets or the economies of emerging markets, including Jamaica. Such events could materially and adversely affect the Company’s clinical trials, business, financial condition and results of operations.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and securities markets in Jamaica are influenced by the economic and market conditions in other countries, including other emerging market countries and other global markets. Although economic conditions in these countries may differ significantly from economic conditions in Jamaica, investors’ reactions to developments in these other countries, such as the recent developments in the global financial markets, may substantially affect the capital flows into Jamaica and the market value of the securities of the Company.</w:t>
      </w:r>
    </w:p>
    <w:p>
      <w:pPr>
        <w:spacing w:after="0" w:line="18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legal and regulatory requirements and local business culture and practices in Jamaica and the foreign countries in which the Company may expand are different from those in which it currently operates. The officers and directors of the Company will rely, to a great extent, on the Company’s local legal counsel in order to ensure compliance with material legal, regulatory and governmental developments as they pertain to and affect the Company’s operations, particularly with respect to psilocybin or related operations. Increased compliance costs may be incurred by the Company. Further, there can be no assurance that the Company will develop a marketable product or service in Jamaica or any other foreign country. These factors may have a material adverse effect on the Company’s research and development business and the results of its research and development operations.</w:t>
      </w:r>
    </w:p>
    <w:p>
      <w:pPr>
        <w:spacing w:after="0" w:line="16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the event of a dispute arising in connection with the Company’s operations in Jamaica or another a foreign jurisdiction where the Company may conduct business, the Company may be subject to the exclusive jurisdiction of foreign courts or may not be successful in subjecting foreign persons to the jurisdictions of the courts of Canada or enforcing Canadian judgments in such other jurisdictions. The Company may also be hindered or prevented from enforcing its rights with respect to a governmental instrumentality because of the doctrine of sovereign immunity. Accordingly, the Company’s activities in foreign jurisdictions could be substantially affected by factors beyond the Company’s control.</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risks include the potential for fraud and corruption by suppliers or personnel or government officials which may implicate the Company, compliance with applicable anti-corruption laws, including the Corruption of Foreign Public Officials Act (Canada) by virtue of the Company’s operating in jurisdictions that may be vulnerable to the possibility of bribery, collusion, kickbacks, theft, improper commissions, facilitation payments, conflicts of interest and related party transactions and the Company’s possible failure to identify, manage and mitigate instances of fraud, corruption, or violations applicable regulatory requirements.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mitigate risk when operating in Jamaica, the Company may, in part, engage local counsel and/or consultants to advise on applicable regulatory and/or operational matters, as applicable, and it is anticipated that the Company’s personnel will visit local operations as required to maintain regular involvement in such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be heavily reliant on the production and distribution of psychedelics, nutraceuticals and related products. If they do not achieve sufficient market acceptance, it will be difficult for the Company to achieve profitability.</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Company’s revenue will be derived almost exclusively from sales of psychedelic pharmaceutical and nutraceutical-based products, and the Company expects that its psychedelic pharmaceutical and nutraceutical-based products will account for substantially all of its revenue for the foreseeable future. If the psychedelic pharmaceutical and nutraceutical market declines or psychedelics and nutraceuticals fail to achieve substantially greater market acceptance than it currently enjoys, the Company will not be able to grow its revenues sufficiently for it to achieve consistent profitability.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020"/>
          </w:cols>
          <w:pgMar w:left="440" w:top="274" w:right="439" w:bottom="1440" w:gutter="0" w:footer="0" w:header="0"/>
        </w:sectPr>
      </w:pPr>
    </w:p>
    <w:bookmarkStart w:id="76" w:name="page77"/>
    <w:bookmarkEnd w:id="7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 if products to be distributed by the Company conform to international safety and quality standards, sales could be adversely affected if consumers in target markets lose confidence in the safety, efficacy, and quality of psychedelic pharmaceutical and nutraceutical-based products. Adverse publicity about psychedelic pharmaceutical and nutraceutical-based products that the Company sells may discourage consumers from buying products distributed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11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020"/>
          </w:cols>
          <w:pgMar w:left="440" w:top="274" w:right="439" w:bottom="1440" w:gutter="0" w:footer="0" w:header="0"/>
        </w:sectPr>
      </w:pPr>
    </w:p>
    <w:bookmarkStart w:id="77" w:name="page78"/>
    <w:bookmarkEnd w:id="77"/>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the foregoing, the success of the Company’s business will depend, in large part, on the Company’s ability to enter into, and maintain collaborative arrangements with various participants in the psychedelic pharmaceutical and nutraceutical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limited manufacturing experience and relies on contract manufacturing organizations (“</w:t>
      </w:r>
      <w:r>
        <w:rPr>
          <w:rFonts w:ascii="Arial" w:cs="Arial" w:eastAsia="Arial" w:hAnsi="Arial"/>
          <w:sz w:val="16"/>
          <w:szCs w:val="16"/>
          <w:b w:val="1"/>
          <w:bCs w:val="1"/>
          <w:color w:val="auto"/>
        </w:rPr>
        <w:t>CMOs</w:t>
      </w:r>
      <w:r>
        <w:rPr>
          <w:rFonts w:ascii="Arial" w:cs="Arial" w:eastAsia="Arial" w:hAnsi="Arial"/>
          <w:sz w:val="16"/>
          <w:szCs w:val="16"/>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Health Canada and the FDA, in Canada and the U.S., respectively,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or other regulatory authorities, resulting in the Company being unable to derive any commercial revenue from them after investing significant amounts of capital in their development.</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020"/>
          </w:cols>
          <w:pgMar w:left="440" w:top="274" w:right="439" w:bottom="1440" w:gutter="0" w:footer="0" w:header="0"/>
        </w:sectPr>
      </w:pPr>
    </w:p>
    <w:bookmarkStart w:id="78" w:name="page79"/>
    <w:bookmarkEnd w:id="78"/>
    <w:p>
      <w:pPr>
        <w:jc w:val="both"/>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76" w:lineRule="exact"/>
        <w:rPr>
          <w:sz w:val="20"/>
          <w:szCs w:val="20"/>
          <w:color w:val="auto"/>
        </w:rPr>
      </w:pPr>
    </w:p>
    <w:p>
      <w:pPr>
        <w:ind w:left="2080" w:hanging="653"/>
        <w:spacing w:after="0"/>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130"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w:t>
      </w:r>
    </w:p>
    <w:p>
      <w:pPr>
        <w:spacing w:after="0" w:line="75"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spacing w:after="0" w:line="75"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spacing w:after="0" w:line="75" w:lineRule="exact"/>
        <w:rPr>
          <w:rFonts w:ascii="Arial" w:cs="Arial" w:eastAsia="Arial" w:hAnsi="Arial"/>
          <w:sz w:val="18"/>
          <w:szCs w:val="18"/>
          <w:color w:val="auto"/>
        </w:rPr>
      </w:pPr>
    </w:p>
    <w:p>
      <w:pPr>
        <w:jc w:val="both"/>
        <w:ind w:left="2080" w:right="20" w:hanging="653"/>
        <w:spacing w:after="0" w:line="263" w:lineRule="auto"/>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89" w:lineRule="exact"/>
        <w:rPr>
          <w:rFonts w:ascii="Arial" w:cs="Arial" w:eastAsia="Arial" w:hAnsi="Arial"/>
          <w:sz w:val="18"/>
          <w:szCs w:val="18"/>
          <w:color w:val="auto"/>
        </w:rPr>
      </w:pPr>
    </w:p>
    <w:p>
      <w:pPr>
        <w:ind w:left="2080" w:hanging="653"/>
        <w:spacing w:after="0"/>
        <w:tabs>
          <w:tab w:leader="none" w:pos="2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failure of the Company’s contract research organizations to satisfy their contractual duties or meet expected deadlines;</w:t>
      </w:r>
    </w:p>
    <w:p>
      <w:pPr>
        <w:spacing w:after="0" w:line="142" w:lineRule="exact"/>
        <w:rPr>
          <w:rFonts w:ascii="Arial" w:cs="Arial" w:eastAsia="Arial" w:hAnsi="Arial"/>
          <w:sz w:val="17"/>
          <w:szCs w:val="17"/>
          <w:color w:val="auto"/>
        </w:rPr>
      </w:pPr>
    </w:p>
    <w:p>
      <w:pPr>
        <w:ind w:left="2080" w:hanging="653"/>
        <w:spacing w:after="0"/>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spacing w:after="0" w:line="130" w:lineRule="exact"/>
        <w:rPr>
          <w:rFonts w:ascii="Arial" w:cs="Arial" w:eastAsia="Arial" w:hAnsi="Arial"/>
          <w:sz w:val="18"/>
          <w:szCs w:val="18"/>
          <w:color w:val="auto"/>
        </w:rPr>
      </w:pPr>
    </w:p>
    <w:p>
      <w:pPr>
        <w:ind w:left="2080" w:right="20" w:hanging="653"/>
        <w:spacing w:after="0" w:line="342" w:lineRule="auto"/>
        <w:tabs>
          <w:tab w:leader="none" w:pos="2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29" w:lineRule="exact"/>
        <w:rPr>
          <w:rFonts w:ascii="Arial" w:cs="Arial" w:eastAsia="Arial" w:hAnsi="Arial"/>
          <w:sz w:val="16"/>
          <w:szCs w:val="16"/>
          <w:color w:val="auto"/>
        </w:rPr>
      </w:pPr>
    </w:p>
    <w:p>
      <w:pPr>
        <w:ind w:left="2080" w:right="20" w:hanging="653"/>
        <w:spacing w:after="0" w:line="277" w:lineRule="auto"/>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020"/>
          </w:cols>
          <w:pgMar w:left="440" w:top="274" w:right="439" w:bottom="1440" w:gutter="0" w:footer="0" w:header="0"/>
        </w:sectPr>
      </w:pPr>
    </w:p>
    <w:bookmarkStart w:id="79" w:name="page80"/>
    <w:bookmarkEnd w:id="79"/>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commencing clinical trials in Canada, the United States or other jurisdictions, including Jamaica, for any prescription drug product candidates developed by the Company, it may be required to have an allowed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1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development and commercialization activities and prescription drug product candidates are significantly regulated by a number of governmental entities, including Health Canada and the FDA.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020"/>
          </w:cols>
          <w:pgMar w:left="440" w:top="274" w:right="439" w:bottom="1440" w:gutter="0" w:footer="0" w:header="0"/>
        </w:sectPr>
      </w:pPr>
    </w:p>
    <w:bookmarkStart w:id="80" w:name="page81"/>
    <w:bookmarkEnd w:id="80"/>
    <w:p>
      <w:pPr>
        <w:jc w:val="both"/>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MOH, the FDA or other regulatory authorities may impose a risk evaluation and mitigation strategy, thereby imposing certain restrictions on the sale and marketability of such products.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 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believes the psychedelic pharmaceutical and nutraceutical industry is highly dependent upon consumer perception regarding the safety, efficacy and quality of psychedelic pharmaceutical and nutraceutical products. Consumer perception of the Company’s psychedelic pharmaceutical and nutraceutical products can be significantly influenced by scientific research or findings, regulatory investigations, litigation, media attention and other publicity regarding the consumption of psychedelics and nutraceuticals. There can be no assurance that future scientific research, findings, regulatory proceedings, litigation, media attention or other research findings or publicity will be favourable to the psychedelic pharmaceutical and nutraceutical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or nutraceutical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or nutraceutical products, and the business, results of operations, financial condition and cash flows of the Company. Further, adverse publicity reports or other media attention regarding the safety, efficacy and quality of psychedelic or nutraceutical products in general, or the Company’s psychedelic or nutraceutical products and services specifically or associating the consumption of psychedelics or nutraceuticals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8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psilocybin and nutraceutical industry is highly dependent upon consumer perception regarding the medical benefits, safety, efficacy and quality of the psilocybin and nutraceuticals distributed for medical purposes to such consumers. There can be no assurance that future scientific research or findings on the medical benefits, viability, safety, efficacy and dosing of psilocybin or isolated constituents and/or nutraceuticals, regulatory proceedings, litigation, media attention or other research findings or publicity will be favourable to the industry or the Company or any particular product, or consistent with earlier publicity.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020"/>
          </w:cols>
          <w:pgMar w:left="440" w:top="274"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Social Media</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9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77" w:lineRule="exact"/>
        <w:rPr>
          <w:sz w:val="20"/>
          <w:szCs w:val="20"/>
          <w:color w:val="auto"/>
        </w:rPr>
      </w:pPr>
    </w:p>
    <w:p>
      <w:pPr>
        <w:ind w:left="2080" w:right="20" w:hanging="653"/>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spacing w:after="0" w:line="75"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ability to develop and maintain a competitive position in the product categories and technologies on which it focuses;</w:t>
      </w:r>
    </w:p>
    <w:p>
      <w:pPr>
        <w:spacing w:after="0" w:line="75"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time it takes for the Company’s prescription drug product candidates to complete clinical development and receive marketing approval;</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Company’s ability to commercialize any of its prescription drug product candidates that receive regulatory approval;</w:t>
      </w:r>
    </w:p>
    <w:p>
      <w:pPr>
        <w:spacing w:after="0" w:line="142" w:lineRule="exact"/>
        <w:rPr>
          <w:rFonts w:ascii="Arial" w:cs="Arial" w:eastAsia="Arial" w:hAnsi="Arial"/>
          <w:sz w:val="17"/>
          <w:szCs w:val="17"/>
          <w:color w:val="auto"/>
        </w:rPr>
      </w:pPr>
    </w:p>
    <w:p>
      <w:pPr>
        <w:ind w:left="2080" w:right="20" w:hanging="653"/>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ability to establish, maintain and protect intellectual property rights related to its prescription drug product candidates; and</w:t>
      </w:r>
    </w:p>
    <w:p>
      <w:pPr>
        <w:spacing w:after="0" w:line="75"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020"/>
          </w:cols>
          <w:pgMar w:left="440" w:top="274"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Reliance on Key Executives and Scientists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and the FDA regulations, provide accurate information to Health Canada and the FDA,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020"/>
          </w:cols>
          <w:pgMar w:left="440" w:top="274" w:right="439" w:bottom="1440" w:gutter="0" w:footer="0" w:header="0"/>
        </w:sectPr>
      </w:pPr>
    </w:p>
    <w:bookmarkStart w:id="83" w:name="page84"/>
    <w:bookmarkEnd w:id="83"/>
    <w:p>
      <w:pPr>
        <w:jc w:val="both"/>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food products and nutraceuticals.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020"/>
          </w:cols>
          <w:pgMar w:left="440" w:top="274" w:right="439" w:bottom="1440" w:gutter="0" w:footer="0" w:header="0"/>
        </w:sectPr>
      </w:pPr>
    </w:p>
    <w:bookmarkStart w:id="84" w:name="page85"/>
    <w:bookmarkEnd w:id="84"/>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and nutraceutical industry. A failure in the demand for the Company’s psychedelic pharmaceutical and nutraceutical industry products to materialize as a result of competition, technological change or other factors could have a material adverse effect on the business, results of operations and financial condition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Promoting the Company’s brand will be critical to creating and expanding a customer base. Promoting the brand will depend largely on the Company’s ability to provide psychedelic pharmaceutical and nutraceutical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Canadian FDA and Canadian Regulations, among other things, govern the manufacture, formulation, packaging, labeling, advertising and sale of Natural health products and drugs, and regulate what may be represented on labels and in promotional materials regarding the claimed properties of products. The Company’s expected nutraceutical products will be considered “food” and, as such, will be principally regulated under the Canadian FDA and the Canadian Regulations. The Company must ensure that the labelling, marketing and selling of any of its products comply with the Canadian FDA, including by ensuring that the Company’s products are not packaged or marketed in a manner that is misleading or deceptive to a consumer.</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Company’s psychedelic pharmaceutical and nutraceutical products are not perceived to have the effects intended by the end user, the Company’s business may suffer. In general, psychedelic pharmaceutical and nutraceutical products have minimal long-term data with respect to efficacy, unknown side effects and/or interaction with individual human biochemistry or other supplements or medications. As a result, the Company’s psychedelic pharmaceutical and nutraceutical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020"/>
          </w:cols>
          <w:pgMar w:left="440" w:top="274" w:right="439" w:bottom="1440" w:gutter="0" w:footer="0" w:header="0"/>
        </w:sectPr>
      </w:pPr>
    </w:p>
    <w:bookmarkStart w:id="85" w:name="page86"/>
    <w:bookmarkEnd w:id="85"/>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020"/>
          </w:cols>
          <w:pgMar w:left="440" w:top="274" w:right="439" w:bottom="1440" w:gutter="0" w:footer="0" w:header="0"/>
        </w:sectPr>
      </w:pPr>
    </w:p>
    <w:bookmarkStart w:id="86" w:name="page87"/>
    <w:bookmarkEnd w:id="86"/>
    <w:p>
      <w:pPr>
        <w:jc w:val="both"/>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to operations carried out in Canada, the Company intends to carry out international operations through an office in Jamaica.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020"/>
          </w:cols>
          <w:pgMar w:left="440" w:top="274" w:right="439" w:bottom="1440" w:gutter="0" w:footer="0" w:header="0"/>
        </w:sectPr>
      </w:pPr>
    </w:p>
    <w:bookmarkStart w:id="87" w:name="page88"/>
    <w:bookmarkEnd w:id="87"/>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6"/>
          <w:szCs w:val="16"/>
          <w:i w:val="1"/>
          <w:iCs w:val="1"/>
          <w:color w:val="auto"/>
        </w:rPr>
        <w:t>Personal Information Protection and Electronics Documents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(Canada) (“</w:t>
      </w:r>
      <w:r>
        <w:rPr>
          <w:rFonts w:ascii="Arial" w:cs="Arial" w:eastAsia="Arial" w:hAnsi="Arial"/>
          <w:sz w:val="16"/>
          <w:szCs w:val="16"/>
          <w:b w:val="1"/>
          <w:bCs w:val="1"/>
          <w:color w:val="auto"/>
        </w:rPr>
        <w:t>PIPEDA</w:t>
      </w:r>
      <w:r>
        <w:rPr>
          <w:rFonts w:ascii="Arial" w:cs="Arial" w:eastAsia="Arial" w:hAnsi="Arial"/>
          <w:sz w:val="16"/>
          <w:szCs w:val="16"/>
          <w:color w:val="auto"/>
        </w:rPr>
        <w:t>”) and where applicable, provincial legislation governing personal health information, protect medical records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Amendments to current laws, regulations and permits governing the production of cannabis oil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020"/>
          </w:cols>
          <w:pgMar w:left="440" w:top="274" w:right="4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Corporation’s patents may be invalidated (although at this time the Company does not have any issued patents). The Company could also become involved in interference or impeachment proceedings in connection with one or more of its patents or patent applications to determine priority of invention.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8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020"/>
          </w:cols>
          <w:pgMar w:left="440" w:top="274" w:right="439" w:bottom="1440" w:gutter="0" w:footer="0" w:header="0"/>
        </w:sectPr>
      </w:pPr>
    </w:p>
    <w:bookmarkStart w:id="89" w:name="page90"/>
    <w:bookmarkEnd w:id="89"/>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Protection of Intellectual Property</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117" w:lineRule="exact"/>
        <w:rPr>
          <w:sz w:val="20"/>
          <w:szCs w:val="20"/>
          <w:color w:val="auto"/>
        </w:rPr>
      </w:pPr>
    </w:p>
    <w:p>
      <w:pPr>
        <w:jc w:val="both"/>
        <w:ind w:left="4" w:right="20"/>
        <w:spacing w:after="0" w:line="272"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7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Risks Related to the Common Shares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117" w:lineRule="exact"/>
        <w:rPr>
          <w:sz w:val="20"/>
          <w:szCs w:val="20"/>
          <w:color w:val="auto"/>
        </w:rPr>
      </w:pPr>
    </w:p>
    <w:p>
      <w:pPr>
        <w:jc w:val="both"/>
        <w:ind w:left="4"/>
        <w:spacing w:after="0" w:line="287" w:lineRule="auto"/>
        <w:rPr>
          <w:sz w:val="20"/>
          <w:szCs w:val="20"/>
          <w:color w:val="auto"/>
        </w:rPr>
      </w:pPr>
      <w:r>
        <w:rPr>
          <w:rFonts w:ascii="Arial" w:cs="Arial" w:eastAsia="Arial" w:hAnsi="Arial"/>
          <w:sz w:val="16"/>
          <w:szCs w:val="16"/>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w:t>
      </w:r>
    </w:p>
    <w:p>
      <w:pPr>
        <w:spacing w:after="0" w:line="2" w:lineRule="exact"/>
        <w:rPr>
          <w:sz w:val="20"/>
          <w:szCs w:val="20"/>
          <w:color w:val="auto"/>
        </w:rPr>
      </w:pPr>
    </w:p>
    <w:p>
      <w:pPr>
        <w:jc w:val="both"/>
        <w:ind w:left="4" w:right="20" w:hanging="4"/>
        <w:spacing w:after="0" w:line="281" w:lineRule="auto"/>
        <w:tabs>
          <w:tab w:leader="none" w:pos="23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w:t>
      </w:r>
    </w:p>
    <w:p>
      <w:pPr>
        <w:spacing w:after="0" w:line="3" w:lineRule="exact"/>
        <w:rPr>
          <w:rFonts w:ascii="Arial" w:cs="Arial" w:eastAsia="Arial" w:hAnsi="Arial"/>
          <w:sz w:val="16"/>
          <w:szCs w:val="16"/>
          <w:color w:val="auto"/>
        </w:rPr>
      </w:pPr>
    </w:p>
    <w:p>
      <w:pPr>
        <w:ind w:left="4" w:hanging="4"/>
        <w:spacing w:after="0" w:line="260" w:lineRule="auto"/>
        <w:tabs>
          <w:tab w:leader="none" w:pos="3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major catastrophic events; (xii) escrow releases, sales of large blocks of the Common Shares; (xiii) departures of key employees or members of management; or (xiv) an adverse impact on the Company from any of the other risks cited herein.</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117" w:lineRule="exact"/>
        <w:rPr>
          <w:sz w:val="20"/>
          <w:szCs w:val="20"/>
          <w:color w:val="auto"/>
        </w:rPr>
      </w:pPr>
    </w:p>
    <w:p>
      <w:pPr>
        <w:jc w:val="both"/>
        <w:ind w:left="4"/>
        <w:spacing w:after="0" w:line="296" w:lineRule="auto"/>
        <w:rPr>
          <w:sz w:val="20"/>
          <w:szCs w:val="20"/>
          <w:color w:val="auto"/>
        </w:rPr>
      </w:pPr>
      <w:r>
        <w:rPr>
          <w:rFonts w:ascii="Arial" w:cs="Arial" w:eastAsia="Arial" w:hAnsi="Arial"/>
          <w:sz w:val="16"/>
          <w:szCs w:val="16"/>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117"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024"/>
          </w:cols>
          <w:pgMar w:left="436" w:top="274" w:right="439" w:bottom="1440" w:gutter="0" w:footer="0" w:header="0"/>
        </w:sectPr>
      </w:pPr>
    </w:p>
    <w:bookmarkStart w:id="90" w:name="page91"/>
    <w:bookmarkEnd w:id="90"/>
    <w:p>
      <w:pPr>
        <w:jc w:val="both"/>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020"/>
          </w:cols>
          <w:pgMar w:left="440" w:top="274" w:right="4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Cavers, as Chief Financial Officer of Cybin Inc. (formerly, Clarmin Explorations Inc.), certify the following:</w:t>
      </w:r>
    </w:p>
    <w:p>
      <w:pPr>
        <w:spacing w:after="0" w:line="131" w:lineRule="exact"/>
        <w:rPr>
          <w:sz w:val="20"/>
          <w:szCs w:val="20"/>
          <w:color w:val="auto"/>
        </w:rPr>
      </w:pPr>
    </w:p>
    <w:p>
      <w:pPr>
        <w:ind w:left="960" w:right="20" w:hanging="53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statements and interim MD&amp;A (together, the “interim filings”) of Cybin Inc. (formerly,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Clarmin Explorations Inc.) (the “issuer”) for the interim period ended June 30, 2021.</w:t>
      </w:r>
    </w:p>
    <w:p>
      <w:pPr>
        <w:spacing w:after="0" w:line="75" w:lineRule="exact"/>
        <w:rPr>
          <w:rFonts w:ascii="Arial" w:cs="Arial" w:eastAsia="Arial" w:hAnsi="Arial"/>
          <w:sz w:val="18"/>
          <w:szCs w:val="18"/>
          <w:color w:val="auto"/>
        </w:rPr>
      </w:pPr>
    </w:p>
    <w:p>
      <w:pPr>
        <w:jc w:val="both"/>
        <w:ind w:left="960" w:right="20" w:hanging="532"/>
        <w:spacing w:after="0" w:line="286"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misrepresentations: </w:t>
      </w:r>
      <w:r>
        <w:rPr>
          <w:rFonts w:ascii="Arial" w:cs="Arial" w:eastAsia="Arial" w:hAnsi="Arial"/>
          <w:sz w:val="17"/>
          <w:szCs w:val="17"/>
          <w:color w:val="auto"/>
        </w:rPr>
        <w:t>Based on my knowledge, having exercised reasonable diligence, the interim filings do not contain any untrue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70" w:lineRule="exact"/>
        <w:rPr>
          <w:rFonts w:ascii="Arial" w:cs="Arial" w:eastAsia="Arial" w:hAnsi="Arial"/>
          <w:sz w:val="17"/>
          <w:szCs w:val="17"/>
          <w:color w:val="auto"/>
        </w:rPr>
      </w:pPr>
    </w:p>
    <w:p>
      <w:pPr>
        <w:jc w:val="both"/>
        <w:ind w:left="960" w:hanging="532"/>
        <w:spacing w:after="0" w:line="286"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presentations: </w:t>
      </w:r>
      <w:r>
        <w:rPr>
          <w:rFonts w:ascii="Arial" w:cs="Arial" w:eastAsia="Arial" w:hAnsi="Arial"/>
          <w:sz w:val="17"/>
          <w:szCs w:val="17"/>
          <w:color w:val="auto"/>
        </w:rPr>
        <w:t>Based on my knowledge, having exercised reasonable diligence, the interim financial statements together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financial information included in the interim filings fairly present in all material respects the financial condition, results of operations and cash flows of the issuer, as of the date of and for the periods presented in the interim filings.</w:t>
      </w:r>
    </w:p>
    <w:p>
      <w:pPr>
        <w:spacing w:after="0" w:line="70" w:lineRule="exact"/>
        <w:rPr>
          <w:rFonts w:ascii="Arial" w:cs="Arial" w:eastAsia="Arial" w:hAnsi="Arial"/>
          <w:sz w:val="17"/>
          <w:szCs w:val="17"/>
          <w:color w:val="auto"/>
        </w:rPr>
      </w:pPr>
    </w:p>
    <w:p>
      <w:pPr>
        <w:jc w:val="both"/>
        <w:ind w:left="960" w:right="20" w:hanging="532"/>
        <w:spacing w:after="0" w:line="263"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(DC&amp;P). and internal control over financial reporting (ICFR), as those terms are defined in National Instrument 52-109 Certification of Disclosure in Issuer’s Annual and Interim Filings, for the issuer.</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of the period covered by the interim filings</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130" w:lineRule="exact"/>
        <w:rPr>
          <w:rFonts w:ascii="Arial" w:cs="Arial" w:eastAsia="Arial" w:hAnsi="Arial"/>
          <w:sz w:val="18"/>
          <w:szCs w:val="18"/>
          <w:color w:val="auto"/>
        </w:rPr>
      </w:pPr>
    </w:p>
    <w:p>
      <w:pPr>
        <w:ind w:left="2840" w:hanging="428"/>
        <w:spacing w:after="0" w:line="277" w:lineRule="auto"/>
        <w:tabs>
          <w:tab w:leader="none" w:pos="2840" w:val="left"/>
        </w:tabs>
        <w:numPr>
          <w:ilvl w:val="2"/>
          <w:numId w:val="65"/>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75" w:lineRule="exact"/>
        <w:rPr>
          <w:rFonts w:ascii="Arial" w:cs="Arial" w:eastAsia="Arial" w:hAnsi="Arial"/>
          <w:sz w:val="18"/>
          <w:szCs w:val="18"/>
          <w:color w:val="auto"/>
        </w:rPr>
      </w:pPr>
    </w:p>
    <w:p>
      <w:pPr>
        <w:jc w:val="both"/>
        <w:ind w:left="2840" w:right="20" w:hanging="428"/>
        <w:spacing w:after="0" w:line="263" w:lineRule="auto"/>
        <w:tabs>
          <w:tab w:leader="none" w:pos="2840" w:val="left"/>
        </w:tabs>
        <w:numPr>
          <w:ilvl w:val="2"/>
          <w:numId w:val="65"/>
        </w:numPr>
        <w:rPr>
          <w:rFonts w:ascii="Arial" w:cs="Arial" w:eastAsia="Arial" w:hAnsi="Arial"/>
          <w:sz w:val="18"/>
          <w:szCs w:val="18"/>
          <w:color w:val="auto"/>
        </w:rPr>
      </w:pPr>
      <w:r>
        <w:rPr>
          <w:rFonts w:ascii="Arial" w:cs="Arial" w:eastAsia="Arial" w:hAnsi="Arial"/>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89" w:lineRule="exact"/>
        <w:rPr>
          <w:rFonts w:ascii="Arial" w:cs="Arial" w:eastAsia="Arial" w:hAnsi="Arial"/>
          <w:sz w:val="18"/>
          <w:szCs w:val="18"/>
          <w:color w:val="auto"/>
        </w:rPr>
      </w:pPr>
    </w:p>
    <w:p>
      <w:pPr>
        <w:ind w:left="1960" w:right="20" w:hanging="533"/>
        <w:spacing w:after="0" w:line="342" w:lineRule="auto"/>
        <w:tabs>
          <w:tab w:leader="none" w:pos="19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29" w:lineRule="exact"/>
        <w:rPr>
          <w:sz w:val="20"/>
          <w:szCs w:val="20"/>
          <w:color w:val="auto"/>
        </w:rPr>
      </w:pPr>
    </w:p>
    <w:p>
      <w:pPr>
        <w:ind w:left="960" w:right="20" w:hanging="539"/>
        <w:spacing w:after="0" w:line="342" w:lineRule="auto"/>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Control – Integrated Framework (2013) by The Committee of Sponsoring Organization of the Treadway Commission (COSO).</w:t>
      </w:r>
    </w:p>
    <w:p>
      <w:pPr>
        <w:spacing w:after="0" w:line="2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i w:val="1"/>
          <w:iCs w:val="1"/>
          <w:color w:val="auto"/>
        </w:rPr>
        <w:t>N/A.</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i w:val="1"/>
          <w:iCs w:val="1"/>
          <w:color w:val="auto"/>
        </w:rPr>
        <w:t>N/A.</w:t>
      </w:r>
    </w:p>
    <w:p>
      <w:pPr>
        <w:spacing w:after="0" w:line="131" w:lineRule="exact"/>
        <w:rPr>
          <w:sz w:val="20"/>
          <w:szCs w:val="20"/>
          <w:color w:val="auto"/>
        </w:rPr>
      </w:pPr>
    </w:p>
    <w:p>
      <w:pPr>
        <w:jc w:val="both"/>
        <w:ind w:left="960" w:hanging="532"/>
        <w:spacing w:after="0" w:line="263"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beginning on April 1, 2021 and ended on June 30, 2021 that has materially affected, or is reasonably likely to materially affect, the issuer’s ICFR.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 Cavers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121" w:right="4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Drysdale, as Chief Executive Officer of Cybin Inc. (formerly, Clarmin Explorations Inc.), certify the following:</w:t>
      </w:r>
    </w:p>
    <w:p>
      <w:pPr>
        <w:spacing w:after="0" w:line="131" w:lineRule="exact"/>
        <w:rPr>
          <w:sz w:val="20"/>
          <w:szCs w:val="20"/>
          <w:color w:val="auto"/>
        </w:rPr>
      </w:pPr>
    </w:p>
    <w:p>
      <w:pPr>
        <w:ind w:left="960" w:right="2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statements and interim MD&amp;A (together, the “interim filings”) of Cybin Inc. (formerly,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Clarmin Explorations Inc.) (the “issuer”) for the interim period ended June 30, 2021.</w:t>
      </w:r>
    </w:p>
    <w:p>
      <w:pPr>
        <w:spacing w:after="0" w:line="75" w:lineRule="exact"/>
        <w:rPr>
          <w:rFonts w:ascii="Arial" w:cs="Arial" w:eastAsia="Arial" w:hAnsi="Arial"/>
          <w:sz w:val="18"/>
          <w:szCs w:val="18"/>
          <w:color w:val="auto"/>
        </w:rPr>
      </w:pPr>
    </w:p>
    <w:p>
      <w:pPr>
        <w:jc w:val="both"/>
        <w:ind w:left="960" w:right="20" w:hanging="532"/>
        <w:spacing w:after="0" w:line="286" w:lineRule="auto"/>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misrepresentations: </w:t>
      </w:r>
      <w:r>
        <w:rPr>
          <w:rFonts w:ascii="Arial" w:cs="Arial" w:eastAsia="Arial" w:hAnsi="Arial"/>
          <w:sz w:val="17"/>
          <w:szCs w:val="17"/>
          <w:color w:val="auto"/>
        </w:rPr>
        <w:t>Based on my knowledge, having exercised reasonable diligence, the interim filings do not contain any untrue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70" w:lineRule="exact"/>
        <w:rPr>
          <w:rFonts w:ascii="Arial" w:cs="Arial" w:eastAsia="Arial" w:hAnsi="Arial"/>
          <w:sz w:val="17"/>
          <w:szCs w:val="17"/>
          <w:color w:val="auto"/>
        </w:rPr>
      </w:pPr>
    </w:p>
    <w:p>
      <w:pPr>
        <w:jc w:val="both"/>
        <w:ind w:left="960" w:hanging="532"/>
        <w:spacing w:after="0" w:line="286" w:lineRule="auto"/>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presentations: </w:t>
      </w:r>
      <w:r>
        <w:rPr>
          <w:rFonts w:ascii="Arial" w:cs="Arial" w:eastAsia="Arial" w:hAnsi="Arial"/>
          <w:sz w:val="17"/>
          <w:szCs w:val="17"/>
          <w:color w:val="auto"/>
        </w:rPr>
        <w:t>Based on my knowledge, having exercised reasonable diligence, the interim financial statements together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financial information included in the interim filings fairly present in all material respects the financial condition, results of operations and cash flows of the issuer, as of the date of and for the periods presented in the interim filings.</w:t>
      </w:r>
    </w:p>
    <w:p>
      <w:pPr>
        <w:spacing w:after="0" w:line="70" w:lineRule="exact"/>
        <w:rPr>
          <w:rFonts w:ascii="Arial" w:cs="Arial" w:eastAsia="Arial" w:hAnsi="Arial"/>
          <w:sz w:val="17"/>
          <w:szCs w:val="17"/>
          <w:color w:val="auto"/>
        </w:rPr>
      </w:pPr>
    </w:p>
    <w:p>
      <w:pPr>
        <w:jc w:val="both"/>
        <w:ind w:left="960" w:right="2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(DC&amp;P). and internal control over financial reporting (ICFR), as those terms are defined in National Instrument 52-109 Certification of Disclosure in Issuer’s Annual and Interim Filings, for the issuer.</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of the period covered by the interim filings</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130" w:lineRule="exact"/>
        <w:rPr>
          <w:rFonts w:ascii="Arial" w:cs="Arial" w:eastAsia="Arial" w:hAnsi="Arial"/>
          <w:sz w:val="18"/>
          <w:szCs w:val="18"/>
          <w:color w:val="auto"/>
        </w:rPr>
      </w:pPr>
    </w:p>
    <w:p>
      <w:pPr>
        <w:ind w:left="2840" w:hanging="428"/>
        <w:spacing w:after="0" w:line="277" w:lineRule="auto"/>
        <w:tabs>
          <w:tab w:leader="none" w:pos="28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75" w:lineRule="exact"/>
        <w:rPr>
          <w:rFonts w:ascii="Arial" w:cs="Arial" w:eastAsia="Arial" w:hAnsi="Arial"/>
          <w:sz w:val="18"/>
          <w:szCs w:val="18"/>
          <w:color w:val="auto"/>
        </w:rPr>
      </w:pPr>
    </w:p>
    <w:p>
      <w:pPr>
        <w:jc w:val="both"/>
        <w:ind w:left="2840" w:right="20" w:hanging="428"/>
        <w:spacing w:after="0" w:line="263" w:lineRule="auto"/>
        <w:tabs>
          <w:tab w:leader="none" w:pos="28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89" w:lineRule="exact"/>
        <w:rPr>
          <w:rFonts w:ascii="Arial" w:cs="Arial" w:eastAsia="Arial" w:hAnsi="Arial"/>
          <w:sz w:val="18"/>
          <w:szCs w:val="18"/>
          <w:color w:val="auto"/>
        </w:rPr>
      </w:pPr>
    </w:p>
    <w:p>
      <w:pPr>
        <w:ind w:left="1960" w:right="20" w:hanging="533"/>
        <w:spacing w:after="0" w:line="342" w:lineRule="auto"/>
        <w:tabs>
          <w:tab w:leader="none" w:pos="19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29" w:lineRule="exact"/>
        <w:rPr>
          <w:sz w:val="20"/>
          <w:szCs w:val="20"/>
          <w:color w:val="auto"/>
        </w:rPr>
      </w:pPr>
    </w:p>
    <w:p>
      <w:pPr>
        <w:ind w:left="960" w:right="20" w:hanging="539"/>
        <w:spacing w:after="0" w:line="342" w:lineRule="auto"/>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Control – Integrated Framework (2013) by The Committee of Sponsoring Organization of the Treadway Commission (COSO).</w:t>
      </w:r>
    </w:p>
    <w:p>
      <w:pPr>
        <w:spacing w:after="0" w:line="2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i w:val="1"/>
          <w:iCs w:val="1"/>
          <w:color w:val="auto"/>
        </w:rPr>
        <w:t>N/A.</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i w:val="1"/>
          <w:iCs w:val="1"/>
          <w:color w:val="auto"/>
        </w:rPr>
        <w:t>N/A.</w:t>
      </w:r>
    </w:p>
    <w:p>
      <w:pPr>
        <w:spacing w:after="0" w:line="131" w:lineRule="exact"/>
        <w:rPr>
          <w:sz w:val="20"/>
          <w:szCs w:val="20"/>
          <w:color w:val="auto"/>
        </w:rPr>
      </w:pPr>
    </w:p>
    <w:p>
      <w:pPr>
        <w:jc w:val="both"/>
        <w:ind w:left="960" w:hanging="532"/>
        <w:spacing w:after="0" w:line="263"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Reporting changes in ICFR: </w:t>
      </w:r>
      <w:r>
        <w:rPr>
          <w:rFonts w:ascii="Arial" w:cs="Arial" w:eastAsia="Arial" w:hAnsi="Arial"/>
          <w:sz w:val="18"/>
          <w:szCs w:val="18"/>
          <w:color w:val="auto"/>
        </w:rPr>
        <w:t>The issuer has disclosed in its interim MD&amp;A any change in the issuer’s ICFR that occurred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beginning on April 1, 2021 and ended on June 30, 2021 that has materially affected, or is reasonably likely to materially affect, the issuer’s ICFR.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Drysdale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171450</wp:posOffset>
            </wp:positionV>
            <wp:extent cx="1431290" cy="908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3129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Cybin Inc. Announces 2021 First Quarter Financial Results and Business Highlights</w:t>
      </w:r>
    </w:p>
    <w:p>
      <w:pPr>
        <w:spacing w:after="0" w:line="225" w:lineRule="exact"/>
        <w:rPr>
          <w:sz w:val="20"/>
          <w:szCs w:val="20"/>
          <w:color w:val="auto"/>
        </w:rPr>
      </w:pPr>
    </w:p>
    <w:p>
      <w:pPr>
        <w:ind w:left="444" w:right="1780" w:firstLine="1338"/>
        <w:spacing w:after="0" w:line="500" w:lineRule="auto"/>
        <w:tabs>
          <w:tab w:leader="none" w:pos="195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Boosts current cash position to C$82.5M to progress clinical pipeline and business initiatives — TORONTO, CANADA </w:t>
      </w:r>
      <w:r>
        <w:rPr>
          <w:rFonts w:ascii="Arial" w:cs="Arial" w:eastAsia="Arial" w:hAnsi="Arial"/>
          <w:sz w:val="18"/>
          <w:szCs w:val="18"/>
          <w:color w:val="auto"/>
        </w:rPr>
        <w:t>– August 13,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w:t>
      </w:r>
    </w:p>
    <w:p>
      <w:pPr>
        <w:spacing w:after="0" w:line="2"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 biotechnology company focused on progressing psychedelic therapeutics, announces the unaudited financial results for the three-month period ended June 30, 2021. A copy of the Company’s unaudited interim condensed consolidated financial statements prepared in accordance with International Financial Reporting Standards and the related management’s discussion and analysis for the three month period ended June 30, 2021, can be found under the Company’s profile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 Business Highlights:</w:t>
      </w:r>
    </w:p>
    <w:p>
      <w:pPr>
        <w:spacing w:after="0" w:line="131"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Became the first psychedelic company </w:t>
      </w:r>
      <w:r>
        <w:rPr>
          <w:rFonts w:ascii="Arial" w:cs="Arial" w:eastAsia="Arial" w:hAnsi="Arial"/>
          <w:sz w:val="17"/>
          <w:szCs w:val="17"/>
          <w:color w:val="auto"/>
        </w:rPr>
        <w:t>to list on the NYSE American LLC stock exchange on August 5, 2021 under the symbol “CYBN”;</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Raised over C$120M </w:t>
      </w:r>
      <w:r>
        <w:rPr>
          <w:rFonts w:ascii="Arial" w:cs="Arial" w:eastAsia="Arial" w:hAnsi="Arial"/>
          <w:sz w:val="16"/>
          <w:szCs w:val="16"/>
          <w:color w:val="auto"/>
        </w:rPr>
        <w:t>with the inclusion of the Company’s latest equity financing round in August 2021, which successfully raised over C$34M;</w:t>
      </w:r>
    </w:p>
    <w:p>
      <w:pPr>
        <w:spacing w:after="0" w:line="153" w:lineRule="exact"/>
        <w:rPr>
          <w:rFonts w:ascii="Arial" w:cs="Arial" w:eastAsia="Arial" w:hAnsi="Arial"/>
          <w:sz w:val="16"/>
          <w:szCs w:val="16"/>
          <w:color w:val="auto"/>
        </w:rPr>
      </w:pPr>
    </w:p>
    <w:p>
      <w:pPr>
        <w:ind w:left="424" w:right="20" w:hanging="424"/>
        <w:spacing w:after="0" w:line="282"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Announced achievement of certain milestones by Adelia Therapeutics Inc.</w:t>
      </w:r>
      <w:r>
        <w:rPr>
          <w:rFonts w:ascii="Arial" w:cs="Arial" w:eastAsia="Arial" w:hAnsi="Arial"/>
          <w:sz w:val="18"/>
          <w:szCs w:val="18"/>
          <w:color w:val="auto"/>
        </w:rPr>
        <w:t>, a wholly-controlled subsidiary of Cybin, for Year 1 Q3 (i)-(iii),</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1 Q4 (i) and (iii), as contemplated by the terms of a contribution agreement dated December 4, 2020;</w:t>
      </w:r>
    </w:p>
    <w:p>
      <w:pPr>
        <w:spacing w:after="0" w:line="67" w:lineRule="exact"/>
        <w:rPr>
          <w:rFonts w:ascii="Arial" w:cs="Arial" w:eastAsia="Arial" w:hAnsi="Arial"/>
          <w:sz w:val="18"/>
          <w:szCs w:val="18"/>
          <w:color w:val="auto"/>
        </w:rPr>
      </w:pPr>
    </w:p>
    <w:p>
      <w:pPr>
        <w:ind w:left="424" w:right="20" w:hanging="424"/>
        <w:spacing w:after="0" w:line="282"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Initiated the next phase of the Company’s digital therapeutics platform </w:t>
      </w:r>
      <w:r>
        <w:rPr>
          <w:rFonts w:ascii="Arial" w:cs="Arial" w:eastAsia="Arial" w:hAnsi="Arial"/>
          <w:sz w:val="18"/>
          <w:szCs w:val="18"/>
          <w:color w:val="auto"/>
        </w:rPr>
        <w:t>which is expected to better enable the evaluation of patient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highly secure, patient-centered data analytics platform for pre- and post-psychedelic treatments;</w:t>
      </w:r>
    </w:p>
    <w:p>
      <w:pPr>
        <w:spacing w:after="0" w:line="67" w:lineRule="exact"/>
        <w:rPr>
          <w:rFonts w:ascii="Arial" w:cs="Arial" w:eastAsia="Arial" w:hAnsi="Arial"/>
          <w:sz w:val="18"/>
          <w:szCs w:val="18"/>
          <w:color w:val="auto"/>
        </w:rPr>
      </w:pPr>
    </w:p>
    <w:p>
      <w:pPr>
        <w:ind w:left="424" w:right="20" w:hanging="424"/>
        <w:spacing w:after="0" w:line="282"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Commenced scale up of the Company’s European operations and research activities </w:t>
      </w:r>
      <w:r>
        <w:rPr>
          <w:rFonts w:ascii="Arial" w:cs="Arial" w:eastAsia="Arial" w:hAnsi="Arial"/>
          <w:sz w:val="18"/>
          <w:szCs w:val="18"/>
          <w:color w:val="auto"/>
        </w:rPr>
        <w:t>with various academic and clinical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including the transfer of its intellectual property assets to its recently formed wholly-owned Ireland subsidiary;</w:t>
      </w:r>
    </w:p>
    <w:p>
      <w:pPr>
        <w:spacing w:after="0" w:line="67" w:lineRule="exact"/>
        <w:rPr>
          <w:rFonts w:ascii="Arial" w:cs="Arial" w:eastAsia="Arial" w:hAnsi="Arial"/>
          <w:sz w:val="18"/>
          <w:szCs w:val="18"/>
          <w:color w:val="auto"/>
        </w:rPr>
      </w:pPr>
    </w:p>
    <w:p>
      <w:pPr>
        <w:ind w:left="424" w:right="20" w:hanging="424"/>
        <w:spacing w:after="0" w:line="347"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Expanded patent portfolio to 13 patent filings </w:t>
      </w:r>
      <w:r>
        <w:rPr>
          <w:rFonts w:ascii="Arial" w:cs="Arial" w:eastAsia="Arial" w:hAnsi="Arial"/>
          <w:sz w:val="16"/>
          <w:szCs w:val="16"/>
          <w:color w:val="auto"/>
        </w:rPr>
        <w:t>which cover, amongst other things, novel psychedelic compounds, integration of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platforms, methods of use in psychiatric indications, drug discovery pipeline of modified and novel ergolines, tryptamines and phenethylamines;</w:t>
      </w:r>
    </w:p>
    <w:p>
      <w:pPr>
        <w:sectPr>
          <w:pgSz w:w="11900" w:h="16838" w:orient="portrait"/>
          <w:cols w:equalWidth="0" w:num="1">
            <w:col w:w="11024"/>
          </w:cols>
          <w:pgMar w:left="436" w:top="121" w:right="439" w:bottom="1440" w:gutter="0" w:footer="0" w:header="0"/>
        </w:sectPr>
      </w:pPr>
    </w:p>
    <w:bookmarkStart w:id="94" w:name="page95"/>
    <w:bookmarkEnd w:id="94"/>
    <w:p>
      <w:pPr>
        <w:jc w:val="both"/>
        <w:ind w:left="424" w:right="20" w:hanging="424"/>
        <w:spacing w:after="0" w:line="258" w:lineRule="auto"/>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Entered into an exclusive research and development collaboration </w:t>
      </w:r>
      <w:r>
        <w:rPr>
          <w:rFonts w:ascii="Arial" w:cs="Arial" w:eastAsia="Arial" w:hAnsi="Arial"/>
          <w:sz w:val="18"/>
          <w:szCs w:val="18"/>
          <w:color w:val="auto"/>
        </w:rPr>
        <w:t>agreement with TMS NeuroHealth Centers Inc. (the “</w:t>
      </w:r>
      <w:r>
        <w:rPr>
          <w:rFonts w:ascii="Arial" w:cs="Arial" w:eastAsia="Arial" w:hAnsi="Arial"/>
          <w:sz w:val="18"/>
          <w:szCs w:val="18"/>
          <w:b w:val="1"/>
          <w:bCs w:val="1"/>
          <w:color w:val="auto"/>
        </w:rPr>
        <w:t>Collaboration Agreement</w:t>
      </w:r>
      <w:r>
        <w:rPr>
          <w:rFonts w:ascii="Arial" w:cs="Arial" w:eastAsia="Arial" w:hAnsi="Arial"/>
          <w:sz w:val="18"/>
          <w:szCs w:val="18"/>
          <w:color w:val="auto"/>
        </w:rPr>
        <w:t>”), a wholly-owned subsidiary of Greenbrook TMS Inc. (TSX:GTMS) (NASDAQ:GBNH) (“</w:t>
      </w:r>
      <w:r>
        <w:rPr>
          <w:rFonts w:ascii="Arial" w:cs="Arial" w:eastAsia="Arial" w:hAnsi="Arial"/>
          <w:sz w:val="18"/>
          <w:szCs w:val="18"/>
          <w:b w:val="1"/>
          <w:bCs w:val="1"/>
          <w:color w:val="auto"/>
        </w:rPr>
        <w:t>Greenbrook</w:t>
      </w:r>
      <w:r>
        <w:rPr>
          <w:rFonts w:ascii="Arial" w:cs="Arial" w:eastAsia="Arial" w:hAnsi="Arial"/>
          <w:sz w:val="18"/>
          <w:szCs w:val="18"/>
          <w:color w:val="auto"/>
        </w:rPr>
        <w:t>”). Greenbrook operates 129</w:t>
      </w:r>
      <w:r>
        <w:rPr>
          <w:rFonts w:ascii="Arial" w:cs="Arial" w:eastAsia="Arial" w:hAnsi="Arial"/>
          <w:sz w:val="18"/>
          <w:szCs w:val="18"/>
          <w:b w:val="1"/>
          <w:bCs w:val="1"/>
          <w:color w:val="auto"/>
        </w:rPr>
        <w:t xml:space="preserve"> </w:t>
      </w:r>
      <w:r>
        <w:rPr>
          <w:rFonts w:ascii="Arial" w:cs="Arial" w:eastAsia="Arial" w:hAnsi="Arial"/>
          <w:sz w:val="18"/>
          <w:szCs w:val="18"/>
          <w:color w:val="auto"/>
        </w:rPr>
        <w:t>outpatient mental health service centers in the United States. Under the Collaboration Agreement, Cybin and Greenbrook will work together to establish Mental Health Centers of Excellence for the purpose of facilitating research and development of innovative psychedelic compound-based therapeutics for patients suffering from depression.</w:t>
      </w:r>
    </w:p>
    <w:p>
      <w:pPr>
        <w:spacing w:after="0" w:line="187"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Doug Drysdale, CEO of Cybin stated, “during the past several months, Cybin has garnered a great deal of attention as an emerging leader in the psychedelic therapeutics space. We believe the molecules we have under development may have the potential to transform the treatment landscape and fill current unmet treatment needs for various psychiatric and neurological conditions. We look forward to sharing updates as we advance our pre-clinical and clinical programs and continue the scientific exploration that we believe will ultimately provide safer and more effective treatments for those suffering with mental illness and addiction issues.”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Q1 Financial Highlights</w:t>
      </w:r>
    </w:p>
    <w:p>
      <w:pPr>
        <w:spacing w:after="0" w:line="135" w:lineRule="exact"/>
        <w:rPr>
          <w:sz w:val="20"/>
          <w:szCs w:val="20"/>
          <w:color w:val="auto"/>
        </w:rPr>
      </w:pPr>
    </w:p>
    <w:p>
      <w:pPr>
        <w:ind w:left="424" w:hanging="424"/>
        <w:spacing w:after="0"/>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and cash equivalents totaled C$55.1 million as of June 30, 2021; and</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loss was C$14.7 million for the quarter ended June 30, 2021 of which non-cash expenses totaled C$5.6 million and cash-based operating expenses totaled C$9.1 million.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7"/>
          <w:szCs w:val="17"/>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development of innovative drug delivery systems, the Company’s expectations of the molecules under development, the development of Mental Health Centers of Excellence for the purpose of facilitating research and development of innovative psychedelic compound-based therapeutics for patients suffering from depression pursuant to the Collaboration Agreement, and the Company’s expectations of its digital therapeutics platform.</w:t>
      </w:r>
    </w:p>
    <w:p>
      <w:pPr>
        <w:spacing w:after="0" w:line="196"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w:t>
      </w:r>
    </w:p>
    <w:p>
      <w:pPr>
        <w:sectPr>
          <w:pgSz w:w="11900" w:h="16838" w:orient="portrait"/>
          <w:cols w:equalWidth="0" w:num="1">
            <w:col w:w="11024"/>
          </w:cols>
          <w:pgMar w:left="436" w:top="270" w:right="439" w:bottom="1440" w:gutter="0" w:footer="0" w:header="0"/>
        </w:sectPr>
      </w:pPr>
    </w:p>
    <w:bookmarkStart w:id="95" w:name="page96"/>
    <w:bookmarkEnd w:id="95"/>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presence of laws and regulations that may impose restrictions in the markets where the Company operates; and the risk factors set out in each of the Company’s management’s discussion and analysis for the three month period ended June 30, 2021, the Company’s annual information form for the year ended March 31, 2021, and the Company’s listing statement dated November 9, 2020, which are available under the Company’s profile on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and with the U.S. Securities and Exchange Commission on EDGAR at </w:t>
      </w:r>
      <w:r>
        <w:rPr>
          <w:rFonts w:ascii="Arial" w:cs="Arial" w:eastAsia="Arial" w:hAnsi="Arial"/>
          <w:sz w:val="17"/>
          <w:szCs w:val="17"/>
          <w:u w:val="single" w:color="auto"/>
          <w:color w:val="auto"/>
        </w:rPr>
        <w:t>www.sec.gov</w:t>
      </w:r>
      <w:r>
        <w:rPr>
          <w:rFonts w:ascii="Arial" w:cs="Arial" w:eastAsia="Arial" w:hAnsi="Arial"/>
          <w:sz w:val="17"/>
          <w:szCs w:val="17"/>
          <w:color w:val="auto"/>
        </w:rPr>
        <w:t>.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Neo Exchange Inc.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2"/>
    </w:lvl>
  </w:abstractNum>
  <w:abstractNum w:abstractNumId="2">
    <w:nsid w:val="7724C67E"/>
    <w:multiLevelType w:val="hybridMultilevel"/>
    <w:lvl w:ilvl="0">
      <w:lvlJc w:val="left"/>
      <w:lvlText w:val="1"/>
      <w:numFmt w:val="bullet"/>
      <w:start w:val="1"/>
    </w:lvl>
  </w:abstractNum>
  <w:abstractNum w:abstractNumId="3">
    <w:nsid w:val="5C482A97"/>
    <w:multiLevelType w:val="hybridMultilevel"/>
    <w:lvl w:ilvl="0">
      <w:lvlJc w:val="left"/>
      <w:lvlText w:val="2"/>
      <w:numFmt w:val="bullet"/>
      <w:start w:val="1"/>
    </w:lvl>
  </w:abstractNum>
  <w:abstractNum w:abstractNumId="4">
    <w:nsid w:val="2463B9EA"/>
    <w:multiLevelType w:val="hybridMultilevel"/>
    <w:lvl w:ilvl="0">
      <w:lvlJc w:val="left"/>
      <w:lvlText w:val="%1."/>
      <w:numFmt w:val="decimal"/>
      <w:start w:val="4"/>
    </w:lvl>
  </w:abstractNum>
  <w:abstractNum w:abstractNumId="5">
    <w:nsid w:val="5E884ADC"/>
    <w:multiLevelType w:val="hybridMultilevel"/>
    <w:lvl w:ilvl="0">
      <w:lvlJc w:val="left"/>
      <w:lvlText w:val="%1."/>
      <w:numFmt w:val="decimal"/>
      <w:start w:val="7"/>
    </w:lvl>
  </w:abstractNum>
  <w:abstractNum w:abstractNumId="6">
    <w:nsid w:val="51EAD36B"/>
    <w:multiLevelType w:val="hybridMultilevel"/>
    <w:lvl w:ilvl="0">
      <w:lvlJc w:val="left"/>
      <w:lvlText w:val="%1."/>
      <w:numFmt w:val="decimal"/>
      <w:start w:val="8"/>
    </w:lvl>
    <w:lvl w:ilvl="1">
      <w:lvlJc w:val="left"/>
      <w:lvlText w:val="%2)"/>
      <w:numFmt w:val="lowerLetter"/>
      <w:start w:val="1"/>
    </w:lvl>
  </w:abstractNum>
  <w:abstractNum w:abstractNumId="7">
    <w:nsid w:val="2D517796"/>
    <w:multiLevelType w:val="hybridMultilevel"/>
    <w:lvl w:ilvl="0">
      <w:lvlJc w:val="left"/>
      <w:lvlText w:val="%1)"/>
      <w:numFmt w:val="lowerLetter"/>
      <w:start w:val="3"/>
    </w:lvl>
  </w:abstractNum>
  <w:abstractNum w:abstractNumId="8">
    <w:nsid w:val="580BD78F"/>
    <w:multiLevelType w:val="hybridMultilevel"/>
    <w:lvl w:ilvl="0">
      <w:lvlJc w:val="left"/>
      <w:lvlText w:val="%1)"/>
      <w:numFmt w:val="lowerLetter"/>
      <w:start w:val="4"/>
    </w:lvl>
  </w:abstractNum>
  <w:abstractNum w:abstractNumId="9">
    <w:nsid w:val="153EA438"/>
    <w:multiLevelType w:val="hybridMultilevel"/>
    <w:lvl w:ilvl="0">
      <w:lvlJc w:val="left"/>
      <w:lvlText w:val="%1."/>
      <w:numFmt w:val="decimal"/>
      <w:start w:val="9"/>
    </w:lvl>
  </w:abstractNum>
  <w:abstractNum w:abstractNumId="10">
    <w:nsid w:val="3855585C"/>
    <w:multiLevelType w:val="hybridMultilevel"/>
    <w:lvl w:ilvl="0">
      <w:lvlJc w:val="left"/>
      <w:lvlText w:val="%1."/>
      <w:numFmt w:val="decimal"/>
      <w:start w:val="10"/>
    </w:lvl>
  </w:abstractNum>
  <w:abstractNum w:abstractNumId="11">
    <w:nsid w:val="70A64E2A"/>
    <w:multiLevelType w:val="hybridMultilevel"/>
    <w:lvl w:ilvl="0">
      <w:lvlJc w:val="left"/>
      <w:lvlText w:val="%1."/>
      <w:numFmt w:val="decimal"/>
      <w:start w:val="11"/>
    </w:lvl>
  </w:abstractNum>
  <w:abstractNum w:abstractNumId="12">
    <w:nsid w:val="6A2342EC"/>
    <w:multiLevelType w:val="hybridMultilevel"/>
    <w:lvl w:ilvl="0">
      <w:lvlJc w:val="left"/>
      <w:lvlText w:val="%1."/>
      <w:numFmt w:val="decimal"/>
      <w:start w:val="13"/>
    </w:lvl>
  </w:abstractNum>
  <w:abstractNum w:abstractNumId="13">
    <w:nsid w:val="2A487CB0"/>
    <w:multiLevelType w:val="hybridMultilevel"/>
    <w:lvl w:ilvl="0">
      <w:lvlJc w:val="left"/>
      <w:lvlText w:val="%1."/>
      <w:numFmt w:val="decimal"/>
      <w:start w:val="14"/>
    </w:lvl>
  </w:abstractNum>
  <w:abstractNum w:abstractNumId="14">
    <w:nsid w:val="1D4ED43B"/>
    <w:multiLevelType w:val="hybridMultilevel"/>
    <w:lvl w:ilvl="0">
      <w:lvlJc w:val="left"/>
      <w:lvlText w:val="%1."/>
      <w:numFmt w:val="decimal"/>
      <w:start w:val="15"/>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bullet"/>
      <w:start w:val="1"/>
    </w:lvl>
  </w:abstractNum>
  <w:abstractNum w:abstractNumId="24">
    <w:nsid w:val="32FFF902"/>
    <w:multiLevelType w:val="hybridMultilevel"/>
    <w:lvl w:ilvl="0">
      <w:lvlJc w:val="left"/>
      <w:lvlText w:val="2"/>
      <w:numFmt w:val="bullet"/>
      <w:start w:val="1"/>
    </w:lvl>
  </w:abstractNum>
  <w:abstractNum w:abstractNumId="25">
    <w:nsid w:val="684A481A"/>
    <w:multiLevelType w:val="hybridMultilevel"/>
    <w:lvl w:ilvl="0">
      <w:lvlJc w:val="left"/>
      <w:lvlText w:val="3"/>
      <w:numFmt w:val="bullet"/>
      <w:start w:val="1"/>
    </w:lvl>
  </w:abstractNum>
  <w:abstractNum w:abstractNumId="26">
    <w:nsid w:val="579478FE"/>
    <w:multiLevelType w:val="hybridMultilevel"/>
    <w:lvl w:ilvl="0">
      <w:lvlJc w:val="left"/>
      <w:lvlText w:val="4"/>
      <w:numFmt w:val="bullet"/>
      <w:start w:val="1"/>
    </w:lvl>
  </w:abstractNum>
  <w:abstractNum w:abstractNumId="27">
    <w:nsid w:val="749ABB43"/>
    <w:multiLevelType w:val="hybridMultilevel"/>
    <w:lvl w:ilvl="0">
      <w:lvlJc w:val="left"/>
      <w:lvlText w:val="5"/>
      <w:numFmt w:val="bullet"/>
      <w:start w:val="1"/>
    </w:lvl>
  </w:abstractNum>
  <w:abstractNum w:abstractNumId="28">
    <w:nsid w:val="3DC240FB"/>
    <w:multiLevelType w:val="hybridMultilevel"/>
    <w:lvl w:ilvl="0">
      <w:lvlJc w:val="left"/>
      <w:lvlText w:val="6"/>
      <w:numFmt w:val="bullet"/>
      <w:start w:val="1"/>
    </w:lvl>
  </w:abstractNum>
  <w:abstractNum w:abstractNumId="29">
    <w:nsid w:val="1BA026FA"/>
    <w:multiLevelType w:val="hybridMultilevel"/>
    <w:lvl w:ilvl="0">
      <w:lvlJc w:val="left"/>
      <w:lvlText w:val="7"/>
      <w:numFmt w:val="bullet"/>
      <w:start w:val="1"/>
    </w:lvl>
    <w:lvl w:ilvl="1">
      <w:lvlJc w:val="left"/>
      <w:lvlText w:val="-"/>
      <w:numFmt w:val="bullet"/>
      <w:start w:val="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8"/>
      <w:numFmt w:val="bullet"/>
      <w:start w:val="1"/>
    </w:lvl>
  </w:abstractNum>
  <w:abstractNum w:abstractNumId="32">
    <w:nsid w:val="12E685FB"/>
    <w:multiLevelType w:val="hybridMultilevel"/>
    <w:lvl w:ilvl="0">
      <w:lvlJc w:val="left"/>
      <w:lvlText w:val="9"/>
      <w:numFmt w:val="bullet"/>
      <w:start w:val="1"/>
    </w:lvl>
  </w:abstractNum>
  <w:abstractNum w:abstractNumId="33">
    <w:nsid w:val="70C6A529"/>
    <w:multiLevelType w:val="hybridMultilevel"/>
    <w:lvl w:ilvl="0">
      <w:lvlJc w:val="left"/>
      <w:lvlText w:val="%1"/>
      <w:numFmt w:val="decimal"/>
      <w:start w:val="10"/>
    </w:lvl>
    <w:lvl w:ilvl="1">
      <w:lvlJc w:val="left"/>
      <w:lvlText w:val="-"/>
      <w:numFmt w:val="bullet"/>
      <w:start w:val="1"/>
    </w:lvl>
  </w:abstractNum>
  <w:abstractNum w:abstractNumId="34">
    <w:nsid w:val="520EEDD1"/>
    <w:multiLevelType w:val="hybridMultilevel"/>
    <w:lvl w:ilvl="0">
      <w:lvlJc w:val="left"/>
      <w:lvlText w:val="%1."/>
      <w:numFmt w:val="lowerLetter"/>
      <w:start w:val="3"/>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11"/>
    </w:lvl>
    <w:lvl w:ilvl="1">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3"/>
    </w:lvl>
    <w:lvl w:ilvl="1">
      <w:lvlJc w:val="left"/>
      <w:lvlText w:val="(%2)"/>
      <w:numFmt w:val="lowerLetter"/>
      <w:start w:val="4"/>
    </w:lvl>
    <w:lvl w:ilvl="2">
      <w:lvlJc w:val="left"/>
      <w:lvlText w:val="-"/>
      <w:numFmt w:val="bullet"/>
      <w:start w:val="1"/>
    </w:lvl>
  </w:abstractNum>
  <w:abstractNum w:abstractNumId="39">
    <w:nsid w:val="275AC794"/>
    <w:multiLevelType w:val="hybridMultilevel"/>
    <w:lvl w:ilvl="0">
      <w:lvlJc w:val="left"/>
      <w:lvlText w:val="%1"/>
      <w:numFmt w:val="decimal"/>
      <w:start w:val="15"/>
    </w:lvl>
    <w:lvl w:ilvl="1">
      <w:lvlJc w:val="left"/>
      <w:lvlText w:val="-"/>
      <w:numFmt w:val="bullet"/>
      <w:start w:val="1"/>
    </w:lvl>
  </w:abstractNum>
  <w:abstractNum w:abstractNumId="40">
    <w:nsid w:val="39386575"/>
    <w:multiLevelType w:val="hybridMultilevel"/>
    <w:lvl w:ilvl="0">
      <w:lvlJc w:val="left"/>
      <w:lvlText w:val="%1"/>
      <w:numFmt w:val="decimal"/>
      <w:start w:val="18"/>
    </w:lvl>
    <w:lvl w:ilvl="1">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lvl w:ilvl="1">
      <w:lvlJc w:val="left"/>
      <w:lvlText w:val="(%2)"/>
      <w:numFmt w:val="lowerRoman"/>
      <w:start w:val="3"/>
    </w:lvl>
  </w:abstractNum>
  <w:abstractNum w:abstractNumId="43">
    <w:nsid w:val="235BA861"/>
    <w:multiLevelType w:val="hybridMultilevel"/>
    <w:lvl w:ilvl="0">
      <w:lvlJc w:val="left"/>
      <w:lvlText w:val="(%1)"/>
      <w:numFmt w:val="decimal"/>
      <w:start w:val="15"/>
    </w:lvl>
  </w:abstractNum>
  <w:abstractNum w:abstractNumId="44">
    <w:nsid w:val="47398C89"/>
    <w:multiLevelType w:val="hybridMultilevel"/>
    <w:lvl w:ilvl="0">
      <w:lvlJc w:val="left"/>
      <w:lvlText w:val="(%1)"/>
      <w:numFmt w:val="decimal"/>
      <w:start w:val="23"/>
    </w:lvl>
  </w:abstractNum>
  <w:abstractNum w:abstractNumId="45">
    <w:nsid w:val="354FE9F9"/>
    <w:multiLevelType w:val="hybridMultilevel"/>
    <w:lvl w:ilvl="0">
      <w:lvlJc w:val="left"/>
      <w:lvlText w:val="%1"/>
      <w:numFmt w:val="decimal"/>
      <w:start w:val="20"/>
    </w:lvl>
    <w:lvl w:ilvl="1">
      <w:lvlJc w:val="left"/>
      <w:lvlText w:val="-"/>
      <w:numFmt w:val="bullet"/>
      <w:start w:val="1"/>
    </w:lvl>
  </w:abstractNum>
  <w:abstractNum w:abstractNumId="46">
    <w:nsid w:val="15B5AF5C"/>
    <w:multiLevelType w:val="hybridMultilevel"/>
    <w:lvl w:ilvl="0">
      <w:lvlJc w:val="left"/>
      <w:lvlText w:val="%1"/>
      <w:numFmt w:val="decimal"/>
      <w:start w:val="21"/>
    </w:lvl>
    <w:lvl w:ilvl="1">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22"/>
    </w:lvl>
    <w:lvl w:ilvl="1">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23"/>
    </w:lvl>
    <w:lvl w:ilvl="1">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lowerRoman"/>
      <w:start w:val="1"/>
    </w:lvl>
  </w:abstractNum>
  <w:abstractNum w:abstractNumId="63">
    <w:nsid w:val="5DB70AE5"/>
    <w:multiLevelType w:val="hybridMultilevel"/>
    <w:lvl w:ilvl="0">
      <w:lvlJc w:val="left"/>
      <w:lvlText w:val="(%1)"/>
      <w:numFmt w:val="lowerRoman"/>
      <w:start w:val="11"/>
    </w:lvl>
  </w:abstractNum>
  <w:abstractNum w:abstractNumId="64">
    <w:nsid w:val="100F8FC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5">
    <w:nsid w:val="6590700B"/>
    <w:multiLevelType w:val="hybridMultilevel"/>
    <w:lvl w:ilvl="0">
      <w:lvlJc w:val="left"/>
      <w:lvlText w:val="%1."/>
      <w:numFmt w:val="decimal"/>
      <w:start w:val="6"/>
    </w:lvl>
  </w:abstractNum>
  <w:abstractNum w:abstractNumId="66">
    <w:nsid w:val="15014AC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7">
    <w:nsid w:val="5F5E7FD0"/>
    <w:multiLevelType w:val="hybridMultilevel"/>
    <w:lvl w:ilvl="0">
      <w:lvlJc w:val="left"/>
      <w:lvlText w:val="%1."/>
      <w:numFmt w:val="decimal"/>
      <w:start w:val="6"/>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2021-08-16T07:18:59Z</dcterms:created>
  <dcterms:modified xsi:type="dcterms:W3CDTF">2021-08-16T07:18:59Z</dcterms:modified>
</cp:coreProperties>
</file>