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64"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August 25,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August 25, 2022</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Participate in the H.C. Wainwright 24</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Global Investment Conference</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25,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participate in a virtual fireside chat at the H.C. Wainwright 24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Annual Global Investment Conference taking place on September 12-14, 2022.</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Mr. Drysdale’s fireside chat will be available on demand beginning on Monday, September 12, 2022 at 7:00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ectPr>
          <w:pgSz w:w="11900" w:h="16838" w:orient="portrait"/>
          <w:cols w:equalWidth="0" w:num="1">
            <w:col w:w="11240"/>
          </w:cols>
          <w:pgMar w:left="320" w:top="1440" w:right="339" w:bottom="1440" w:gutter="0" w:footer="0" w:header="0"/>
        </w:sectPr>
      </w:pPr>
    </w:p>
    <w:bookmarkStart w:id="4" w:name="page5"/>
    <w:bookmarkEnd w:id="4"/>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Chief Legal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2022-08-25T16:12:39Z</dcterms:created>
  <dcterms:modified xsi:type="dcterms:W3CDTF">2022-08-25T16:12:39Z</dcterms:modified>
</cp:coreProperties>
</file>