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Glavine Paul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CYBIN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KING STREET W., SUITE 5600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TORONTO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M5X 1C9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ONTARIO,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CYBIN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CYBN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Growth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01"/>
        <w:gridCol w:w="773"/>
        <w:gridCol w:w="599"/>
        <w:gridCol w:w="341"/>
        <w:gridCol w:w="912"/>
        <w:gridCol w:w="435"/>
        <w:gridCol w:w="924"/>
        <w:gridCol w:w="1254"/>
        <w:gridCol w:w="973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90,000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11.5853</w:t>
            </w:r>
          </w:p>
        </w:tc>
        <w:tc>
          <w:tcPr>
            <w:tcW w:w="12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4,071,252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230,941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PLG Family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THIS FORM 4 IS BEING FILED VOLUNTARILY BY THE REPORTING PERSON WHO IS NOT SUBJECT TO SECTION 16 REPORTING REQUIREMENTS.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Paul Glavine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8509" TargetMode="External"/><Relationship Id="rId5" Type="http://schemas.openxmlformats.org/officeDocument/2006/relationships/hyperlink" Target="http://www.sec.gov/cgi-bin/browse-edgar?action=getcompany&amp;CIK=000183314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598</Words>
  <Characters>3232</Characters>
  <CharactersWithSpaces>3757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